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OCDAO Proposal – Auto-Drafted</w:t>
      </w:r>
    </w:p>
    <w:p>
      <w:pPr>
        <w:jc w:val="center"/>
      </w:pPr>
      <w:r>
        <w:t>Generated by proposal-bot</w:t>
      </w:r>
    </w:p>
    <w:p>
      <w:pPr>
        <w:jc w:val="center"/>
      </w:pPr>
      <w:r>
        <w:t xml:space="preserve">Date: </w:t>
      </w:r>
    </w:p>
    <w:p>
      <w:r>
        <w:br w:type="page"/>
      </w:r>
    </w:p>
    <w:p>
      <w:r>
        <w:t>Table of Contents (update in Word: References → Table of Contents)</w:t>
      </w:r>
    </w:p>
    <w:p>
      <w:pPr>
        <w:pStyle w:val="Heading1"/>
      </w:pPr>
      <w:r>
        <w:t>LIST OF FIGURES</w:t>
      </w:r>
    </w:p>
    <w:p>
      <w:r>
        <w:t>[Insert automatic list of figures in Word]</w:t>
      </w:r>
    </w:p>
    <w:p>
      <w:pPr>
        <w:pStyle w:val="Heading1"/>
      </w:pPr>
      <w:r>
        <w:t>LIST OF TABLES</w:t>
      </w:r>
    </w:p>
    <w:p>
      <w:r>
        <w:t>[Insert automatic list of tables in Word]</w:t>
      </w:r>
    </w:p>
    <w:p>
      <w:pPr>
        <w:pStyle w:val="Heading1"/>
      </w:pPr>
      <w:r>
        <w:t>ACRONYMS AND ABBREVIATIONS</w:t>
      </w:r>
    </w:p>
    <w:p/>
    <w:p>
      <w:pPr>
        <w:pStyle w:val="Heading1"/>
      </w:pPr>
      <w:r>
        <w:t>Executive Summary</w:t>
      </w:r>
    </w:p>
    <w:p>
      <w:r>
        <w:t>This document was assembled automatically based on extracted requirements and generated outlines.</w:t>
      </w:r>
    </w:p>
    <w:p>
      <w:pPr>
        <w:pStyle w:val="Heading1"/>
      </w:pPr>
      <w:r>
        <w:t>WRITING ASSIGNMENTS MATRIX</w:t>
      </w:r>
    </w:p>
    <w:p>
      <w:r>
        <w:t>Live tracker: assign Author/SME and Due. Word Target uses words/page from ORAN_WORDS_PER_PAGE (default 425).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1F2"/>
          </w:tcPr>
          <w:p>
            <w:r>
              <w:t>Section</w:t>
            </w:r>
          </w:p>
        </w:tc>
        <w:tc>
          <w:tcPr>
            <w:tcW w:type="dxa" w:w="1080"/>
            <w:shd w:fill="D9E1F2"/>
          </w:tcPr>
          <w:p>
            <w:r>
              <w:t>Page Budget</w:t>
            </w:r>
          </w:p>
        </w:tc>
        <w:tc>
          <w:tcPr>
            <w:tcW w:type="dxa" w:w="1080"/>
            <w:shd w:fill="D9E1F2"/>
          </w:tcPr>
          <w:p>
            <w:r>
              <w:t>Word Target</w:t>
            </w:r>
          </w:p>
        </w:tc>
        <w:tc>
          <w:tcPr>
            <w:tcW w:type="dxa" w:w="1080"/>
            <w:shd w:fill="D9E1F2"/>
          </w:tcPr>
          <w:p>
            <w:r>
              <w:t>Shalls</w:t>
            </w:r>
          </w:p>
        </w:tc>
        <w:tc>
          <w:tcPr>
            <w:tcW w:type="dxa" w:w="1080"/>
            <w:shd w:fill="D9E1F2"/>
          </w:tcPr>
          <w:p>
            <w:r>
              <w:t>Author</w:t>
            </w:r>
          </w:p>
        </w:tc>
        <w:tc>
          <w:tcPr>
            <w:tcW w:type="dxa" w:w="1080"/>
            <w:shd w:fill="D9E1F2"/>
          </w:tcPr>
          <w:p>
            <w:r>
              <w:t>SME</w:t>
            </w:r>
          </w:p>
        </w:tc>
        <w:tc>
          <w:tcPr>
            <w:tcW w:type="dxa" w:w="1080"/>
            <w:shd w:fill="D9E1F2"/>
          </w:tcPr>
          <w:p>
            <w:r>
              <w:t>Due</w:t>
            </w:r>
          </w:p>
        </w:tc>
        <w:tc>
          <w:tcPr>
            <w:tcW w:type="dxa" w:w="1080"/>
            <w:shd w:fill="D9E1F2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Response to Section General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1275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Draft</w:t>
            </w:r>
          </w:p>
        </w:tc>
      </w:tr>
      <w:tr>
        <w:tc>
          <w:tcPr>
            <w:tcW w:type="dxa" w:w="1080"/>
            <w:shd w:fill="EDF2FB"/>
          </w:tcPr>
          <w:p>
            <w:r>
              <w:t>Proposal Development Plan</w:t>
            </w:r>
          </w:p>
        </w:tc>
        <w:tc>
          <w:tcPr>
            <w:tcW w:type="dxa" w:w="1080"/>
            <w:shd w:fill="EDF2FB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1080"/>
            <w:shd w:fill="EDF2FB"/>
          </w:tcPr>
          <w:p>
            <w:pPr>
              <w:jc w:val="center"/>
            </w:pPr>
            <w:r>
              <w:t>425</w:t>
            </w:r>
          </w:p>
        </w:tc>
        <w:tc>
          <w:tcPr>
            <w:tcW w:type="dxa" w:w="1080"/>
            <w:shd w:fill="EDF2FB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080"/>
            <w:shd w:fill="EDF2FB"/>
          </w:tcPr>
          <w:p>
            <w:r/>
          </w:p>
        </w:tc>
        <w:tc>
          <w:tcPr>
            <w:tcW w:type="dxa" w:w="1080"/>
            <w:shd w:fill="EDF2FB"/>
          </w:tcPr>
          <w:p>
            <w:r/>
          </w:p>
        </w:tc>
        <w:tc>
          <w:tcPr>
            <w:tcW w:type="dxa" w:w="1080"/>
            <w:shd w:fill="EDF2FB"/>
          </w:tcPr>
          <w:p>
            <w:r/>
          </w:p>
        </w:tc>
        <w:tc>
          <w:tcPr>
            <w:tcW w:type="dxa" w:w="1080"/>
            <w:shd w:fill="EDF2FB"/>
          </w:tcPr>
          <w:p>
            <w:r>
              <w:t>Draft</w:t>
            </w:r>
          </w:p>
        </w:tc>
      </w:tr>
    </w:tbl>
    <w:p>
      <w:pPr>
        <w:pStyle w:val="Heading1"/>
      </w:pPr>
      <w:r>
        <w:t>Control Tables (Additional)</w:t>
      </w:r>
    </w:p>
    <w:p>
      <w:pPr>
        <w:pStyle w:val="Heading2"/>
      </w:pPr>
      <w:r>
        <w:t>Deliverables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Deliverable_Name (exact)</w:t>
            </w:r>
          </w:p>
        </w:tc>
        <w:tc>
          <w:tcPr>
            <w:tcW w:type="dxa" w:w="1440"/>
          </w:tcPr>
          <w:p>
            <w:r>
              <w:t>PWS_Ref</w:t>
            </w:r>
          </w:p>
        </w:tc>
        <w:tc>
          <w:tcPr>
            <w:tcW w:type="dxa" w:w="1440"/>
          </w:tcPr>
          <w:p>
            <w:r>
              <w:t>Cadence</w:t>
            </w:r>
          </w:p>
        </w:tc>
        <w:tc>
          <w:tcPr>
            <w:tcW w:type="dxa" w:w="1440"/>
          </w:tcPr>
          <w:p>
            <w:r>
              <w:t>Format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Acceptance</w:t>
            </w:r>
          </w:p>
        </w:tc>
      </w:tr>
      <w:tr>
        <w:tc>
          <w:tcPr>
            <w:tcW w:type="dxa" w:w="1440"/>
          </w:tcPr>
          <w:p>
            <w:r>
              <w:t>Incorporate all feedback and finalize the proposal.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Proposal Development Plan</w:t>
            </w:r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2"/>
      </w:pPr>
      <w:r>
        <w:t>Risk 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Risk</w:t>
            </w:r>
          </w:p>
        </w:tc>
        <w:tc>
          <w:tcPr>
            <w:tcW w:type="dxa" w:w="1440"/>
          </w:tcPr>
          <w:p>
            <w:r>
              <w:t>Likelihood</w:t>
            </w:r>
          </w:p>
        </w:tc>
        <w:tc>
          <w:tcPr>
            <w:tcW w:type="dxa" w:w="1440"/>
          </w:tcPr>
          <w:p>
            <w:r>
              <w:t>Impact</w:t>
            </w:r>
          </w:p>
        </w:tc>
        <w:tc>
          <w:tcPr>
            <w:tcW w:type="dxa" w:w="1440"/>
          </w:tcPr>
          <w:p>
            <w:r>
              <w:t>Mitigation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  <w:tc>
          <w:tcPr>
            <w:tcW w:type="dxa" w:w="1440"/>
          </w:tcPr>
          <w:p>
            <w:r>
              <w:t>Trigger</w:t>
            </w:r>
          </w:p>
        </w:tc>
      </w:tr>
    </w:tbl>
    <w:p>
      <w:pPr>
        <w:pStyle w:val="Heading2"/>
      </w:pPr>
      <w:r>
        <w:t>Crosswalk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Addressed_In (page/para)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Gap/Notes</w:t>
            </w:r>
          </w:p>
        </w:tc>
      </w:tr>
      <w:tr>
        <w:tc>
          <w:tcPr>
            <w:tcW w:type="dxa" w:w="2160"/>
          </w:tcPr>
          <w:p>
            <w:r>
              <w:t>The Contractor **shall** provide program management, reporting, and governance to support OCDAO initiatives.</w:t>
            </w:r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The Contractor **shall** maintain a bi-weekly sprint cadence and report burndown metrics.</w:t>
            </w:r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The Contractor **shall** propose a standardized, cyber-hardened platform with reusable assets.</w:t>
            </w:r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The Contractor **shall** evaluate COTS and GOTS tools and provide adoption recommendations.</w:t>
            </w:r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The Contractor **shall** design and operate data pipelines and ingestion patterns that support ML adoption.</w:t>
            </w:r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The Contractor **shall** create governance artifacts and conduct RAI tabletop exercises.</w:t>
            </w:r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The Contractor **shall** develop a competency model and training playbooks.</w:t>
            </w:r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The Contractor **shall** provide calendar, correspondence, and tasking support with service levels.</w:t>
            </w:r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Covered</w:t>
            </w:r>
          </w:p>
        </w:tc>
      </w:tr>
    </w:tbl>
    <w:p>
      <w:pPr>
        <w:pStyle w:val="Heading1"/>
      </w:pPr>
      <w:r>
        <w:t>Technical Approach &amp; Methodology</w:t>
      </w:r>
    </w:p>
    <w:p>
      <w:pPr>
        <w:pStyle w:val="Heading2"/>
      </w:pPr>
      <w:r>
        <w:t>Response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</w:tbl>
    <w:p>
      <w:pPr>
        <w:jc w:val="right"/>
      </w:pPr>
      <w:r>
        <w:t>Section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Shall ID</w:t>
            </w:r>
          </w:p>
        </w:tc>
        <w:tc>
          <w:tcPr>
            <w:tcW w:type="dxa" w:w="2880"/>
          </w:tcPr>
          <w:p>
            <w:r>
              <w:t>PWS Section</w:t>
            </w:r>
          </w:p>
        </w:tc>
        <w:tc>
          <w:tcPr>
            <w:tcW w:type="dxa" w:w="2880"/>
          </w:tcPr>
          <w:p>
            <w:r>
              <w:t>How Addressed</w:t>
            </w:r>
          </w:p>
        </w:tc>
      </w:tr>
      <w:tr>
        <w:tc>
          <w:tcPr>
            <w:tcW w:type="dxa" w:w="2880"/>
          </w:tcPr>
          <w:p>
            <w:r>
              <w:t>c7a15b5025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Response Overview</w:t>
            </w:r>
          </w:p>
        </w:tc>
      </w:tr>
      <w:tr>
        <w:tc>
          <w:tcPr>
            <w:tcW w:type="dxa" w:w="2880"/>
          </w:tcPr>
          <w:p>
            <w:r>
              <w:t>b7cdc23c07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Response Overview</w:t>
            </w:r>
          </w:p>
        </w:tc>
      </w:tr>
      <w:tr>
        <w:tc>
          <w:tcPr>
            <w:tcW w:type="dxa" w:w="2880"/>
          </w:tcPr>
          <w:p>
            <w:r>
              <w:t>0a1fa318e1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Response Overview</w:t>
            </w:r>
          </w:p>
        </w:tc>
      </w:tr>
      <w:tr>
        <w:tc>
          <w:tcPr>
            <w:tcW w:type="dxa" w:w="2880"/>
          </w:tcPr>
          <w:p>
            <w:r>
              <w:t>361d5f71bb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Response Overview</w:t>
            </w:r>
          </w:p>
        </w:tc>
      </w:tr>
      <w:tr>
        <w:tc>
          <w:tcPr>
            <w:tcW w:type="dxa" w:w="2880"/>
          </w:tcPr>
          <w:p>
            <w:r>
              <w:t>0618d93a4c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Response Overview</w:t>
            </w:r>
          </w:p>
        </w:tc>
      </w:tr>
      <w:tr>
        <w:tc>
          <w:tcPr>
            <w:tcW w:type="dxa" w:w="2880"/>
          </w:tcPr>
          <w:p>
            <w:r>
              <w:t>114f51d97a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Response Overview</w:t>
            </w:r>
          </w:p>
        </w:tc>
      </w:tr>
      <w:tr>
        <w:tc>
          <w:tcPr>
            <w:tcW w:type="dxa" w:w="2880"/>
          </w:tcPr>
          <w:p>
            <w:r>
              <w:t>a3b4f666bc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Response Overview</w:t>
            </w:r>
          </w:p>
        </w:tc>
      </w:tr>
      <w:tr>
        <w:tc>
          <w:tcPr>
            <w:tcW w:type="dxa" w:w="2880"/>
          </w:tcPr>
          <w:p>
            <w:r>
              <w:t>f202c68c86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Response Overview</w:t>
            </w:r>
          </w:p>
        </w:tc>
      </w:tr>
    </w:tbl>
    <w:p>
      <w:pPr>
        <w:jc w:val="right"/>
      </w:pPr>
      <w:r>
        <w:t>Requirements Coverage</w:t>
      </w:r>
    </w:p>
    <w:p>
      <w:r>
        <w:t>[Executive-Value] The Contractor **shall** provide program management, reporting, and governance to support OCDAO initiatives; [Technical-Solution] The Contractor **shall** maintain a bi-weekly sprint cadence and report burndown metrics; [Financial-Impact] The Contractor **shall** propose a standardized, cyber-hardened platform with reusable assets; [Risk-Control] The Contractor **shall** evaluate COTS and GOTS tools and provide adoption recommendations; [Implementation-Plan] The Contractor **shall** design and operate data pipelines and ingestion patterns that support ML adoption; [Success-Metrics] The Contractor **shall** create governance artifacts and conduct RAI tabletop exercises; [Competitive-Edge] The Contractor **shall** develop a competency model and training playbooks.</w:t>
      </w:r>
    </w:p>
    <w:p>
      <w:pPr>
        <w:pStyle w:val="Heading2"/>
      </w:pPr>
      <w:r>
        <w:t>Proposal Development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Always start with a roadmap and define Labor Categories.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Assign authors to proposal sections.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Request Pink Team input and assemble inputs into a working document.</w:t>
            </w:r>
          </w:p>
        </w:tc>
      </w:tr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Distribute the Pink Team document to the team for review.</w:t>
            </w:r>
          </w:p>
        </w:tc>
      </w:tr>
      <w:tr>
        <w:tc>
          <w:tcPr>
            <w:tcW w:type="dxa" w:w="4320"/>
          </w:tcPr>
          <w:p>
            <w:r>
              <w:t>Deliverables</w:t>
            </w:r>
          </w:p>
        </w:tc>
        <w:tc>
          <w:tcPr>
            <w:tcW w:type="dxa" w:w="4320"/>
          </w:tcPr>
          <w:p>
            <w:r>
              <w:t>Incorporate all feedback and finalize the proposal.</w:t>
            </w:r>
          </w:p>
        </w:tc>
      </w:tr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Include a kickoff meeting and generate an initial outline.</w:t>
            </w:r>
          </w:p>
        </w:tc>
      </w:tr>
      <w:tr>
        <w:tc>
          <w:tcPr>
            <w:tcW w:type="dxa" w:w="4320"/>
          </w:tcPr>
          <w:p>
            <w:r>
              <w:t>Schedule</w:t>
            </w:r>
          </w:p>
        </w:tc>
        <w:tc>
          <w:tcPr>
            <w:tcW w:type="dxa" w:w="4320"/>
          </w:tcPr>
          <w:p>
            <w:r>
              <w:t>Prepare a submission email listing all required filenames.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Conduct a Pink Team Review for first compliance and structure check; ensure requirements are addressed and direction is correct.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Conduct a Red Team Review at 85–90% solution to strengthen technical and management content.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Send documents back to authors for adjudication of comments and revisions.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Complete a full Red Review (prose draft).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Perform an internal review of the management section.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Review technical content again and send back for adjudication if needed.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Conduct a Gold Review for final refinement, polishing content, graphics, and narrative.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Perform a White Glove Review by a C-level executive and Proposal Manager (check grammar, RFP compliance, 508 compliance).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Perform a compliance check immediately after creating the outline.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Verify that SF-33s, SF-18s, and SF-1449s are signed and amendments acknowledged.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Ensure RFP compliance before submission.</w:t>
            </w:r>
          </w:p>
        </w:tc>
      </w:tr>
    </w:tbl>
    <w:p>
      <w:pPr>
        <w:jc w:val="right"/>
      </w:pPr>
      <w:r>
        <w:t>Section Summary</w:t>
      </w:r>
    </w:p>
    <w:p>
      <w:r>
        <w:t>[Approach] Always start with a roadmap and define Labor Categories; [Schedule] Include a kickoff meeting and generate an initial outline; [Compliance] Perform a compliance check immediately after creating the outline; [Approach] Assign authors to proposal sections; [QA] Conduct a Pink Team Review for first compliance and structure check; ensure requirements are addressed and direction is correct; [Approach] Request Pink Team input and assemble inputs into a working document; [Approach] Distribute the Pink Team document to the team for review; [QA] Conduct a Red Team Review at 85–90% solution to strengthen technical and management content; [QA] Send documents back to authors for adjudication of comments and revisions; [QA] Complete a full Red Review (prose draft); [QA] Perform an internal review of the management section; [Compliance] Verify that SF-33s, SF-18s, and SF-1449s are signed and amendments acknowledged; [QA] Review technical content again and send back for adjudication if needed; [Schedule] Prepare a submission email listing all required filenames; [QA] Conduct a Gold Review for final refinement, polishing content, graphics, and narrative; [Compliance] Ensure RFP compliance before submission; [QA] Perform a White Glove Review by a C-level executive and Proposal Manager (check grammar, RFP compliance, 508 compliance); [Deliverables] Incorporate all feedback and finalize the proposal.</w:t>
      </w:r>
    </w:p>
    <w:p>
      <w:pPr>
        <w:pStyle w:val="Heading1"/>
      </w:pPr>
      <w:r>
        <w:t>Compliance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Shall ID</w:t>
            </w:r>
          </w:p>
        </w:tc>
        <w:tc>
          <w:tcPr>
            <w:tcW w:type="dxa" w:w="2160"/>
          </w:tcPr>
          <w:p>
            <w:r>
              <w:t>Section</w:t>
            </w:r>
          </w:p>
        </w:tc>
        <w:tc>
          <w:tcPr>
            <w:tcW w:type="dxa" w:w="2160"/>
          </w:tcPr>
          <w:p>
            <w:r>
              <w:t>Covered By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c7a15b5025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b7cdc23c07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0a1fa318e1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361d5f71bb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0618d93a4c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114f51d97a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a3b4f666bc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  <w:tr>
        <w:tc>
          <w:tcPr>
            <w:tcW w:type="dxa" w:w="2160"/>
          </w:tcPr>
          <w:p>
            <w:r>
              <w:t>f202c68c86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Response Overview</w:t>
            </w:r>
          </w:p>
        </w:tc>
        <w:tc>
          <w:tcPr>
            <w:tcW w:type="dxa" w:w="2160"/>
          </w:tcPr>
          <w:p>
            <w:r>
              <w:t>covered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 w:val="0"/>
      </w:rPr>
      <w:t>Use or disclosure is subject to restrictions on the title page.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t>ORAN</w:t>
          </w:r>
        </w:p>
      </w:tc>
      <w:tc>
        <w:tcPr>
          <w:tcW w:type="dxa" w:w="4320"/>
        </w:tcPr>
        <w:p>
          <w:pPr>
            <w:jc w:val="right"/>
          </w:pPr>
          <w:r>
            <w:rPr>
              <w:b/>
            </w:rPr>
            <w:t>Digital &amp; AI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5B9BD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