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color w:val="auto"/>
          <w:sz w:val="18"/>
          <w:szCs w:val="18"/>
        </w:rPr>
      </w:pPr>
      <w:r>
        <w:rPr>
          <w:b/>
          <w:color w:val="auto"/>
          <w:sz w:val="18"/>
          <w:szCs w:val="18"/>
        </w:rPr>
        <w:t xml:space="preserve">Описание объекта закупки</w:t>
      </w:r>
      <w:r>
        <w:rPr>
          <w:sz w:val="18"/>
          <w:szCs w:val="18"/>
        </w:rPr>
      </w:r>
    </w:p>
    <w:tbl>
      <w:tblPr>
        <w:tblStyle w:val="61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30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25" w:type="dxa"/>
              <w:top w:w="0" w:type="dxa"/>
              <w:right w:w="150" w:type="dxa"/>
              <w:bottom w:w="0" w:type="dxa"/>
            </w:tcMar>
            <w:tcW w:w="16309" w:type="dxa"/>
            <w:vAlign w:val="center"/>
            <w:textDirection w:val="lrTb"/>
            <w:noWrap w:val="false"/>
          </w:tcPr>
          <w:tbl>
            <w:tblPr>
              <w:tblStyle w:val="618"/>
              <w:tblW w:w="0" w:type="auto"/>
              <w:tblInd w:w="0" w:type="dxa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2"/>
              <w:gridCol w:w="3402"/>
              <w:gridCol w:w="1134"/>
              <w:gridCol w:w="1559"/>
              <w:gridCol w:w="1276"/>
              <w:gridCol w:w="2693"/>
            </w:tblGrid>
            <w:tr>
              <w:trPr/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18"/>
                      <w:szCs w:val="18"/>
                    </w:rPr>
                    <w:t xml:space="preserve">Наименование товара, работы, услуги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18"/>
                      <w:szCs w:val="18"/>
                    </w:rPr>
                    <w:t xml:space="preserve">Код позиции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1134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18"/>
                      <w:szCs w:val="18"/>
                    </w:rPr>
                    <w:t xml:space="preserve">Кол-во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1559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18"/>
                      <w:szCs w:val="18"/>
                    </w:rPr>
                    <w:t xml:space="preserve">Единица измерения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1276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18"/>
                      <w:szCs w:val="18"/>
                    </w:rPr>
                    <w:t xml:space="preserve">Цена за единицу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18"/>
                      <w:szCs w:val="18"/>
                    </w:rPr>
                    <w:t xml:space="preserve">Стоимость позиции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center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Многофункциональное устройство (МФУ)</w:t>
                    <w:br/>
                    <w:t xml:space="preserve">Идентификатор: 202905673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center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26.20.18.000-00000069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1134" w:type="dxa"/>
                  <w:vAlign w:val="center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2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1559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Штука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1276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120052.00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240104.00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</w:tbl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25" w:type="dxa"/>
              <w:top w:w="0" w:type="dxa"/>
              <w:right w:w="150" w:type="dxa"/>
              <w:bottom w:w="0" w:type="dxa"/>
            </w:tcMar>
            <w:tcW w:w="16309" w:type="dxa"/>
            <w:vAlign w:val="center"/>
            <w:textDirection w:val="lrTb"/>
            <w:noWrap w:val="false"/>
          </w:tcPr>
          <w:tbl>
            <w:tblPr>
              <w:tblStyle w:val="618"/>
              <w:tblW w:w="0" w:type="auto"/>
              <w:tblInd w:w="0" w:type="dxa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2"/>
              <w:gridCol w:w="3402"/>
              <w:gridCol w:w="2693"/>
              <w:gridCol w:w="5102"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rPr/>
              <w:tc>
                <w:tcPr>
                  <w:gridSpan w:val="100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15983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18"/>
                      <w:szCs w:val="18"/>
                    </w:rPr>
                    <w:t xml:space="preserve">Характеристики товара, работы, услуги ( Многофункциональное устройство (МФУ) )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18"/>
                      <w:szCs w:val="18"/>
                    </w:rPr>
                    <w:t xml:space="preserve">Наименование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18"/>
                      <w:szCs w:val="18"/>
                    </w:rPr>
                    <w:t xml:space="preserve">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18"/>
                      <w:szCs w:val="18"/>
                    </w:rPr>
                    <w:t xml:space="preserve">Единица измерения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18"/>
                      <w:szCs w:val="18"/>
                    </w:rPr>
                    <w:t xml:space="preserve">Инструкция по заполнению характеристики в заявке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Наличие в комплекте поставки оригинального стартового фотобарабана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Да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Значение характеристики не может изменяться участником закупки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vMerge w:val="restart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Совместимость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Windows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vMerge w:val="restart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vMerge w:val="restart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все значения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vMerge w:val="continue"/>
                  <w:textDirection w:val="lrTb"/>
                  <w:noWrap w:val="false"/>
                </w:tcPr>
                <w:p>
                  <w:r/>
                  <w:r/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Linux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vMerge w:val="continue"/>
                  <w:textDirection w:val="lrTb"/>
                  <w:noWrap w:val="false"/>
                </w:tcPr>
                <w:p>
                  <w:r/>
                  <w:r/>
                </w:p>
              </w:tc>
              <w:tc>
                <w:tcPr>
                  <w:vMerge w:val="continue"/>
                  <w:textDirection w:val="lrTb"/>
                  <w:noWrap w:val="false"/>
                </w:tcPr>
                <w:p>
                  <w:r/>
                  <w:r/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Наличие в комплекте поставки оригинального стартового черного тонер-картриджа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Да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Значение характеристики не может изменяться участником закупки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Возможность автоматического двухстороннего сканирования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Да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Значение характеристики не может изменяться участником закупки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Наличие обходного лотка подачи бумаги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Да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Значение характеристики не может изменяться участником закупки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Режим сканирования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В сетевую папку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Значение характеристики не может изменяться участником закупки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Наличие кабеля электропитания для подключения к сети 220В в комплекте поставки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Да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Значение характеристики не может изменяться участником закупки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vMerge w:val="restart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Тип сканирования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Планшетный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vMerge w:val="restart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vMerge w:val="restart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все значения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vMerge w:val="continue"/>
                  <w:textDirection w:val="lrTb"/>
                  <w:noWrap w:val="false"/>
                </w:tcPr>
                <w:p>
                  <w:r/>
                  <w:r/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Протяжный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vMerge w:val="continue"/>
                  <w:textDirection w:val="lrTb"/>
                  <w:noWrap w:val="false"/>
                </w:tcPr>
                <w:p>
                  <w:r/>
                  <w:r/>
                </w:p>
              </w:tc>
              <w:tc>
                <w:tcPr>
                  <w:vMerge w:val="continue"/>
                  <w:textDirection w:val="lrTb"/>
                  <w:noWrap w:val="false"/>
                </w:tcPr>
                <w:p>
                  <w:r/>
                  <w:r/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Наличие устройства автоподачи сканера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Да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Значение характеристики не может изменяться участником закупки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Технология печати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Электрографическая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Значение характеристики не может изменяться участником закупки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Максимальный формат печати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А4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Значение характеристики не может изменяться участником закупки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Наличие интерфейсного кабеля для подключения к компьютеру в комплекте поставки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Да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Значение характеристики не может изменяться участником закупки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Возможность автоматической двухсторонней печати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Да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Значение характеристики не может изменяться участником закупки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vMerge w:val="restart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Способ подключения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USB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vMerge w:val="restart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vMerge w:val="restart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все значения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vMerge w:val="continue"/>
                  <w:textDirection w:val="lrTb"/>
                  <w:noWrap w:val="false"/>
                </w:tcPr>
                <w:p>
                  <w:r/>
                  <w:r/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Ethernet (RJ-45)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vMerge w:val="continue"/>
                  <w:textDirection w:val="lrTb"/>
                  <w:noWrap w:val="false"/>
                </w:tcPr>
                <w:p>
                  <w:r/>
                  <w:r/>
                </w:p>
              </w:tc>
              <w:tc>
                <w:tcPr>
                  <w:vMerge w:val="continue"/>
                  <w:textDirection w:val="lrTb"/>
                  <w:noWrap w:val="false"/>
                </w:tcPr>
                <w:p>
                  <w:r/>
                  <w:r/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Цветность печати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Черно-Белая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Значение характеристики не может изменяться участником закупки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Время выхода первого черно-белого отпечатка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≤ 7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Секунда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конкретное 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Скорость черно-белой печати в формате А4, стр/мин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≥ 40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конкретное 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Количество оригинальных фотобарабанов (включая стартовый), поставляемых с оборудованием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≥ 2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Штука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конкретное 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Максимальное разрешение черно-белой печати по горизонтали, dpi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≥ 1200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конкретное 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Максимальное оптическое разрешение сканирования по вертикали, dpi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≥ 1200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конкретное 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Количество оригинальных черных тонер-картриджей (включая стартовый), поставляемых с оборудованием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≥ 2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Штука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конкретное 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Объем установленной оперативной памяти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≥ 512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Мегабайт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конкретное 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Суммарная емкость устройства автоподачи сканера оригиналов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≥ 50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Лист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конкретное 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Суммарная емкость выходных лотков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≥ 150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Лист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конкретное 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Максимальное разрешение черно-белой печати по вертикали, dpi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≥ 1200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конкретное 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Частота процессора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≥ 1200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Мегагерц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конкретное 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Максимальное оптическое разрешение сканирования по горизонтали, dpi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≥ 1200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конкретное 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475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Количество печати страниц в месяц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3402" w:type="dxa"/>
                  <w:vAlign w:val="top"/>
                  <w:textDirection w:val="lrTb"/>
                  <w:noWrap w:val="false"/>
                </w:tcPr>
                <w:p>
                  <w:pPr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≥ 100000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2693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Штука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left w:w="75" w:type="dxa"/>
                    <w:top w:w="75" w:type="dxa"/>
                    <w:right w:w="75" w:type="dxa"/>
                    <w:bottom w:w="75" w:type="dxa"/>
                  </w:tcMar>
                  <w:tcW w:w="5102" w:type="dxa"/>
                  <w:vAlign w:val="top"/>
                  <w:textDirection w:val="lrTb"/>
                  <w:noWrap w:val="false"/>
                </w:tcPr>
                <w:p>
                  <w:pPr>
                    <w:jc w:val="center"/>
                    <w:spacing w:before="0" w:after="0" w:line="57" w:lineRule="atLeast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18"/>
                      <w:szCs w:val="18"/>
                    </w:rPr>
                    <w:t xml:space="preserve">Участник закупки указывает в заявке конкретное значение характеристики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</w:tbl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rPr>
          <w:color w:val="auto"/>
          <w:sz w:val="18"/>
          <w:szCs w:val="18"/>
        </w:rPr>
      </w:pPr>
      <w:r>
        <w:rPr>
          <w:color w:val="auto"/>
          <w:sz w:val="18"/>
          <w:szCs w:val="18"/>
          <w:lang w:val="en-US" w:bidi="ru-RU"/>
        </w:rPr>
      </w:r>
      <w:r>
        <w:rPr>
          <w:sz w:val="18"/>
          <w:szCs w:val="18"/>
        </w:rPr>
      </w:r>
    </w:p>
    <w:p>
      <w:pPr>
        <w:pStyle w:val="676"/>
        <w:ind w:left="0" w:firstLine="567"/>
        <w:tabs>
          <w:tab w:val="left" w:pos="2880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</w:r>
      <w:r>
        <w:rPr>
          <w:sz w:val="18"/>
          <w:szCs w:val="18"/>
        </w:rPr>
      </w:r>
    </w:p>
    <w:p>
      <w:pPr>
        <w:pStyle w:val="676"/>
        <w:ind w:left="0" w:firstLine="567"/>
        <w:tabs>
          <w:tab w:val="left" w:pos="2880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Единицы измерения:</w:t>
      </w:r>
      <w:r>
        <w:rPr>
          <w:sz w:val="18"/>
          <w:szCs w:val="18"/>
        </w:rPr>
      </w:r>
    </w:p>
    <w:p>
      <w:pPr>
        <w:pStyle w:val="676"/>
        <w:ind w:left="0" w:firstLine="567"/>
        <w:tabs>
          <w:tab w:val="left" w:pos="2880" w:leader="none"/>
        </w:tabs>
        <w:rPr>
          <w:sz w:val="18"/>
          <w:szCs w:val="18"/>
        </w:rPr>
      </w:pPr>
      <w:r>
        <w:rPr>
          <w:sz w:val="18"/>
          <w:szCs w:val="18"/>
        </w:rPr>
        <w:t xml:space="preserve">В случае наличия технических опечаток в единицах измерения показателей, их следует читать в соответствии с Международной системой единиц (СИ).</w:t>
      </w:r>
      <w:r>
        <w:rPr>
          <w:sz w:val="18"/>
          <w:szCs w:val="18"/>
        </w:rPr>
      </w:r>
    </w:p>
    <w:p>
      <w:pPr>
        <w:pStyle w:val="676"/>
        <w:ind w:left="0" w:firstLine="567"/>
        <w:tabs>
          <w:tab w:val="left" w:pos="2880" w:leader="none"/>
        </w:tabs>
        <w:rPr>
          <w:sz w:val="18"/>
          <w:szCs w:val="18"/>
        </w:rPr>
      </w:pPr>
      <w:r>
        <w:rPr>
          <w:sz w:val="18"/>
          <w:szCs w:val="18"/>
        </w:rPr>
        <w:t xml:space="preserve">Обоснование необходимости использования показателей, требований, условных обозначений и терминологии не установленных в соответствии с законодательством о техническом регулировании, законодательством о стандартизации РФ: </w:t>
      </w:r>
      <w:r>
        <w:rPr>
          <w:sz w:val="18"/>
          <w:szCs w:val="18"/>
        </w:rPr>
      </w:r>
    </w:p>
    <w:p>
      <w:pPr>
        <w:pStyle w:val="676"/>
        <w:ind w:left="0" w:firstLine="567"/>
        <w:tabs>
          <w:tab w:val="left" w:pos="2880" w:leader="none"/>
        </w:tabs>
        <w:rPr>
          <w:sz w:val="18"/>
          <w:szCs w:val="18"/>
        </w:rPr>
      </w:pPr>
      <w:r>
        <w:rPr>
          <w:sz w:val="18"/>
          <w:szCs w:val="18"/>
        </w:rPr>
        <w:t xml:space="preserve">Применение параметров, условных обозначений и терминологии, касающихся технических, функциональных (потребительских свойств) и ка</w:t>
      </w:r>
      <w:r>
        <w:rPr>
          <w:sz w:val="18"/>
          <w:szCs w:val="18"/>
        </w:rPr>
        <w:t xml:space="preserve">чественных характеристик товара, не учтенных Техническими Регламентами Таможенного Союза и национальными стандартами обусловлено необходимостью поставки товара надлежащего качества, с параметрами в наибольшей степени удовлетворяющими потребности Заказчика.</w:t>
      </w:r>
      <w:r>
        <w:rPr>
          <w:sz w:val="18"/>
          <w:szCs w:val="18"/>
        </w:rPr>
      </w:r>
    </w:p>
    <w:sectPr>
      <w:footnotePr/>
      <w:endnotePr/>
      <w:type w:val="nextPage"/>
      <w:pgSz w:w="16838" w:h="11906" w:orient="landscape"/>
      <w:pgMar w:top="1134" w:right="425" w:bottom="680" w:left="357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ahoma">
    <w:panose1 w:val="020B0604030504040204"/>
  </w:font>
  <w:font w:name="OpenSymbol">
    <w:panose1 w:val="05010000000000000000"/>
  </w:font>
  <w:font w:name="Courier New">
    <w:panose1 w:val="02070309020205020404"/>
  </w:font>
  <w:font w:name="Mangal">
    <w:panose1 w:val="02040503050406030204"/>
  </w:font>
  <w:font w:name="Calibri Light">
    <w:panose1 w:val="020F0302020204030204"/>
  </w:font>
  <w:font w:name="Arial">
    <w:panose1 w:val="020B0604020202020204"/>
  </w:font>
  <w:font w:name="SimSun">
    <w:panose1 w:val="02010600030101010101"/>
  </w:font>
  <w:font w:name="Microsoft YaHei">
    <w:panose1 w:val="020B0503020204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pStyle w:val="602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useFELayout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04"/>
    <w:link w:val="602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01"/>
    <w:next w:val="60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04"/>
    <w:link w:val="1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04"/>
    <w:link w:val="603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01"/>
    <w:next w:val="60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04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01"/>
    <w:next w:val="60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04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01"/>
    <w:next w:val="60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04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01"/>
    <w:next w:val="60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04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01"/>
    <w:next w:val="60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0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01"/>
    <w:next w:val="60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0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04"/>
    <w:link w:val="614"/>
    <w:uiPriority w:val="10"/>
    <w:rPr>
      <w:sz w:val="48"/>
      <w:szCs w:val="48"/>
    </w:rPr>
  </w:style>
  <w:style w:type="paragraph" w:styleId="36">
    <w:name w:val="Subtitle"/>
    <w:basedOn w:val="601"/>
    <w:next w:val="60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04"/>
    <w:link w:val="36"/>
    <w:uiPriority w:val="11"/>
    <w:rPr>
      <w:sz w:val="24"/>
      <w:szCs w:val="24"/>
    </w:rPr>
  </w:style>
  <w:style w:type="paragraph" w:styleId="38">
    <w:name w:val="Quote"/>
    <w:basedOn w:val="601"/>
    <w:next w:val="60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01"/>
    <w:next w:val="60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04"/>
    <w:link w:val="613"/>
    <w:uiPriority w:val="99"/>
  </w:style>
  <w:style w:type="paragraph" w:styleId="44">
    <w:name w:val="Footer"/>
    <w:basedOn w:val="60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04"/>
    <w:link w:val="44"/>
    <w:uiPriority w:val="99"/>
  </w:style>
  <w:style w:type="character" w:styleId="47">
    <w:name w:val="Caption Char"/>
    <w:basedOn w:val="612"/>
    <w:link w:val="44"/>
    <w:uiPriority w:val="99"/>
  </w:style>
  <w:style w:type="table" w:styleId="49">
    <w:name w:val="Table Grid Light"/>
    <w:basedOn w:val="60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0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04"/>
    <w:uiPriority w:val="99"/>
    <w:unhideWhenUsed/>
    <w:rPr>
      <w:vertAlign w:val="superscript"/>
    </w:rPr>
  </w:style>
  <w:style w:type="paragraph" w:styleId="178">
    <w:name w:val="endnote text"/>
    <w:basedOn w:val="60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04"/>
    <w:uiPriority w:val="99"/>
    <w:semiHidden/>
    <w:unhideWhenUsed/>
    <w:rPr>
      <w:vertAlign w:val="superscript"/>
    </w:rPr>
  </w:style>
  <w:style w:type="paragraph" w:styleId="181">
    <w:name w:val="toc 1"/>
    <w:basedOn w:val="601"/>
    <w:next w:val="60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01"/>
    <w:next w:val="60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01"/>
    <w:next w:val="60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01"/>
    <w:next w:val="60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01"/>
    <w:next w:val="60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01"/>
    <w:next w:val="60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01"/>
    <w:next w:val="60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01"/>
    <w:next w:val="60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01"/>
    <w:next w:val="60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01"/>
    <w:next w:val="601"/>
    <w:uiPriority w:val="99"/>
    <w:unhideWhenUsed/>
    <w:pPr>
      <w:spacing w:after="0" w:afterAutospacing="0"/>
    </w:pPr>
  </w:style>
  <w:style w:type="paragraph" w:styleId="601" w:default="1">
    <w:name w:val="Normal"/>
    <w:qFormat/>
    <w:pPr>
      <w:widowControl w:val="off"/>
    </w:pPr>
    <w:rPr>
      <w:color w:val="00000a"/>
      <w:lang w:eastAsia="zh-CN"/>
    </w:rPr>
  </w:style>
  <w:style w:type="paragraph" w:styleId="602">
    <w:name w:val="Heading 1"/>
    <w:basedOn w:val="601"/>
    <w:next w:val="607"/>
    <w:qFormat/>
    <w:pPr>
      <w:numPr>
        <w:numId w:val="1"/>
      </w:numPr>
      <w:widowControl/>
      <w:tabs>
        <w:tab w:val="left" w:pos="0" w:leader="none"/>
      </w:tabs>
      <w:outlineLvl w:val="0"/>
    </w:pPr>
    <w:rPr>
      <w:b/>
      <w:bCs/>
      <w:caps/>
      <w:color w:val="333333"/>
      <w:sz w:val="21"/>
      <w:szCs w:val="21"/>
    </w:rPr>
  </w:style>
  <w:style w:type="paragraph" w:styleId="603">
    <w:name w:val="Heading 3"/>
    <w:basedOn w:val="601"/>
    <w:next w:val="601"/>
    <w:link w:val="609"/>
    <w:uiPriority w:val="9"/>
    <w:qFormat/>
    <w:pPr>
      <w:keepNext/>
      <w:spacing w:before="240" w:after="60"/>
      <w:outlineLvl w:val="2"/>
    </w:pPr>
    <w:rPr>
      <w:rFonts w:ascii="Calibri Light" w:hAnsi="Calibri Light" w:eastAsia="Times New Roman"/>
      <w:b/>
      <w:bCs/>
      <w:sz w:val="26"/>
      <w:szCs w:val="26"/>
    </w:rPr>
  </w:style>
  <w:style w:type="character" w:styleId="604" w:default="1">
    <w:name w:val="Default Paragraph Font"/>
    <w:uiPriority w:val="1"/>
    <w:semiHidden/>
    <w:unhideWhenUsed/>
  </w:style>
  <w:style w:type="table" w:styleId="6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6" w:default="1">
    <w:name w:val="No List"/>
    <w:uiPriority w:val="99"/>
    <w:semiHidden/>
    <w:unhideWhenUsed/>
  </w:style>
  <w:style w:type="paragraph" w:styleId="607">
    <w:name w:val="Body Text"/>
    <w:basedOn w:val="601"/>
    <w:link w:val="608"/>
    <w:pPr>
      <w:jc w:val="both"/>
      <w:spacing w:after="120"/>
      <w:widowControl/>
    </w:pPr>
    <w:rPr>
      <w:sz w:val="24"/>
    </w:rPr>
  </w:style>
  <w:style w:type="character" w:styleId="608" w:customStyle="1">
    <w:name w:val="Основной текст Знак"/>
    <w:link w:val="607"/>
    <w:rPr>
      <w:color w:val="00000a"/>
      <w:sz w:val="24"/>
      <w:lang w:eastAsia="zh-CN"/>
    </w:rPr>
  </w:style>
  <w:style w:type="character" w:styleId="609" w:customStyle="1">
    <w:name w:val="Заголовок 3 Знак"/>
    <w:link w:val="603"/>
    <w:uiPriority w:val="9"/>
    <w:semiHidden/>
    <w:rPr>
      <w:rFonts w:ascii="Calibri Light" w:hAnsi="Calibri Light" w:eastAsia="Times New Roman" w:cs="Times New Roman"/>
      <w:b/>
      <w:bCs/>
      <w:color w:val="00000a"/>
      <w:sz w:val="26"/>
      <w:szCs w:val="26"/>
      <w:lang w:eastAsia="zh-CN"/>
    </w:rPr>
  </w:style>
  <w:style w:type="character" w:styleId="610">
    <w:name w:val="Emphasis"/>
    <w:qFormat/>
    <w:rPr>
      <w:i/>
      <w:iCs/>
    </w:rPr>
  </w:style>
  <w:style w:type="character" w:styleId="611">
    <w:name w:val="Hyperlink"/>
    <w:rPr>
      <w:color w:val="0000ff"/>
      <w:u w:val="single"/>
    </w:rPr>
  </w:style>
  <w:style w:type="paragraph" w:styleId="612">
    <w:name w:val="Caption"/>
    <w:basedOn w:val="601"/>
    <w:qFormat/>
    <w:pPr>
      <w:spacing w:before="120" w:after="120"/>
      <w:suppressLineNumbers/>
    </w:pPr>
    <w:rPr>
      <w:rFonts w:cs="Mangal"/>
      <w:i/>
      <w:iCs/>
      <w:sz w:val="24"/>
      <w:szCs w:val="24"/>
    </w:rPr>
  </w:style>
  <w:style w:type="paragraph" w:styleId="613">
    <w:name w:val="Header"/>
    <w:basedOn w:val="601"/>
    <w:pPr>
      <w:tabs>
        <w:tab w:val="center" w:pos="4677" w:leader="none"/>
        <w:tab w:val="right" w:pos="9355" w:leader="none"/>
      </w:tabs>
    </w:pPr>
  </w:style>
  <w:style w:type="paragraph" w:styleId="614">
    <w:name w:val="Title"/>
    <w:basedOn w:val="601"/>
    <w:next w:val="607"/>
    <w:qFormat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615">
    <w:name w:val="List"/>
    <w:basedOn w:val="607"/>
    <w:rPr>
      <w:rFonts w:cs="Mangal"/>
    </w:rPr>
  </w:style>
  <w:style w:type="paragraph" w:styleId="616">
    <w:name w:val="Normal (Web)"/>
    <w:basedOn w:val="601"/>
    <w:uiPriority w:val="99"/>
    <w:unhideWhenUsed/>
    <w:rPr>
      <w:sz w:val="24"/>
      <w:szCs w:val="24"/>
    </w:rPr>
  </w:style>
  <w:style w:type="paragraph" w:styleId="617">
    <w:name w:val="HTML Preformatted"/>
    <w:basedOn w:val="601"/>
    <w:uiPriority w:val="99"/>
    <w:unhideWhenUsed/>
    <w:qFormat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</w:rPr>
  </w:style>
  <w:style w:type="table" w:styleId="618">
    <w:name w:val="Table Grid"/>
    <w:basedOn w:val="605"/>
    <w:uiPriority w:val="39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619" w:customStyle="1">
    <w:name w:val="WW8Num1z0"/>
  </w:style>
  <w:style w:type="character" w:styleId="620" w:customStyle="1">
    <w:name w:val="WW8Num1z1"/>
  </w:style>
  <w:style w:type="character" w:styleId="621" w:customStyle="1">
    <w:name w:val="WW8Num1z2"/>
  </w:style>
  <w:style w:type="character" w:styleId="622" w:customStyle="1">
    <w:name w:val="WW8Num1z3"/>
  </w:style>
  <w:style w:type="character" w:styleId="623" w:customStyle="1">
    <w:name w:val="WW8Num1z4"/>
  </w:style>
  <w:style w:type="character" w:styleId="624" w:customStyle="1">
    <w:name w:val="WW8Num1z5"/>
  </w:style>
  <w:style w:type="character" w:styleId="625" w:customStyle="1">
    <w:name w:val="WW8Num1z6"/>
  </w:style>
  <w:style w:type="character" w:styleId="626" w:customStyle="1">
    <w:name w:val="WW8Num1z7"/>
  </w:style>
  <w:style w:type="character" w:styleId="627" w:customStyle="1">
    <w:name w:val="WW8Num1z8"/>
  </w:style>
  <w:style w:type="character" w:styleId="628" w:customStyle="1">
    <w:name w:val="WW8Num2z0"/>
  </w:style>
  <w:style w:type="character" w:styleId="629" w:customStyle="1">
    <w:name w:val="WW8Num2z1"/>
  </w:style>
  <w:style w:type="character" w:styleId="630" w:customStyle="1">
    <w:name w:val="WW8Num2z2"/>
  </w:style>
  <w:style w:type="character" w:styleId="631" w:customStyle="1">
    <w:name w:val="WW8Num2z3"/>
  </w:style>
  <w:style w:type="character" w:styleId="632" w:customStyle="1">
    <w:name w:val="WW8Num2z4"/>
  </w:style>
  <w:style w:type="character" w:styleId="633" w:customStyle="1">
    <w:name w:val="WW8Num2z5"/>
  </w:style>
  <w:style w:type="character" w:styleId="634" w:customStyle="1">
    <w:name w:val="WW8Num2z6"/>
  </w:style>
  <w:style w:type="character" w:styleId="635" w:customStyle="1">
    <w:name w:val="WW8Num2z7"/>
  </w:style>
  <w:style w:type="character" w:styleId="636" w:customStyle="1">
    <w:name w:val="WW8Num2z8"/>
  </w:style>
  <w:style w:type="character" w:styleId="637" w:customStyle="1">
    <w:name w:val="Основной шрифт абзаца3"/>
  </w:style>
  <w:style w:type="character" w:styleId="638" w:customStyle="1">
    <w:name w:val="Основной шрифт абзаца2"/>
  </w:style>
  <w:style w:type="character" w:styleId="639" w:customStyle="1">
    <w:name w:val="Основной шрифт абзаца1"/>
  </w:style>
  <w:style w:type="character" w:styleId="640" w:customStyle="1">
    <w:name w:val="Default Paragraph Font_0"/>
  </w:style>
  <w:style w:type="character" w:styleId="641" w:customStyle="1">
    <w:name w:val="Текст выноски Знак"/>
    <w:rPr>
      <w:rFonts w:ascii="Tahoma" w:hAnsi="Tahoma" w:cs="Tahoma"/>
      <w:sz w:val="16"/>
      <w:szCs w:val="16"/>
    </w:rPr>
  </w:style>
  <w:style w:type="character" w:styleId="642" w:customStyle="1">
    <w:name w:val="tx1"/>
    <w:rPr>
      <w:b/>
      <w:bCs/>
    </w:rPr>
  </w:style>
  <w:style w:type="character" w:styleId="643" w:customStyle="1">
    <w:name w:val="apple-style-span"/>
  </w:style>
  <w:style w:type="character" w:styleId="644" w:customStyle="1">
    <w:name w:val="m1"/>
    <w:rPr>
      <w:color w:val="0000ff"/>
    </w:rPr>
  </w:style>
  <w:style w:type="character" w:styleId="645" w:customStyle="1">
    <w:name w:val="Знак примечания1"/>
    <w:rPr>
      <w:sz w:val="16"/>
      <w:szCs w:val="16"/>
    </w:rPr>
  </w:style>
  <w:style w:type="character" w:styleId="646" w:customStyle="1">
    <w:name w:val="Текст примечания Знак"/>
    <w:rPr>
      <w:rFonts w:ascii="Times New Roman" w:hAnsi="Times New Roman" w:cs="Times New Roman"/>
    </w:rPr>
  </w:style>
  <w:style w:type="character" w:styleId="647" w:customStyle="1">
    <w:name w:val="Название Знак"/>
    <w:rPr>
      <w:rFonts w:ascii="Times New Roman" w:hAnsi="Times New Roman" w:cs="Times New Roman"/>
      <w:b/>
      <w:bCs/>
      <w:sz w:val="28"/>
      <w:szCs w:val="24"/>
    </w:rPr>
  </w:style>
  <w:style w:type="character" w:styleId="648" w:customStyle="1">
    <w:name w:val="Верхний колонтитул Знак"/>
    <w:rPr>
      <w:rFonts w:ascii="Times New Roman" w:hAnsi="Times New Roman" w:cs="Times New Roman"/>
    </w:rPr>
  </w:style>
  <w:style w:type="character" w:styleId="649" w:customStyle="1">
    <w:name w:val="Заголовок 1 Знак"/>
    <w:rPr>
      <w:rFonts w:ascii="Times New Roman" w:hAnsi="Times New Roman" w:cs="Times New Roman"/>
      <w:b/>
      <w:bCs/>
      <w:caps/>
      <w:color w:val="333333"/>
      <w:sz w:val="21"/>
      <w:szCs w:val="21"/>
    </w:rPr>
  </w:style>
  <w:style w:type="character" w:styleId="650" w:customStyle="1">
    <w:name w:val="ListLabel 1"/>
    <w:rPr>
      <w:rFonts w:cs="Courier New"/>
    </w:rPr>
  </w:style>
  <w:style w:type="character" w:styleId="651" w:customStyle="1">
    <w:name w:val="ListLabel 2"/>
    <w:rPr>
      <w:color w:val="00000a"/>
    </w:rPr>
  </w:style>
  <w:style w:type="character" w:styleId="652" w:customStyle="1">
    <w:name w:val="ListLabel 3"/>
    <w:rPr>
      <w:rFonts w:cs="Times New Roman"/>
    </w:rPr>
  </w:style>
  <w:style w:type="character" w:styleId="653" w:customStyle="1">
    <w:name w:val="ListLabel 4"/>
    <w:rPr>
      <w:rFonts w:eastAsia="Times New Roman" w:cs="Times New Roman"/>
    </w:rPr>
  </w:style>
  <w:style w:type="character" w:styleId="654" w:customStyle="1">
    <w:name w:val="ListLabel 5"/>
    <w:rPr>
      <w:rFonts w:cs="Times New Roman"/>
      <w:b/>
      <w:color w:val="00000a"/>
    </w:rPr>
  </w:style>
  <w:style w:type="character" w:styleId="655" w:customStyle="1">
    <w:name w:val="ListLabel 6"/>
    <w:rPr>
      <w:rFonts w:eastAsia="Times New Roman" w:cs="Times New Roman"/>
      <w:b w:val="0"/>
      <w:i w:val="0"/>
      <w:color w:val="00000a"/>
      <w:sz w:val="24"/>
      <w:szCs w:val="24"/>
    </w:rPr>
  </w:style>
  <w:style w:type="character" w:styleId="656" w:customStyle="1">
    <w:name w:val="ListLabel 7"/>
    <w:rPr>
      <w:rFonts w:cs="Times New Roman"/>
      <w:color w:val="00000a"/>
    </w:rPr>
  </w:style>
  <w:style w:type="character" w:styleId="657" w:customStyle="1">
    <w:name w:val="Маркеры списка"/>
    <w:rPr>
      <w:rFonts w:ascii="OpenSymbol" w:hAnsi="OpenSymbol" w:eastAsia="OpenSymbol" w:cs="OpenSymbol"/>
    </w:rPr>
  </w:style>
  <w:style w:type="paragraph" w:styleId="658" w:customStyle="1">
    <w:name w:val="Указатель4"/>
    <w:basedOn w:val="601"/>
    <w:pPr>
      <w:suppressLineNumbers/>
    </w:pPr>
    <w:rPr>
      <w:rFonts w:cs="Mangal"/>
    </w:rPr>
  </w:style>
  <w:style w:type="paragraph" w:styleId="659" w:customStyle="1">
    <w:name w:val="Название объекта3"/>
    <w:basedOn w:val="601"/>
    <w:pPr>
      <w:spacing w:before="120" w:after="120"/>
      <w:suppressLineNumbers/>
    </w:pPr>
    <w:rPr>
      <w:rFonts w:cs="Mangal"/>
      <w:i/>
      <w:iCs/>
      <w:sz w:val="24"/>
      <w:szCs w:val="24"/>
    </w:rPr>
  </w:style>
  <w:style w:type="paragraph" w:styleId="660" w:customStyle="1">
    <w:name w:val="Указатель3"/>
    <w:basedOn w:val="601"/>
    <w:pPr>
      <w:suppressLineNumbers/>
    </w:pPr>
    <w:rPr>
      <w:rFonts w:cs="Mangal"/>
    </w:rPr>
  </w:style>
  <w:style w:type="paragraph" w:styleId="661" w:customStyle="1">
    <w:name w:val="Название объекта2"/>
    <w:basedOn w:val="601"/>
    <w:next w:val="607"/>
    <w:pPr>
      <w:jc w:val="center"/>
      <w:widowControl/>
    </w:pPr>
    <w:rPr>
      <w:b/>
      <w:bCs/>
      <w:sz w:val="28"/>
      <w:szCs w:val="24"/>
    </w:rPr>
  </w:style>
  <w:style w:type="paragraph" w:styleId="662" w:customStyle="1">
    <w:name w:val="Указатель2"/>
    <w:basedOn w:val="601"/>
    <w:pPr>
      <w:suppressLineNumbers/>
    </w:pPr>
    <w:rPr>
      <w:rFonts w:cs="Mangal"/>
    </w:rPr>
  </w:style>
  <w:style w:type="paragraph" w:styleId="663" w:customStyle="1">
    <w:name w:val="Название объекта1"/>
    <w:basedOn w:val="601"/>
    <w:pPr>
      <w:spacing w:before="120" w:after="120"/>
      <w:suppressLineNumbers/>
    </w:pPr>
    <w:rPr>
      <w:rFonts w:cs="Mangal"/>
      <w:i/>
      <w:iCs/>
      <w:sz w:val="24"/>
      <w:szCs w:val="24"/>
    </w:rPr>
  </w:style>
  <w:style w:type="paragraph" w:styleId="664" w:customStyle="1">
    <w:name w:val="Указатель1"/>
    <w:basedOn w:val="601"/>
    <w:pPr>
      <w:suppressLineNumbers/>
    </w:pPr>
    <w:rPr>
      <w:rFonts w:cs="Mangal"/>
    </w:rPr>
  </w:style>
  <w:style w:type="paragraph" w:styleId="665" w:customStyle="1">
    <w:name w:val="Текст выноски1"/>
    <w:basedOn w:val="601"/>
    <w:rPr>
      <w:rFonts w:ascii="Tahoma" w:hAnsi="Tahoma" w:cs="Tahoma"/>
      <w:sz w:val="16"/>
      <w:szCs w:val="16"/>
    </w:rPr>
  </w:style>
  <w:style w:type="paragraph" w:styleId="666" w:customStyle="1">
    <w:name w:val="ConsNonformat"/>
    <w:rPr>
      <w:color w:val="00000a"/>
      <w:sz w:val="22"/>
      <w:lang w:eastAsia="zh-CN"/>
    </w:rPr>
  </w:style>
  <w:style w:type="paragraph" w:styleId="667" w:customStyle="1">
    <w:name w:val="Абзац списка1"/>
    <w:basedOn w:val="601"/>
    <w:pPr>
      <w:contextualSpacing/>
      <w:ind w:left="720"/>
      <w:widowControl/>
    </w:pPr>
  </w:style>
  <w:style w:type="paragraph" w:styleId="668" w:customStyle="1">
    <w:name w:val="Текст примечания1"/>
    <w:basedOn w:val="601"/>
  </w:style>
  <w:style w:type="paragraph" w:styleId="669" w:customStyle="1">
    <w:name w:val="Без интервала1"/>
    <w:rPr>
      <w:rFonts w:ascii="Calibri" w:hAnsi="Calibri" w:cs="Calibri"/>
      <w:color w:val="00000a"/>
      <w:sz w:val="22"/>
      <w:szCs w:val="22"/>
      <w:lang w:eastAsia="zh-CN"/>
    </w:rPr>
  </w:style>
  <w:style w:type="paragraph" w:styleId="670" w:customStyle="1">
    <w:name w:val="ConsNormal"/>
    <w:pPr>
      <w:ind w:firstLine="720"/>
      <w:widowControl w:val="off"/>
    </w:pPr>
    <w:rPr>
      <w:rFonts w:ascii="Arial" w:hAnsi="Arial" w:cs="Arial"/>
      <w:color w:val="00000a"/>
      <w:lang w:eastAsia="zh-CN"/>
    </w:rPr>
  </w:style>
  <w:style w:type="paragraph" w:styleId="671" w:customStyle="1">
    <w:name w:val="Абзац списка1"/>
    <w:basedOn w:val="601"/>
    <w:pPr>
      <w:contextualSpacing/>
      <w:ind w:left="720"/>
      <w:spacing w:before="192"/>
      <w:widowControl/>
    </w:pPr>
    <w:rPr>
      <w:rFonts w:ascii="Calibri" w:hAnsi="Calibri" w:cs="Calibri"/>
      <w:sz w:val="22"/>
      <w:szCs w:val="22"/>
    </w:rPr>
  </w:style>
  <w:style w:type="paragraph" w:styleId="672" w:customStyle="1">
    <w:name w:val="Декоративный"/>
    <w:pPr>
      <w:jc w:val="center"/>
    </w:pPr>
    <w:rPr>
      <w:b/>
      <w:color w:val="00000a"/>
      <w:sz w:val="24"/>
      <w:lang w:eastAsia="zh-CN"/>
    </w:rPr>
  </w:style>
  <w:style w:type="paragraph" w:styleId="673" w:customStyle="1">
    <w:name w:val="Обычный (Интернет)1"/>
    <w:basedOn w:val="601"/>
    <w:pPr>
      <w:spacing w:before="150" w:after="280"/>
      <w:widowControl/>
    </w:pPr>
    <w:rPr>
      <w:rFonts w:ascii="Arial" w:hAnsi="Arial" w:cs="Arial"/>
      <w:sz w:val="21"/>
      <w:szCs w:val="21"/>
    </w:rPr>
  </w:style>
  <w:style w:type="paragraph" w:styleId="674" w:customStyle="1">
    <w:name w:val="Содержимое таблицы"/>
    <w:basedOn w:val="601"/>
    <w:pPr>
      <w:suppressLineNumbers/>
    </w:pPr>
  </w:style>
  <w:style w:type="paragraph" w:styleId="675" w:customStyle="1">
    <w:name w:val="Заголовок таблицы"/>
    <w:basedOn w:val="674"/>
    <w:pPr>
      <w:jc w:val="center"/>
    </w:pPr>
    <w:rPr>
      <w:b/>
      <w:bCs/>
    </w:rPr>
  </w:style>
  <w:style w:type="paragraph" w:styleId="676">
    <w:name w:val="List Paragraph"/>
    <w:basedOn w:val="601"/>
    <w:uiPriority w:val="34"/>
    <w:qFormat/>
    <w:pPr>
      <w:contextualSpacing/>
      <w:ind w:left="720"/>
      <w:widowControl/>
    </w:pPr>
    <w:rPr>
      <w:color w:val="auto"/>
      <w:lang w:eastAsia="ru-RU"/>
    </w:rPr>
  </w:style>
  <w:style w:type="paragraph" w:styleId="677" w:customStyle="1">
    <w:name w:val="Основной текст (2)"/>
    <w:basedOn w:val="601"/>
    <w:qFormat/>
    <w:pPr>
      <w:jc w:val="center"/>
      <w:spacing w:before="360" w:after="600" w:line="0" w:lineRule="atLeast"/>
      <w:shd w:val="clear" w:color="auto" w:fill="ffffff"/>
    </w:pPr>
  </w:style>
  <w:style w:type="paragraph" w:styleId="678" w:customStyle="1">
    <w:name w:val="ConsPlusNormal"/>
    <w:uiPriority w:val="99"/>
    <w:qFormat/>
    <w:pPr>
      <w:ind w:firstLine="720"/>
      <w:widowControl w:val="off"/>
    </w:pPr>
    <w:rPr>
      <w:rFonts w:ascii="Arial" w:hAnsi="Arial" w:eastAsia="Times New Roman" w:cs="Aria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Р7-Офис/7.3.0.0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размещение государственного заказа на проведение обследования с оценкой технического состояния строительных конструк</dc:title>
  <dc:creator>u036</dc:creator>
  <cp:revision>10</cp:revision>
  <dcterms:created xsi:type="dcterms:W3CDTF">2024-09-23T08:00:00Z</dcterms:created>
  <dcterms:modified xsi:type="dcterms:W3CDTF">2026-01-28T08:12:26Z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579964AE033848F7A11B9D504914731A</vt:lpwstr>
  </property>
  <property fmtid="{D5CDD505-2E9C-101B-9397-08002B2CF9AE}" pid="3" name="KSOProductBuildVer">
    <vt:lpwstr>1049-12.2.0.16909</vt:lpwstr>
  </property>
</Properties>
</file>