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Assessing</w:t>
      </w:r>
      <w:r>
        <w:t xml:space="preserve"> </w:t>
      </w:r>
      <w:r>
        <w:t xml:space="preserve">AI</w:t>
      </w:r>
      <w:r>
        <w:t xml:space="preserve"> </w:t>
      </w:r>
      <w:r>
        <w:t xml:space="preserve">Maturity</w:t>
      </w:r>
      <w:r>
        <w:t xml:space="preserve"> </w:t>
      </w:r>
      <w:r>
        <w:t xml:space="preserve">in</w:t>
      </w:r>
      <w:r>
        <w:t xml:space="preserve"> </w:t>
      </w:r>
      <w:r>
        <w:t xml:space="preserve">the</w:t>
      </w:r>
      <w:r>
        <w:t xml:space="preserve"> </w:t>
      </w:r>
      <w:r>
        <w:t xml:space="preserve">Agentic</w:t>
      </w:r>
      <w:r>
        <w:t xml:space="preserve"> </w:t>
      </w:r>
      <w:r>
        <w:t xml:space="preserve">Era</w:t>
      </w:r>
    </w:p>
    <w:p>
      <w:pPr>
        <w:pStyle w:val="Subtitle"/>
      </w:pPr>
      <w:r>
        <w:t xml:space="preserve">Measuring</w:t>
      </w:r>
      <w:r>
        <w:t xml:space="preserve"> </w:t>
      </w:r>
      <w:r>
        <w:t xml:space="preserve">AI</w:t>
      </w:r>
      <w:r>
        <w:t xml:space="preserve"> </w:t>
      </w:r>
      <w:r>
        <w:t xml:space="preserve">effectiveness</w:t>
      </w:r>
      <w:r>
        <w:t xml:space="preserve"> </w:t>
      </w:r>
      <w:r>
        <w:t xml:space="preserve">and</w:t>
      </w:r>
      <w:r>
        <w:t xml:space="preserve"> </w:t>
      </w:r>
      <w:r>
        <w:t xml:space="preserve">readiness</w:t>
      </w:r>
      <w:r>
        <w:t xml:space="preserve"> </w:t>
      </w:r>
      <w:r>
        <w:t xml:space="preserve">across</w:t>
      </w:r>
      <w:r>
        <w:t xml:space="preserve"> </w:t>
      </w:r>
      <w:r>
        <w:t xml:space="preserve">the</w:t>
      </w:r>
      <w:r>
        <w:t xml:space="preserve"> </w:t>
      </w:r>
      <w:r>
        <w:t xml:space="preserve">enterprise</w:t>
      </w:r>
      <w:r>
        <w:t xml:space="preserve"> </w:t>
      </w:r>
      <w:r>
        <w:t xml:space="preserve">and</w:t>
      </w:r>
      <w:r>
        <w:t xml:space="preserve"> </w:t>
      </w:r>
      <w:r>
        <w:t xml:space="preserve">the</w:t>
      </w:r>
      <w:r>
        <w:t xml:space="preserve"> </w:t>
      </w:r>
      <w:r>
        <w:t xml:space="preserve">engineering</w:t>
      </w:r>
      <w:r>
        <w:t xml:space="preserve"> </w:t>
      </w:r>
      <w:r>
        <w:t xml:space="preserve">estate</w:t>
      </w:r>
    </w:p>
    <w:p>
      <w:pPr>
        <w:pStyle w:val="Author"/>
      </w:pPr>
      <w:r>
        <w:t xml:space="preserve">Working</w:t>
      </w:r>
      <w:r>
        <w:t xml:space="preserve"> </w:t>
      </w:r>
      <w:r>
        <w:t xml:space="preserve">paper,</w:t>
      </w:r>
      <w:r>
        <w:t xml:space="preserve"> </w:t>
      </w:r>
      <w:r>
        <w:t xml:space="preserve">version</w:t>
      </w:r>
      <w:r>
        <w:t xml:space="preserve"> </w:t>
      </w:r>
      <w:r>
        <w:t xml:space="preserve">1.0.</w:t>
      </w:r>
      <w:r>
        <w:t xml:space="preserve"> </w:t>
      </w:r>
      <w:r>
        <w:t xml:space="preserve">September</w:t>
      </w:r>
      <w:r>
        <w:t xml:space="preserve"> </w:t>
      </w:r>
      <w:r>
        <w:t xml:space="preserve">2026.</w:t>
      </w:r>
      <w:r>
        <w:t xml:space="preserve"> </w:t>
      </w:r>
      <w:r>
        <w:t xml:space="preserve">Written</w:t>
      </w:r>
      <w:r>
        <w:t xml:space="preserve"> </w:t>
      </w:r>
      <w:r>
        <w:t xml:space="preserve">from</w:t>
      </w:r>
      <w:r>
        <w:t xml:space="preserve"> </w:t>
      </w:r>
      <w:r>
        <w:t xml:space="preserve">the</w:t>
      </w:r>
      <w:r>
        <w:t xml:space="preserve"> </w:t>
      </w:r>
      <w:r>
        <w:t xml:space="preserve">standpoint</w:t>
      </w:r>
      <w:r>
        <w:t xml:space="preserve"> </w:t>
      </w:r>
      <w:r>
        <w:t xml:space="preserve">of</w:t>
      </w:r>
      <w:r>
        <w:t xml:space="preserve"> </w:t>
      </w:r>
      <w:r>
        <w:t xml:space="preserve">an</w:t>
      </w:r>
      <w:r>
        <w:t xml:space="preserve"> </w:t>
      </w:r>
      <w:r>
        <w:t xml:space="preserve">AI/ML</w:t>
      </w:r>
      <w:r>
        <w:t xml:space="preserve"> </w:t>
      </w:r>
      <w:r>
        <w:t xml:space="preserve">researcher</w:t>
      </w:r>
      <w:r>
        <w:t xml:space="preserve"> </w:t>
      </w:r>
      <w:r>
        <w:t xml:space="preserve">and</w:t>
      </w:r>
      <w:r>
        <w:t xml:space="preserve"> </w:t>
      </w:r>
      <w:r>
        <w:t xml:space="preserve">Distinguished</w:t>
      </w:r>
      <w:r>
        <w:t xml:space="preserve"> </w:t>
      </w:r>
      <w:r>
        <w:t xml:space="preserve">Engineer</w:t>
      </w:r>
      <w:r>
        <w:t xml:space="preserve"> </w:t>
      </w:r>
      <w:r>
        <w:t xml:space="preserve">in</w:t>
      </w:r>
      <w:r>
        <w:t xml:space="preserve"> </w:t>
      </w:r>
      <w:r>
        <w:t xml:space="preserve">a</w:t>
      </w:r>
      <w:r>
        <w:t xml:space="preserve"> </w:t>
      </w:r>
      <w:r>
        <w:t xml:space="preserve">large</w:t>
      </w:r>
      <w:r>
        <w:t xml:space="preserve"> </w:t>
      </w:r>
      <w:r>
        <w:t xml:space="preserve">technology</w:t>
      </w:r>
      <w:r>
        <w:t xml:space="preserve"> </w:t>
      </w:r>
      <w:r>
        <w:t xml:space="preserve">organization</w:t>
      </w:r>
      <w:r>
        <w:t xml:space="preserve"> </w:t>
      </w:r>
      <w:r>
        <w:t xml:space="preserve">operating</w:t>
      </w:r>
      <w:r>
        <w:t xml:space="preserve"> </w:t>
      </w:r>
      <w:r>
        <w:t xml:space="preserve">under</w:t>
      </w:r>
      <w:r>
        <w:t xml:space="preserve"> </w:t>
      </w:r>
      <w:r>
        <w:t xml:space="preserve">regulatory</w:t>
      </w:r>
      <w:r>
        <w:t xml:space="preserve"> </w:t>
      </w:r>
      <w:r>
        <w:t xml:space="preserve">and</w:t>
      </w:r>
      <w:r>
        <w:t xml:space="preserve"> </w:t>
      </w:r>
      <w:r>
        <w:t xml:space="preserve">compliance</w:t>
      </w:r>
      <w:r>
        <w:t xml:space="preserve"> </w:t>
      </w:r>
      <w:r>
        <w:t xml:space="preserve">obligations.</w:t>
      </w:r>
      <w:r>
        <w:t xml:space="preserve"> </w:t>
      </w:r>
      <w:r>
        <w:t xml:space="preserve">All</w:t>
      </w:r>
      <w:r>
        <w:t xml:space="preserve"> </w:t>
      </w:r>
      <w:r>
        <w:t xml:space="preserve">sources</w:t>
      </w:r>
      <w:r>
        <w:t xml:space="preserve"> </w:t>
      </w:r>
      <w:r>
        <w:t xml:space="preserve">are</w:t>
      </w:r>
      <w:r>
        <w:t xml:space="preserve"> </w:t>
      </w:r>
      <w:r>
        <w:t xml:space="preserve">public.</w:t>
      </w:r>
    </w:p>
    <w:p>
      <w:pPr>
        <w:pStyle w:val="BodyText"/>
        <w:spacing w:after="40" w:before="0"/>
        <w:ind w:left="280"/>
      </w:pPr>
      <w:r>
        <w:rPr>
          <w:sz w:val="20"/>
        </w:rPr>
        <w:t>Abstract</w:t>
      </w:r>
    </w:p>
    <w:p>
      <w:pPr>
        <w:pStyle w:val="BodyText"/>
        <w:spacing w:after="40" w:before="0"/>
        <w:ind w:left="280"/>
      </w:pPr>
      <w:r>
        <w:rPr>
          <w:sz w:val="20"/>
        </w:rPr>
        <w:t>1. Introduction, scope and definitions</w:t>
      </w:r>
    </w:p>
    <w:p>
      <w:pPr>
        <w:pStyle w:val="BodyText"/>
        <w:spacing w:after="40" w:before="0"/>
        <w:ind w:left="280"/>
      </w:pPr>
      <w:r>
        <w:rPr>
          <w:sz w:val="20"/>
        </w:rPr>
        <w:t>2. The problem: adoption without evidence</w:t>
      </w:r>
    </w:p>
    <w:p>
      <w:pPr>
        <w:pStyle w:val="BodyText"/>
        <w:spacing w:after="40" w:before="0"/>
        <w:ind w:left="280"/>
      </w:pPr>
      <w:r>
        <w:rPr>
          <w:sz w:val="20"/>
        </w:rPr>
        <w:t>3. What agents need as context</w:t>
      </w:r>
    </w:p>
    <w:p>
      <w:pPr>
        <w:pStyle w:val="BodyText"/>
        <w:spacing w:after="40" w:before="0"/>
        <w:ind w:left="280"/>
      </w:pPr>
      <w:r>
        <w:rPr>
          <w:sz w:val="20"/>
        </w:rPr>
        <w:t>4. What the industry and academia have</w:t>
      </w:r>
    </w:p>
    <w:p>
      <w:pPr>
        <w:pStyle w:val="BodyText"/>
        <w:spacing w:after="40" w:before="0"/>
        <w:ind w:left="280"/>
      </w:pPr>
      <w:r>
        <w:rPr>
          <w:sz w:val="20"/>
        </w:rPr>
        <w:t>5. What a regular company can do: the AIMM framework</w:t>
      </w:r>
    </w:p>
    <w:p>
      <w:pPr>
        <w:pStyle w:val="BodyText"/>
        <w:spacing w:after="40" w:before="0"/>
        <w:ind w:left="280"/>
      </w:pPr>
      <w:r>
        <w:rPr>
          <w:sz w:val="20"/>
        </w:rPr>
        <w:t>6. Limitations and threats to validity</w:t>
      </w:r>
    </w:p>
    <w:p>
      <w:pPr>
        <w:pStyle w:val="BodyText"/>
        <w:spacing w:after="40" w:before="0"/>
        <w:ind w:left="280"/>
      </w:pPr>
      <w:r>
        <w:rPr>
          <w:sz w:val="20"/>
        </w:rPr>
        <w:t>7. Conclusion</w:t>
      </w:r>
    </w:p>
    <w:p>
      <w:pPr>
        <w:pStyle w:val="BodyText"/>
        <w:spacing w:after="40" w:before="0"/>
        <w:ind w:left="280"/>
      </w:pPr>
      <w:r>
        <w:rPr>
          <w:sz w:val="20"/>
        </w:rPr>
        <w:t>8. References</w:t>
      </w:r>
    </w:p>
    <w:bookmarkStart w:id="20" w:name="abstract"/>
    <w:p>
      <w:pPr>
        <w:pStyle w:val="Heading2"/>
      </w:pPr>
      <w:r>
        <w:t xml:space="preserve">Abstract</w:t>
      </w:r>
    </w:p>
    <w:p>
      <w:pPr>
        <w:pStyle w:val="FirstParagraph"/>
      </w:pPr>
      <w:r>
        <w:t xml:space="preserve">Nearly nine in ten organizations now report regular AI use, yet the share reporting any enterprise-level earnings impact has been flat at roughly 37-39% for two years, and only about 6% qualify as</w:t>
      </w:r>
      <w:r>
        <w:t xml:space="preserve"> </w:t>
      </w:r>
      <w:r>
        <w:t xml:space="preserve">“</w:t>
      </w:r>
      <w:r>
        <w:t xml:space="preserve">high performers</w:t>
      </w:r>
      <w:r>
        <w:t xml:space="preserve">”</w:t>
      </w:r>
      <w:r>
        <w:t xml:space="preserve"> </w:t>
      </w:r>
      <w:r>
        <w:t xml:space="preserve">in the largest global survey [1, 2]. Adoption has outrun the ability to measure whether AI works, where it is ready to work, and what has to be true for it to work. Coding agents are the sharpest instance of the problem: they are the most-scaled class of enterprise agent, they act directly on production assets, and the evidence on their effect on delivery performance is mixed and unusually sensitive to context.</w:t>
      </w:r>
    </w:p>
    <w:p>
      <w:pPr>
        <w:pStyle w:val="BodyText"/>
      </w:pPr>
      <w:r>
        <w:t xml:space="preserve">This paper does four things. First, it states the problem precisely: an adoption-value gap, a measurement gap (perception versus measured effect, usage versus outcome, individual versus system), a model gap (existing maturity models are descriptive, weakly validated and silent on engineering-estate readiness), and a governance gap opened by agents. Second, it synthesizes what agents need as context, distinguishing knowledge sources (repository, organizational knowledge, policy) from workflow context (task specification, environment, verification signals, checkpoints, memory), and ranks the evidence for each. Third, it surveys what the industry and academia have: enterprise maturity models, engineering measurement frameworks, regulatory expectations from NIST, ISO/IEC 42001, the EU AI Act, MAS and IMDA, and public case studies from Goldman Sachs, JPMorgan Chase, Morgan Stanley, Citi, DBS, Google, Microsoft/GitHub, Amazon and others. Fourth, it proposes AIMM, a two-layer assessment model: an organizational maturity layer aligned to what regulators expect firms to evidence, and an agent-readiness index for repositories and workflows, scored on the minimum-across-dimensions principle of the ML Test Score. It closes with a 12-month path a regular company can follow, an evidence hierarchy for measurement, and a list of anti-patterns.</w:t>
      </w:r>
    </w:p>
    <w:p>
      <w:pPr>
        <w:pStyle w:val="BodyText"/>
      </w:pPr>
      <w:r>
        <w:rPr>
          <w:bCs/>
          <w:b/>
        </w:rPr>
        <w:t xml:space="preserve">Keywords:</w:t>
      </w:r>
      <w:r>
        <w:t xml:space="preserve"> </w:t>
      </w:r>
      <w:r>
        <w:t xml:space="preserve">AI maturity model, AI readiness, agentic software engineering, context engineering, developer productivity measurement, AI governance, model risk management.</w:t>
      </w:r>
    </w:p>
    <w:bookmarkEnd w:id="20"/>
    <w:bookmarkStart w:id="25" w:name="introduction-scope-and-definitions"/>
    <w:p>
      <w:pPr>
        <w:pStyle w:val="Heading2"/>
      </w:pPr>
      <w:r>
        <w:t xml:space="preserve">1. Introduction, scope and definitions</w:t>
      </w:r>
    </w:p>
    <w:bookmarkStart w:id="21" w:name="why-this-paper"/>
    <w:p>
      <w:pPr>
        <w:pStyle w:val="Heading3"/>
      </w:pPr>
      <w:r>
        <w:t xml:space="preserve">1.1 Why this paper</w:t>
      </w:r>
    </w:p>
    <w:p>
      <w:pPr>
        <w:pStyle w:val="FirstParagraph"/>
      </w:pPr>
      <w:r>
        <w:t xml:space="preserve">Between 2023 and 2026 the enterprise conversation about AI moved from</w:t>
      </w:r>
      <w:r>
        <w:t xml:space="preserve"> </w:t>
      </w:r>
      <w:r>
        <w:t xml:space="preserve">“</w:t>
      </w:r>
      <w:r>
        <w:t xml:space="preserve">should we adopt</w:t>
      </w:r>
      <w:r>
        <w:t xml:space="preserve">”</w:t>
      </w:r>
      <w:r>
        <w:t xml:space="preserve"> </w:t>
      </w:r>
      <w:r>
        <w:t xml:space="preserve">to</w:t>
      </w:r>
      <w:r>
        <w:t xml:space="preserve"> </w:t>
      </w:r>
      <w:r>
        <w:t xml:space="preserve">“</w:t>
      </w:r>
      <w:r>
        <w:t xml:space="preserve">why is the value not showing up.</w:t>
      </w:r>
      <w:r>
        <w:t xml:space="preserve">”</w:t>
      </w:r>
      <w:r>
        <w:t xml:space="preserve"> </w:t>
      </w:r>
      <w:r>
        <w:t xml:space="preserve">The same period saw the arrival of agents that plan multi-step work, call tools and modify systems without a human in every loop. In software engineering, that shift is already mainstream: Microsoft reported in July 2026 that one in three pull requests on GitHub involves an agent [3], Google reported that 75% of its new code is AI-generated and approved by engineers [4], and McKinsey found that roughly 20% of organizations, and 31% of large enterprises, are scaling software-coding agents in at least one function [1].</w:t>
      </w:r>
    </w:p>
    <w:p>
      <w:pPr>
        <w:pStyle w:val="BodyText"/>
      </w:pPr>
      <w:r>
        <w:t xml:space="preserve">The instruments organizations use to decide whether they are ready for this, and whether it is working, have not kept pace. Enterprise AI maturity models were designed for predictive analytics programs and pilot portfolios. Developer productivity metrics were designed for humans. Model risk management was designed for quantitative models with stable inputs. Each is partially applicable; none was built for a fleet of agents acting on a codebase under regulatory scrutiny.</w:t>
      </w:r>
    </w:p>
    <w:bookmarkEnd w:id="21"/>
    <w:bookmarkStart w:id="22" w:name="scope"/>
    <w:p>
      <w:pPr>
        <w:pStyle w:val="Heading3"/>
      </w:pPr>
      <w:r>
        <w:t xml:space="preserve">1.2 Scope</w:t>
      </w:r>
    </w:p>
    <w:p>
      <w:pPr>
        <w:pStyle w:val="FirstParagraph"/>
      </w:pPr>
      <w:r>
        <w:t xml:space="preserve">The paper covers both layers of the question and connects them:</w:t>
      </w:r>
    </w:p>
    <w:p>
      <w:pPr>
        <w:numPr>
          <w:ilvl w:val="0"/>
          <w:numId w:val="1001"/>
        </w:numPr>
        <w:pStyle w:val="Compact"/>
      </w:pPr>
      <w:r>
        <w:rPr>
          <w:bCs/>
          <w:b/>
        </w:rPr>
        <w:t xml:space="preserve">Enterprise-wide AI maturity:</w:t>
      </w:r>
      <w:r>
        <w:t xml:space="preserve"> </w:t>
      </w:r>
      <w:r>
        <w:t xml:space="preserve">strategy, data and knowledge, platform, governance and risk, people, and value measurement, with attention to what regulators in the US, EU, UK and Singapore now expect an organization to be able to evidence.</w:t>
      </w:r>
    </w:p>
    <w:p>
      <w:pPr>
        <w:numPr>
          <w:ilvl w:val="0"/>
          <w:numId w:val="1001"/>
        </w:numPr>
        <w:pStyle w:val="Compact"/>
      </w:pPr>
      <w:r>
        <w:rPr>
          <w:bCs/>
          <w:b/>
        </w:rPr>
        <w:t xml:space="preserve">Engineering-estate readiness for agents:</w:t>
      </w:r>
      <w:r>
        <w:t xml:space="preserve"> </w:t>
      </w:r>
      <w:r>
        <w:t xml:space="preserve">what a repository, a workflow and a platform must provide so that a coding agent operating in any harness (Claude Code, Codex, Copilot, Devin, Cursor, Jules and their successors) can succeed reliably, safely and measurably.</w:t>
      </w:r>
    </w:p>
    <w:p>
      <w:pPr>
        <w:pStyle w:val="FirstParagraph"/>
      </w:pPr>
      <w:r>
        <w:t xml:space="preserve">Case studies use public sources only. Financial services receives extra weight because it is where the regulatory lens is sharpest and where public disclosure of AI programs is unusually rich.</w:t>
      </w:r>
    </w:p>
    <w:bookmarkEnd w:id="22"/>
    <w:bookmarkStart w:id="23" w:name="definitions"/>
    <w:p>
      <w:pPr>
        <w:pStyle w:val="Heading3"/>
      </w:pPr>
      <w:r>
        <w:t xml:space="preserve">1.3 Definitions</w:t>
      </w:r>
    </w:p>
    <w:p>
      <w:pPr>
        <w:pStyle w:val="FirstParagraph"/>
      </w:pPr>
      <w:r>
        <w:t xml:space="preserve">The literature uses</w:t>
      </w:r>
      <w:r>
        <w:t xml:space="preserve"> </w:t>
      </w:r>
      <w:r>
        <w:t xml:space="preserve">“</w:t>
      </w:r>
      <w:r>
        <w:t xml:space="preserve">readiness,</w:t>
      </w:r>
      <w:r>
        <w:t xml:space="preserve">”</w:t>
      </w:r>
      <w:r>
        <w:t xml:space="preserve"> </w:t>
      </w:r>
      <w:r>
        <w:t xml:space="preserve">“</w:t>
      </w:r>
      <w:r>
        <w:t xml:space="preserve">maturity</w:t>
      </w:r>
      <w:r>
        <w:t xml:space="preserve">”</w:t>
      </w:r>
      <w:r>
        <w:t xml:space="preserve"> </w:t>
      </w:r>
      <w:r>
        <w:t xml:space="preserve">and</w:t>
      </w:r>
      <w:r>
        <w:t xml:space="preserve"> </w:t>
      </w:r>
      <w:r>
        <w:t xml:space="preserve">“</w:t>
      </w:r>
      <w:r>
        <w:t xml:space="preserve">effectiveness</w:t>
      </w:r>
      <w:r>
        <w:t xml:space="preserve">”</w:t>
      </w:r>
      <w:r>
        <w:t xml:space="preserve"> </w:t>
      </w:r>
      <w:r>
        <w:t xml:space="preserve">loosely. We fix them as follows.</w:t>
      </w:r>
    </w:p>
    <w:p>
      <w:pPr>
        <w:numPr>
          <w:ilvl w:val="0"/>
          <w:numId w:val="1002"/>
        </w:numPr>
        <w:pStyle w:val="Compact"/>
      </w:pPr>
      <w:r>
        <w:rPr>
          <w:bCs/>
          <w:b/>
        </w:rPr>
        <w:t xml:space="preserve">AI readiness</w:t>
      </w:r>
      <w:r>
        <w:t xml:space="preserve"> </w:t>
      </w:r>
      <w:r>
        <w:t xml:space="preserve">is a pre-adoption, purpose-specific property: whether an organization’s assets, capabilities and commitment are adequate for a particular AI adoption purpose [5]. Readiness is task-relative, in the same way that data can be ready for one question and unready for another [6].</w:t>
      </w:r>
    </w:p>
    <w:p>
      <w:pPr>
        <w:numPr>
          <w:ilvl w:val="0"/>
          <w:numId w:val="1002"/>
        </w:numPr>
        <w:pStyle w:val="Compact"/>
      </w:pPr>
      <w:r>
        <w:rPr>
          <w:bCs/>
          <w:b/>
        </w:rPr>
        <w:t xml:space="preserve">AI maturity</w:t>
      </w:r>
      <w:r>
        <w:t xml:space="preserve"> </w:t>
      </w:r>
      <w:r>
        <w:t xml:space="preserve">is a post-adoption, staged property: the degree to which AI practices are defined, repeatable, measured and continuously improved across the organization, in the lineage of the Capability Maturity Model [7].</w:t>
      </w:r>
    </w:p>
    <w:p>
      <w:pPr>
        <w:numPr>
          <w:ilvl w:val="0"/>
          <w:numId w:val="1002"/>
        </w:numPr>
        <w:pStyle w:val="Compact"/>
      </w:pPr>
      <w:r>
        <w:rPr>
          <w:bCs/>
          <w:b/>
        </w:rPr>
        <w:t xml:space="preserve">AI effectiveness</w:t>
      </w:r>
      <w:r>
        <w:t xml:space="preserve"> </w:t>
      </w:r>
      <w:r>
        <w:t xml:space="preserve">is the measured outcome: the change in delivery performance, quality, cost, risk and business results attributable to AI, measured at the system level rather than inferred from individual usage or self-report.</w:t>
      </w:r>
    </w:p>
    <w:p>
      <w:pPr>
        <w:numPr>
          <w:ilvl w:val="0"/>
          <w:numId w:val="1002"/>
        </w:numPr>
        <w:pStyle w:val="Compact"/>
      </w:pPr>
      <w:r>
        <w:t xml:space="preserve">An</w:t>
      </w:r>
      <w:r>
        <w:t xml:space="preserve"> </w:t>
      </w:r>
      <w:r>
        <w:rPr>
          <w:bCs/>
          <w:b/>
        </w:rPr>
        <w:t xml:space="preserve">agent</w:t>
      </w:r>
      <w:r>
        <w:t xml:space="preserve"> </w:t>
      </w:r>
      <w:r>
        <w:t xml:space="preserve">is a system in which a language model dynamically directs its own process and tool use to accomplish a task, as distinct from a workflow in which model calls are orchestrated through predefined code paths [8].</w:t>
      </w:r>
    </w:p>
    <w:p>
      <w:pPr>
        <w:numPr>
          <w:ilvl w:val="0"/>
          <w:numId w:val="1002"/>
        </w:numPr>
        <w:pStyle w:val="Compact"/>
      </w:pPr>
      <w:r>
        <w:t xml:space="preserve">A</w:t>
      </w:r>
      <w:r>
        <w:t xml:space="preserve"> </w:t>
      </w:r>
      <w:r>
        <w:rPr>
          <w:bCs/>
          <w:b/>
        </w:rPr>
        <w:t xml:space="preserve">harness</w:t>
      </w:r>
      <w:r>
        <w:t xml:space="preserve"> </w:t>
      </w:r>
      <w:r>
        <w:t xml:space="preserve">is the runtime that wraps a model with tools, context management, permissions and an execution environment; a</w:t>
      </w:r>
      <w:r>
        <w:t xml:space="preserve"> </w:t>
      </w:r>
      <w:r>
        <w:rPr>
          <w:bCs/>
          <w:b/>
        </w:rPr>
        <w:t xml:space="preserve">context file</w:t>
      </w:r>
      <w:r>
        <w:t xml:space="preserve"> </w:t>
      </w:r>
      <w:r>
        <w:t xml:space="preserve">is a repository-level instruction file (AGENTS.md, CLAUDE.md, copilot-instructions.md, Cursor rules) read by a harness [9-11].</w:t>
      </w:r>
    </w:p>
    <w:p>
      <w:pPr>
        <w:numPr>
          <w:ilvl w:val="0"/>
          <w:numId w:val="1002"/>
        </w:numPr>
        <w:pStyle w:val="Compact"/>
      </w:pPr>
      <w:r>
        <w:rPr>
          <w:bCs/>
          <w:b/>
        </w:rPr>
        <w:t xml:space="preserve">Context</w:t>
      </w:r>
      <w:r>
        <w:t xml:space="preserve"> </w:t>
      </w:r>
      <w:r>
        <w:t xml:space="preserve">is the full set of tokens and affordances an agent has at inference time: instructions, tools, retrieved knowledge, message history, environment state and verification signals [12].</w:t>
      </w:r>
    </w:p>
    <w:bookmarkEnd w:id="23"/>
    <w:bookmarkStart w:id="24" w:name="contributions"/>
    <w:p>
      <w:pPr>
        <w:pStyle w:val="Heading3"/>
      </w:pPr>
      <w:r>
        <w:t xml:space="preserve">1.4 Contributions</w:t>
      </w:r>
    </w:p>
    <w:p>
      <w:pPr>
        <w:numPr>
          <w:ilvl w:val="0"/>
          <w:numId w:val="1003"/>
        </w:numPr>
        <w:pStyle w:val="Compact"/>
      </w:pPr>
      <w:r>
        <w:t xml:space="preserve">A precise statement of the assessment problem, separating the adoption-value gap, the measurement gap, the model gap and the agentic governance gap (Section 2).</w:t>
      </w:r>
    </w:p>
    <w:p>
      <w:pPr>
        <w:numPr>
          <w:ilvl w:val="0"/>
          <w:numId w:val="1003"/>
        </w:numPr>
        <w:pStyle w:val="Compact"/>
      </w:pPr>
      <w:r>
        <w:t xml:space="preserve">An evidence-ranked taxonomy of what agents need as context, distinguishing knowledge sources from workflow context (Section 3).</w:t>
      </w:r>
    </w:p>
    <w:p>
      <w:pPr>
        <w:numPr>
          <w:ilvl w:val="0"/>
          <w:numId w:val="1003"/>
        </w:numPr>
        <w:pStyle w:val="Compact"/>
      </w:pPr>
      <w:r>
        <w:t xml:space="preserve">A comparative survey of industry maturity models, engineering measurement frameworks, regulatory expectations, public case studies and academic guidance, with a gap analysis (Section 4).</w:t>
      </w:r>
    </w:p>
    <w:p>
      <w:pPr>
        <w:numPr>
          <w:ilvl w:val="0"/>
          <w:numId w:val="1003"/>
        </w:numPr>
        <w:pStyle w:val="Compact"/>
      </w:pPr>
      <w:r>
        <w:t xml:space="preserve">AIMM, a two-layer assessment model with a scoring rule, a measurement plan, an assessment procedure and a 12-month roadmap for a regular company, plus a regulated-industry overlay (Section 5).</w:t>
      </w:r>
    </w:p>
    <w:bookmarkEnd w:id="24"/>
    <w:bookmarkEnd w:id="25"/>
    <w:bookmarkStart w:id="31" w:name="the-problem-adoption-without-evidence"/>
    <w:p>
      <w:pPr>
        <w:pStyle w:val="Heading2"/>
      </w:pPr>
      <w:r>
        <w:t xml:space="preserve">2. The problem: adoption without evidence</w:t>
      </w:r>
    </w:p>
    <w:bookmarkStart w:id="26" w:name="X92e4f188267237e45797dc4993ad587aa67a6ee"/>
    <w:p>
      <w:pPr>
        <w:pStyle w:val="Heading3"/>
      </w:pPr>
      <w:r>
        <w:t xml:space="preserve">2.1 The adoption-value gap is stable and independently replicated</w:t>
      </w:r>
    </w:p>
    <w:p>
      <w:pPr>
        <w:pStyle w:val="FirstParagraph"/>
      </w:pPr>
      <w:r>
        <w:t xml:space="preserve">Three years of surveys from independent sources tell the same story, and the story has not changed as models improved.</w:t>
      </w:r>
    </w:p>
    <w:tbl>
      <w:tblPr>
        <w:tblStyle w:val="Table"/>
        <w:tblW w:type="pct" w:w="5000"/>
        <w:tblLook w:firstRow="1" w:lastRow="0" w:firstColumn="0" w:lastColumn="0" w:noHBand="0" w:noVBand="0" w:val="0020"/>
        <w:jc w:val="start"/>
        <w:tblBorders>
          <w:top w:val="single" w:sz="4" w:color="C9D1D8"/>
          <w:left w:val="single" w:sz="4" w:color="C9D1D8"/>
          <w:bottom w:val="single" w:sz="4" w:color="C9D1D8"/>
          <w:right w:val="single" w:sz="4" w:color="C9D1D8"/>
          <w:insideH w:val="single" w:sz="4" w:color="C9D1D8"/>
          <w:insideV w:val="single" w:sz="4" w:color="C9D1D8"/>
        </w:tblBorders>
      </w:tblPr>
      <w:tblGrid>
        <w:gridCol w:w="2640"/>
        <w:gridCol w:w="2640"/>
        <w:gridCol w:w="2640"/>
      </w:tblGrid>
      <w:tr>
        <w:trPr>
          <w:tblHeader w:val="true"/>
        </w:trPr>
        <w:tc>
          <w:tcPr>
            <w:shd w:val="clear" w:color="auto" w:fill="EEF2F6"/>
          </w:tcPr>
          <w:p>
            <w:pPr>
              <w:pStyle w:val="Compact"/>
              <w:spacing w:after="40"/>
              <w:jc w:val="left"/>
            </w:pPr>
            <w:r>
              <w:rPr>
                <w:rFonts w:ascii="Calibri" w:hAnsi="Calibri"/>
                <w:b/>
                <w:sz w:val="17"/>
              </w:rPr>
              <w:t xml:space="preserve">Source (date, n)</w:t>
            </w:r>
          </w:p>
        </w:tc>
        <w:tc>
          <w:tcPr>
            <w:shd w:val="clear" w:color="auto" w:fill="EEF2F6"/>
          </w:tcPr>
          <w:p>
            <w:pPr>
              <w:pStyle w:val="Compact"/>
              <w:spacing w:after="40"/>
              <w:jc w:val="left"/>
            </w:pPr>
            <w:r>
              <w:rPr>
                <w:rFonts w:ascii="Calibri" w:hAnsi="Calibri"/>
                <w:b/>
                <w:sz w:val="17"/>
              </w:rPr>
              <w:t xml:space="preserve">Adoption signal</w:t>
            </w:r>
          </w:p>
        </w:tc>
        <w:tc>
          <w:tcPr>
            <w:shd w:val="clear" w:color="auto" w:fill="EEF2F6"/>
          </w:tcPr>
          <w:p>
            <w:pPr>
              <w:pStyle w:val="Compact"/>
              <w:spacing w:after="40"/>
              <w:jc w:val="left"/>
            </w:pPr>
            <w:r>
              <w:rPr>
                <w:rFonts w:ascii="Calibri" w:hAnsi="Calibri"/>
                <w:b/>
                <w:sz w:val="17"/>
              </w:rPr>
              <w:t xml:space="preserve">Value signal</w:t>
            </w:r>
          </w:p>
        </w:tc>
      </w:tr>
      <w:tr>
        <w:tc>
          <w:tcPr/>
          <w:p>
            <w:pPr>
              <w:pStyle w:val="Compact"/>
              <w:spacing w:after="40"/>
              <w:jc w:val="left"/>
            </w:pPr>
            <w:r>
              <w:rPr>
                <w:rFonts w:ascii="Calibri" w:hAnsi="Calibri"/>
                <w:sz w:val="17"/>
              </w:rPr>
              <w:t xml:space="preserve">McKinsey, State of AI 2026 (May-Jun 2026, n=1,719) [1]</w:t>
            </w:r>
          </w:p>
        </w:tc>
        <w:tc>
          <w:tcPr/>
          <w:p>
            <w:pPr>
              <w:pStyle w:val="Compact"/>
              <w:spacing w:after="40"/>
              <w:jc w:val="left"/>
            </w:pPr>
            <w:r>
              <w:rPr>
                <w:rFonts w:ascii="Calibri" w:hAnsi="Calibri"/>
                <w:sz w:val="17"/>
              </w:rPr>
              <w:t xml:space="preserve">~9 in 10 use AI in at least one function; 44% scaled enterprise-wide</w:t>
            </w:r>
          </w:p>
        </w:tc>
        <w:tc>
          <w:tcPr/>
          <w:p>
            <w:pPr>
              <w:pStyle w:val="Compact"/>
              <w:spacing w:after="40"/>
              <w:jc w:val="left"/>
            </w:pPr>
            <w:r>
              <w:rPr>
                <w:rFonts w:ascii="Calibri" w:hAnsi="Calibri"/>
                <w:sz w:val="17"/>
              </w:rPr>
              <w:t xml:space="preserve">37% attribute any EBIT impact to AI (39% in the 2025 survey; McKinsey describes it as flat); 6% high performers</w:t>
            </w:r>
          </w:p>
        </w:tc>
      </w:tr>
      <w:tr>
        <w:tc>
          <w:tcPr/>
          <w:p>
            <w:pPr>
              <w:pStyle w:val="Compact"/>
              <w:spacing w:after="40"/>
              <w:jc w:val="left"/>
            </w:pPr>
            <w:r>
              <w:rPr>
                <w:rFonts w:ascii="Calibri" w:hAnsi="Calibri"/>
                <w:sz w:val="17"/>
              </w:rPr>
              <w:t xml:space="preserve">McKinsey, State of AI 2025 (n=1,993) [2]</w:t>
            </w:r>
          </w:p>
        </w:tc>
        <w:tc>
          <w:tcPr/>
          <w:p>
            <w:pPr>
              <w:pStyle w:val="Compact"/>
              <w:spacing w:after="40"/>
              <w:jc w:val="left"/>
            </w:pPr>
            <w:r>
              <w:rPr>
                <w:rFonts w:ascii="Calibri" w:hAnsi="Calibri"/>
                <w:sz w:val="17"/>
              </w:rPr>
              <w:t xml:space="preserve">88% regular use; 62% experimenting with agents; 23% scaling an agentic system</w:t>
            </w:r>
          </w:p>
        </w:tc>
        <w:tc>
          <w:tcPr/>
          <w:p>
            <w:pPr>
              <w:pStyle w:val="Compact"/>
              <w:spacing w:after="40"/>
              <w:jc w:val="left"/>
            </w:pPr>
            <w:r>
              <w:rPr>
                <w:rFonts w:ascii="Calibri" w:hAnsi="Calibri"/>
                <w:sz w:val="17"/>
              </w:rPr>
              <w:t xml:space="preserve">39% report enterprise-level EBIT impact; 51% saw at least one negative consequence</w:t>
            </w:r>
          </w:p>
        </w:tc>
      </w:tr>
      <w:tr>
        <w:tc>
          <w:tcPr/>
          <w:p>
            <w:pPr>
              <w:pStyle w:val="Compact"/>
              <w:spacing w:after="40"/>
              <w:jc w:val="left"/>
            </w:pPr>
            <w:r>
              <w:rPr>
                <w:rFonts w:ascii="Calibri" w:hAnsi="Calibri"/>
                <w:sz w:val="17"/>
              </w:rPr>
              <w:t xml:space="preserve">BCG, Widening AI Value Gap (Sept 2025, n=1,250) [13]</w:t>
            </w:r>
          </w:p>
        </w:tc>
        <w:tc>
          <w:tcPr/>
          <w:p>
            <w:pPr>
              <w:pStyle w:val="Compact"/>
              <w:spacing w:after="40"/>
              <w:jc w:val="left"/>
            </w:pPr>
            <w:r>
              <w:rPr>
                <w:rFonts w:ascii="Calibri" w:hAnsi="Calibri"/>
                <w:sz w:val="17"/>
              </w:rPr>
              <w:t xml:space="preserve">46% experimenting with or deploying agents</w:t>
            </w:r>
          </w:p>
        </w:tc>
        <w:tc>
          <w:tcPr/>
          <w:p>
            <w:pPr>
              <w:pStyle w:val="Compact"/>
              <w:spacing w:after="40"/>
              <w:jc w:val="left"/>
            </w:pPr>
            <w:r>
              <w:rPr>
                <w:rFonts w:ascii="Calibri" w:hAnsi="Calibri"/>
                <w:sz w:val="17"/>
              </w:rPr>
              <w:t xml:space="preserve">5%</w:t>
            </w:r>
            <w:r>
              <w:rPr>
                <w:rFonts w:ascii="Calibri" w:hAnsi="Calibri"/>
                <w:sz w:val="17"/>
              </w:rPr>
              <w:t xml:space="preserve"> </w:t>
            </w:r>
            <w:r>
              <w:rPr>
                <w:rFonts w:ascii="Calibri" w:hAnsi="Calibri"/>
                <w:sz w:val="17"/>
              </w:rPr>
              <w:t xml:space="preserve">“</w:t>
            </w:r>
            <w:r>
              <w:rPr>
                <w:rFonts w:ascii="Calibri" w:hAnsi="Calibri"/>
                <w:sz w:val="17"/>
              </w:rPr>
              <w:t xml:space="preserve">future-built</w:t>
            </w:r>
            <w:r>
              <w:rPr>
                <w:rFonts w:ascii="Calibri" w:hAnsi="Calibri"/>
                <w:sz w:val="17"/>
              </w:rPr>
              <w:t xml:space="preserve">”</w:t>
            </w:r>
            <w:r>
              <w:rPr>
                <w:rFonts w:ascii="Calibri" w:hAnsi="Calibri"/>
                <w:sz w:val="17"/>
              </w:rPr>
              <w:t xml:space="preserve">; 60% reap</w:t>
            </w:r>
            <w:r>
              <w:rPr>
                <w:rFonts w:ascii="Calibri" w:hAnsi="Calibri"/>
                <w:sz w:val="17"/>
              </w:rPr>
              <w:t xml:space="preserve"> </w:t>
            </w:r>
            <w:r>
              <w:rPr>
                <w:rFonts w:ascii="Calibri" w:hAnsi="Calibri"/>
                <w:sz w:val="17"/>
              </w:rPr>
              <w:t xml:space="preserve">“</w:t>
            </w:r>
            <w:r>
              <w:rPr>
                <w:rFonts w:ascii="Calibri" w:hAnsi="Calibri"/>
                <w:sz w:val="17"/>
              </w:rPr>
              <w:t xml:space="preserve">hardly any material value</w:t>
            </w:r>
            <w:r>
              <w:rPr>
                <w:rFonts w:ascii="Calibri" w:hAnsi="Calibri"/>
                <w:sz w:val="17"/>
              </w:rPr>
              <w:t xml:space="preserve">”</w:t>
            </w:r>
          </w:p>
        </w:tc>
      </w:tr>
      <w:tr>
        <w:tc>
          <w:tcPr/>
          <w:p>
            <w:pPr>
              <w:pStyle w:val="Compact"/>
              <w:spacing w:after="40"/>
              <w:jc w:val="left"/>
            </w:pPr>
            <w:r>
              <w:rPr>
                <w:rFonts w:ascii="Calibri" w:hAnsi="Calibri"/>
                <w:sz w:val="17"/>
              </w:rPr>
              <w:t xml:space="preserve">IBM IBV CEO Study 2025 (n=2,000) [14]</w:t>
            </w:r>
          </w:p>
        </w:tc>
        <w:tc>
          <w:tcPr/>
          <w:p>
            <w:pPr>
              <w:pStyle w:val="Compact"/>
              <w:spacing w:after="40"/>
              <w:jc w:val="left"/>
            </w:pPr>
            <w:r>
              <w:rPr>
                <w:rFonts w:ascii="Calibri" w:hAnsi="Calibri"/>
                <w:sz w:val="17"/>
              </w:rPr>
              <w:t xml:space="preserve">61% adopting agents</w:t>
            </w:r>
          </w:p>
        </w:tc>
        <w:tc>
          <w:tcPr/>
          <w:p>
            <w:pPr>
              <w:pStyle w:val="Compact"/>
              <w:spacing w:after="40"/>
              <w:jc w:val="left"/>
            </w:pPr>
            <w:r>
              <w:rPr>
                <w:rFonts w:ascii="Calibri" w:hAnsi="Calibri"/>
                <w:sz w:val="17"/>
              </w:rPr>
              <w:t xml:space="preserve">25% of AI initiatives delivered expected ROI; 16% scaled enterprise-wide</w:t>
            </w:r>
          </w:p>
        </w:tc>
      </w:tr>
      <w:tr>
        <w:tc>
          <w:tcPr/>
          <w:p>
            <w:pPr>
              <w:pStyle w:val="Compact"/>
              <w:spacing w:after="40"/>
              <w:jc w:val="left"/>
            </w:pPr>
            <w:r>
              <w:rPr>
                <w:rFonts w:ascii="Calibri" w:hAnsi="Calibri"/>
                <w:sz w:val="17"/>
              </w:rPr>
              <w:t xml:space="preserve">IBM IBV CEO Study 2026 (n=2,000) [15]</w:t>
            </w:r>
          </w:p>
        </w:tc>
        <w:tc>
          <w:tcPr/>
          <w:p>
            <w:pPr>
              <w:pStyle w:val="Compact"/>
              <w:spacing w:after="40"/>
              <w:jc w:val="left"/>
            </w:pPr>
            <w:r>
              <w:rPr>
                <w:rFonts w:ascii="Calibri" w:hAnsi="Calibri"/>
                <w:sz w:val="17"/>
              </w:rPr>
              <w:t xml:space="preserve">76% have a Chief AI Officer (26% in 2025)</w:t>
            </w:r>
          </w:p>
        </w:tc>
        <w:tc>
          <w:tcPr/>
          <w:p>
            <w:pPr>
              <w:pStyle w:val="Compact"/>
              <w:spacing w:after="40"/>
              <w:jc w:val="left"/>
            </w:pPr>
            <w:r>
              <w:rPr>
                <w:rFonts w:ascii="Calibri" w:hAnsi="Calibri"/>
                <w:sz w:val="17"/>
              </w:rPr>
              <w:t xml:space="preserve">Only 25% of the workforce uses AI regularly</w:t>
            </w:r>
          </w:p>
        </w:tc>
      </w:tr>
      <w:tr>
        <w:tc>
          <w:tcPr/>
          <w:p>
            <w:pPr>
              <w:pStyle w:val="Compact"/>
              <w:spacing w:after="40"/>
              <w:jc w:val="left"/>
            </w:pPr>
            <w:r>
              <w:rPr>
                <w:rFonts w:ascii="Calibri" w:hAnsi="Calibri"/>
                <w:sz w:val="17"/>
              </w:rPr>
              <w:t xml:space="preserve">Deloitte, State of AI in the Enterprise 2026 (n=3,235) [16]</w:t>
            </w:r>
          </w:p>
        </w:tc>
        <w:tc>
          <w:tcPr/>
          <w:p>
            <w:pPr>
              <w:pStyle w:val="Compact"/>
              <w:spacing w:after="40"/>
              <w:jc w:val="left"/>
            </w:pPr>
            <w:r>
              <w:rPr>
                <w:rFonts w:ascii="Calibri" w:hAnsi="Calibri"/>
                <w:sz w:val="17"/>
              </w:rPr>
              <w:t xml:space="preserve">Worker access to AI tools ~60% (from &lt;40%)</w:t>
            </w:r>
          </w:p>
        </w:tc>
        <w:tc>
          <w:tcPr/>
          <w:p>
            <w:pPr>
              <w:pStyle w:val="Compact"/>
              <w:spacing w:after="40"/>
              <w:jc w:val="left"/>
            </w:pPr>
            <w:r>
              <w:rPr>
                <w:rFonts w:ascii="Calibri" w:hAnsi="Calibri"/>
                <w:sz w:val="17"/>
              </w:rPr>
              <w:t xml:space="preserve">25% moved at least 40% of pilots to production; 21% report mature agent governance</w:t>
            </w:r>
          </w:p>
        </w:tc>
      </w:tr>
      <w:tr>
        <w:tc>
          <w:tcPr/>
          <w:p>
            <w:pPr>
              <w:pStyle w:val="Compact"/>
              <w:spacing w:after="40"/>
              <w:jc w:val="left"/>
            </w:pPr>
            <w:r>
              <w:rPr>
                <w:rFonts w:ascii="Calibri" w:hAnsi="Calibri"/>
                <w:sz w:val="17"/>
              </w:rPr>
              <w:t xml:space="preserve">Capgemini, Rise of agentic AI (2025, n=1,500) [17]</w:t>
            </w:r>
          </w:p>
        </w:tc>
        <w:tc>
          <w:tcPr/>
          <w:p>
            <w:pPr>
              <w:pStyle w:val="Compact"/>
              <w:spacing w:after="40"/>
              <w:jc w:val="left"/>
            </w:pPr>
            <w:r>
              <w:rPr>
                <w:rFonts w:ascii="Calibri" w:hAnsi="Calibri"/>
                <w:sz w:val="17"/>
              </w:rPr>
              <w:t xml:space="preserve">~25% piloting agents</w:t>
            </w:r>
          </w:p>
        </w:tc>
        <w:tc>
          <w:tcPr/>
          <w:p>
            <w:pPr>
              <w:pStyle w:val="Compact"/>
              <w:spacing w:after="40"/>
              <w:jc w:val="left"/>
            </w:pPr>
            <w:r>
              <w:rPr>
                <w:rFonts w:ascii="Calibri" w:hAnsi="Calibri"/>
                <w:sz w:val="17"/>
              </w:rPr>
              <w:t xml:space="preserve">2% fully scaled; trust in fully autonomous agents fell from 43% to 27% in a year</w:t>
            </w:r>
          </w:p>
        </w:tc>
      </w:tr>
      <w:tr>
        <w:tc>
          <w:tcPr/>
          <w:p>
            <w:pPr>
              <w:pStyle w:val="Compact"/>
              <w:spacing w:after="40"/>
              <w:jc w:val="left"/>
            </w:pPr>
            <w:r>
              <w:rPr>
                <w:rFonts w:ascii="Calibri" w:hAnsi="Calibri"/>
                <w:sz w:val="17"/>
              </w:rPr>
              <w:t xml:space="preserve">Infosys, AI Business Value Radar 2025 (3,240 companies) [18]</w:t>
            </w:r>
          </w:p>
        </w:tc>
        <w:tc>
          <w:tcPr/>
          <w:p>
            <w:pPr>
              <w:pStyle w:val="Compact"/>
              <w:spacing w:after="40"/>
              <w:jc w:val="left"/>
            </w:pPr>
            <w:r>
              <w:rPr>
                <w:rFonts w:ascii="Calibri" w:hAnsi="Calibri"/>
                <w:sz w:val="17"/>
              </w:rPr>
              <w:t xml:space="preserve">132 use cases analyzed</w:t>
            </w:r>
          </w:p>
        </w:tc>
        <w:tc>
          <w:tcPr/>
          <w:p>
            <w:pPr>
              <w:pStyle w:val="Compact"/>
              <w:spacing w:after="40"/>
              <w:jc w:val="left"/>
            </w:pPr>
            <w:r>
              <w:rPr>
                <w:rFonts w:ascii="Calibri" w:hAnsi="Calibri"/>
                <w:sz w:val="17"/>
              </w:rPr>
              <w:t xml:space="preserve">19% of use cases fully meet objectives; 16% of firms have effective change management</w:t>
            </w:r>
          </w:p>
        </w:tc>
      </w:tr>
    </w:tbl>
    <w:p>
      <w:pPr>
        <w:pStyle w:val="BodyText"/>
      </w:pPr>
      <w:r>
        <w:t xml:space="preserve">Three further data points sharpen the picture. Gartner projects that through 2026 organizations will abandon 60% of AI projects unsupported by AI-ready data, and finds 63% of organizations either lack or are unsure they have the data-management practices AI requires [19]. PwC’s 2025 survey of US executives found 79% adopting agents but trust confined to narrow tasks: 38% would trust an agent with data analysis and 20% with financial transactions [20]. The Stanford AI Index 2026 sets these enterprise findings against record private AI investment and still-early agent adoption [21].</w:t>
      </w:r>
    </w:p>
    <w:p>
      <w:pPr>
        <w:pStyle w:val="BodyText"/>
      </w:pPr>
      <w:r>
        <w:t xml:space="preserve">The widely quoted MIT NANDA claim that</w:t>
      </w:r>
      <w:r>
        <w:t xml:space="preserve"> </w:t>
      </w:r>
      <w:r>
        <w:t xml:space="preserve">“</w:t>
      </w:r>
      <w:r>
        <w:t xml:space="preserve">95% of organizations are getting zero return</w:t>
      </w:r>
      <w:r>
        <w:t xml:space="preserve">”</w:t>
      </w:r>
      <w:r>
        <w:t xml:space="preserve"> </w:t>
      </w:r>
      <w:r>
        <w:t xml:space="preserve">belongs in this table only with its caveats: it rests on 52 interviews and 153 survey responses, defines success narrowly as sustained P&amp;L impact, and the report does not derive the 95% figure [22, 23]. The more defensible reading of all eight sources is that a stable 5-7% of organizations capture disproportionate value, a majority capture little, and the difference is not explained by which model they use.</w:t>
      </w:r>
    </w:p>
    <w:p>
      <w:pPr>
        <w:pStyle w:val="BodyText"/>
      </w:pPr>
      <w:r>
        <w:t xml:space="preserve">What does explain the difference is organizational. McKinsey’s high performers are almost three times as likely to have fundamentally redesigned workflows (73% versus 25%) [1]. Microsoft’s 2026 Work Trend Index attributes 67% of AI impact to organizational factors (culture, manager support, talent practices) and 32% to individual factors [24]. BCG’s 10-20-70 rule allocates 10% of effort to algorithms, 20% to technology and data, and 70% to people and processes [13, 25]. MIT CISR’s four-stage model, built on a survey of 721 companies, finds the largest financial step is the transition from stage 2 (</w:t>
      </w:r>
      <w:r>
        <w:t xml:space="preserve">“</w:t>
      </w:r>
      <w:r>
        <w:t xml:space="preserve">build pilots and capabilities</w:t>
      </w:r>
      <w:r>
        <w:t xml:space="preserve">”</w:t>
      </w:r>
      <w:r>
        <w:t xml:space="preserve">) to stage 3 (</w:t>
      </w:r>
      <w:r>
        <w:t xml:space="preserve">“</w:t>
      </w:r>
      <w:r>
        <w:t xml:space="preserve">develop AI ways of working</w:t>
      </w:r>
      <w:r>
        <w:t xml:space="preserve">”</w:t>
      </w:r>
      <w:r>
        <w:t xml:space="preserve">), with stage-4 firms showing revenue growth 17.1 points and net margin 10.4 points above industry averages [26, 27].</w:t>
      </w:r>
    </w:p>
    <w:p>
      <w:pPr>
        <w:pStyle w:val="BodyText"/>
      </w:pPr>
      <w:r>
        <w:t xml:space="preserve">The implication for assessment is uncomfortable: the variables that matter most are the ones that maturity questionnaires measure worst, and the variables that are easiest to count (licenses, usage,</w:t>
      </w:r>
      <w:r>
        <w:t xml:space="preserve"> </w:t>
      </w:r>
      <w:r>
        <w:t xml:space="preserve">“</w:t>
      </w:r>
      <w:r>
        <w:t xml:space="preserve">AI-generated code</w:t>
      </w:r>
      <w:r>
        <w:t xml:space="preserve">”</w:t>
      </w:r>
      <w:r>
        <w:t xml:space="preserve">) do not predict value.</w:t>
      </w:r>
    </w:p>
    <w:bookmarkEnd w:id="26"/>
    <w:bookmarkStart w:id="27" w:name="the-measurement-gap"/>
    <w:p>
      <w:pPr>
        <w:pStyle w:val="Heading3"/>
      </w:pPr>
      <w:r>
        <w:t xml:space="preserve">2.2 The measurement gap</w:t>
      </w:r>
    </w:p>
    <w:p>
      <w:pPr>
        <w:pStyle w:val="FirstParagraph"/>
      </w:pPr>
      <w:r>
        <w:rPr>
          <w:bCs/>
          <w:b/>
        </w:rPr>
        <w:t xml:space="preserve">Perception overstates measured effect.</w:t>
      </w:r>
      <w:r>
        <w:t xml:space="preserve"> </w:t>
      </w:r>
      <w:r>
        <w:t xml:space="preserve">METR’s 2025 randomized trial gave 16 experienced open-source developers 246 real tasks on repositories they knew. The developers forecast a 24% speedup and believed afterwards that they had been 20% faster; measured completion time was 19% slower [28]. METR’s 2026 follow-up with 57 developers found the slowdown no longer distinguishable from zero, but the design had broken: developers unwilling to work without AI declined to participate, 30-50% avoided submitting tasks that AI would finish quickly, and time tracking failed when agents ran concurrently [29]. METR’s own survey work warns that self-reported time savings have historically overestimated measured savings by about 40 percentage points [30]. Self-report is a sentiment metric. It is not a throughput metric.</w:t>
      </w:r>
    </w:p>
    <w:p>
      <w:pPr>
        <w:pStyle w:val="BodyText"/>
      </w:pPr>
      <w:r>
        <w:rPr>
          <w:bCs/>
          <w:b/>
        </w:rPr>
        <w:t xml:space="preserve">Task-level gains are real but bounded.</w:t>
      </w:r>
      <w:r>
        <w:t xml:space="preserve"> </w:t>
      </w:r>
      <w:r>
        <w:t xml:space="preserve">The strongest controlled evidence is positive for well-specified, bounded tasks: three field experiments with 4,867 developers found a 26.08% increase in completed tasks (standard error 10.3%) [31]; Google’s enterprise RCT with 96 engineers found roughly 21% less time on task with a wide confidence interval [32]; the original Copilot experiment found a 55.8% speedup on a single greenfield task [33]. Outside software, gains of 12-25% in throughput with quality improvements inside the</w:t>
      </w:r>
      <w:r>
        <w:t xml:space="preserve"> </w:t>
      </w:r>
      <w:r>
        <w:t xml:space="preserve">“</w:t>
      </w:r>
      <w:r>
        <w:t xml:space="preserve">frontier</w:t>
      </w:r>
      <w:r>
        <w:t xml:space="preserve">”</w:t>
      </w:r>
      <w:r>
        <w:t xml:space="preserve"> </w:t>
      </w:r>
      <w:r>
        <w:t xml:space="preserve">of AI competence coexist with a 19-point drop in correctness outside it [34], and customer-support gains of 14-15% concentrate among novices [35]. None of these measures value; METR’s task-substitution analysis shows formally that an arbitrarily high speedup on observed tasks is consistent with an arbitrarily small uplift in value [36].</w:t>
      </w:r>
    </w:p>
    <w:p>
      <w:pPr>
        <w:pStyle w:val="BodyText"/>
      </w:pPr>
      <w:r>
        <w:rPr>
          <w:bCs/>
          <w:b/>
        </w:rPr>
        <w:t xml:space="preserve">System-level delivery does not automatically improve.</w:t>
      </w:r>
      <w:r>
        <w:t xml:space="preserve"> </w:t>
      </w:r>
      <w:r>
        <w:t xml:space="preserve">DORA’s 2024 report associated a 25% increase in AI adoption with 1.5% lower delivery throughput and 7.2% lower delivery stability [37]. DORA’s 2025 report, with about 5,000 respondents, found adoption now positively associated with throughput but still negatively associated with stability, and framed AI as</w:t>
      </w:r>
      <w:r>
        <w:t xml:space="preserve"> </w:t>
      </w:r>
      <w:r>
        <w:t xml:space="preserve">“</w:t>
      </w:r>
      <w:r>
        <w:t xml:space="preserve">an amplifier</w:t>
      </w:r>
      <w:r>
        <w:t xml:space="preserve">”</w:t>
      </w:r>
      <w:r>
        <w:t xml:space="preserve"> </w:t>
      </w:r>
      <w:r>
        <w:t xml:space="preserve">of existing organizational strengths and weaknesses [38]. Faros AI’s telemetry across roughly 10,000 developers found high-adoption teams completing 21% more tasks and merging 98% more pull requests, with review time up 91%, PR size up 154% and bugs per developer up 9%, and no measurable organization-level throughput gain; its 2026 follow-up across 22,000 developers reported incidents per PR tripling, review time rising fivefold and deployments per week falling 11.7% even as epics completed rose 66% [39]. Quality signals point the same way: duplicated code blocks up 81% and refactoring down to 3.8% of changed lines in GitClear’s 2026 analysis of 623 million changes [40]; 41% more bugs with no cycle-time change in Uplevel’s 800-developer study [41]; roughly 45% of AI-generated code samples failing OWASP Top 10 checks in both Veracode’s 2025 and Spring 2026 reports, a rate that did not improve across model generations when no security guidance was supplied [42]. Vendor security telemetry from Fortune 50 repositories reports three to four times more code from AI-assisted developers and ten times more security findings, a figure to treat as indicative rather than causal [43].</w:t>
      </w:r>
    </w:p>
    <w:p>
      <w:pPr>
        <w:pStyle w:val="BodyText"/>
      </w:pPr>
      <w:r>
        <w:rPr>
          <w:bCs/>
          <w:b/>
        </w:rPr>
        <w:t xml:space="preserve">“</w:t>
      </w:r>
      <w:r>
        <w:rPr>
          <w:bCs/>
          <w:b/>
        </w:rPr>
        <w:t xml:space="preserve">AI-generated code</w:t>
      </w:r>
      <w:r>
        <w:rPr>
          <w:bCs/>
          <w:b/>
        </w:rPr>
        <w:t xml:space="preserve">”</w:t>
      </w:r>
      <w:r>
        <w:rPr>
          <w:bCs/>
          <w:b/>
        </w:rPr>
        <w:t xml:space="preserve"> </w:t>
      </w:r>
      <w:r>
        <w:rPr>
          <w:bCs/>
          <w:b/>
        </w:rPr>
        <w:t xml:space="preserve">is not a comparable metric.</w:t>
      </w:r>
      <w:r>
        <w:t xml:space="preserve"> </w:t>
      </w:r>
      <w:r>
        <w:t xml:space="preserve">Google reports 75% of new code AI-generated and approved by engineers [4]; Microsoft reported 20-30%</w:t>
      </w:r>
      <w:r>
        <w:t xml:space="preserve"> </w:t>
      </w:r>
      <w:r>
        <w:t xml:space="preserve">“</w:t>
      </w:r>
      <w:r>
        <w:t xml:space="preserve">written by software</w:t>
      </w:r>
      <w:r>
        <w:t xml:space="preserve">”</w:t>
      </w:r>
      <w:r>
        <w:t xml:space="preserve"> </w:t>
      </w:r>
      <w:r>
        <w:t xml:space="preserve">[44]; Coinbase reported about 40% with a target above 50% [45]; Anthropic’s spokesperson put its internal figure at 70-90% after an engineer said</w:t>
      </w:r>
      <w:r>
        <w:t xml:space="preserve"> </w:t>
      </w:r>
      <w:r>
        <w:t xml:space="preserve">“</w:t>
      </w:r>
      <w:r>
        <w:t xml:space="preserve">100%</w:t>
      </w:r>
      <w:r>
        <w:t xml:space="preserve">”</w:t>
      </w:r>
      <w:r>
        <w:t xml:space="preserve"> </w:t>
      </w:r>
      <w:r>
        <w:t xml:space="preserve">[46]. These figures use different denominators (characters accepted, lines, commits), different attribution windows and different quality qualifiers. They measure exposure, not effect. Google’s own preferred metric is different: a</w:t>
      </w:r>
      <w:r>
        <w:t xml:space="preserve"> </w:t>
      </w:r>
      <w:r>
        <w:t xml:space="preserve">“</w:t>
      </w:r>
      <w:r>
        <w:t xml:space="preserve">carefully measured</w:t>
      </w:r>
      <w:r>
        <w:t xml:space="preserve">”</w:t>
      </w:r>
      <w:r>
        <w:t xml:space="preserve"> </w:t>
      </w:r>
      <w:r>
        <w:t xml:space="preserve">increase in engineering velocity of about 10%, defined as capacity created in hours per week [47].</w:t>
      </w:r>
    </w:p>
    <w:p>
      <w:pPr>
        <w:pStyle w:val="BodyText"/>
      </w:pPr>
      <w:r>
        <w:rPr>
          <w:bCs/>
          <w:b/>
        </w:rPr>
        <w:t xml:space="preserve">Trust lags usage.</w:t>
      </w:r>
      <w:r>
        <w:t xml:space="preserve"> </w:t>
      </w:r>
      <w:r>
        <w:t xml:space="preserve">In Stack Overflow’s 2025 survey, 84% of developers used or planned to use AI tools, 33% trusted their accuracy, 46% distrusted it, 66% were frustrated by solutions that are</w:t>
      </w:r>
      <w:r>
        <w:t xml:space="preserve"> </w:t>
      </w:r>
      <w:r>
        <w:t xml:space="preserve">“</w:t>
      </w:r>
      <w:r>
        <w:t xml:space="preserve">almost right, but not quite,</w:t>
      </w:r>
      <w:r>
        <w:t xml:space="preserve">”</w:t>
      </w:r>
      <w:r>
        <w:t xml:space="preserve"> </w:t>
      </w:r>
      <w:r>
        <w:t xml:space="preserve">and 45% said debugging AI-generated code takes more time [48]. DORA found 30% of respondents reporting little or no trust in AI-generated code [38]. The review bottleneck observed by Faros is the operational face of this trust gap.</w:t>
      </w:r>
    </w:p>
    <w:bookmarkEnd w:id="27"/>
    <w:bookmarkStart w:id="28" w:name="the-model-gap"/>
    <w:p>
      <w:pPr>
        <w:pStyle w:val="Heading3"/>
      </w:pPr>
      <w:r>
        <w:t xml:space="preserve">2.3 The model gap</w:t>
      </w:r>
    </w:p>
    <w:p>
      <w:pPr>
        <w:pStyle w:val="FirstParagraph"/>
      </w:pPr>
      <w:r>
        <w:t xml:space="preserve">The maturity-model literature has known its own weaknesses for fifteen years. Becker, Knackstedt and Pöppelbuß derived eight design requirements from design science, including comparison with existing models, iterative evaluation and documented problem definition [49]. Pöppelbuß and Röglinger, noting</w:t>
      </w:r>
      <w:r>
        <w:t xml:space="preserve"> </w:t>
      </w:r>
      <w:r>
        <w:t xml:space="preserve">“</w:t>
      </w:r>
      <w:r>
        <w:t xml:space="preserve">hundreds</w:t>
      </w:r>
      <w:r>
        <w:t xml:space="preserve">”</w:t>
      </w:r>
      <w:r>
        <w:t xml:space="preserve"> </w:t>
      </w:r>
      <w:r>
        <w:t xml:space="preserve">of variants since CMM, set out design principles distinguishing descriptive models (assessment criteria per level) from prescriptive ones (improvement measures and a decision calculus) [50]. Mettler criticized maturity models for bureaucracy and weak theoretical foundation [51].</w:t>
      </w:r>
    </w:p>
    <w:p>
      <w:pPr>
        <w:pStyle w:val="BodyText"/>
      </w:pPr>
      <w:r>
        <w:t xml:space="preserve">Applied to AI, the picture is worse. Sadiq et al.’s systematic review found that of 15 AI maturity models, 87% were descriptive, only 40% prescriptive, only 47% empirically validated, and five levels was the modal design regardless of domain [52]. Industry models exhibit the same pattern: Gartner’s five levels were renamed between editions (from Awareness/Active/Operational/Systemic/Transformational, as reported by secondary sources, to Foundational/Emerging/Operational/Scaled/Transformational) without a published validation [53]; only MIT CISR, BCG and, in 2022, Accenture tie stages to financial outcomes, and all three stage firms by self-reported effectiveness [13, 26, 54].</w:t>
      </w:r>
    </w:p>
    <w:p>
      <w:pPr>
        <w:pStyle w:val="BodyText"/>
      </w:pPr>
      <w:r>
        <w:t xml:space="preserve">The specific gap this paper addresses is structural. Every general-purpose model has a</w:t>
      </w:r>
      <w:r>
        <w:t xml:space="preserve"> </w:t>
      </w:r>
      <w:r>
        <w:t xml:space="preserve">“</w:t>
      </w:r>
      <w:r>
        <w:t xml:space="preserve">data</w:t>
      </w:r>
      <w:r>
        <w:t xml:space="preserve">”</w:t>
      </w:r>
      <w:r>
        <w:t xml:space="preserve"> </w:t>
      </w:r>
      <w:r>
        <w:t xml:space="preserve">dimension and most have</w:t>
      </w:r>
      <w:r>
        <w:t xml:space="preserve"> </w:t>
      </w:r>
      <w:r>
        <w:t xml:space="preserve">“</w:t>
      </w:r>
      <w:r>
        <w:t xml:space="preserve">technology</w:t>
      </w:r>
      <w:r>
        <w:t xml:space="preserve">”</w:t>
      </w:r>
      <w:r>
        <w:t xml:space="preserve"> </w:t>
      </w:r>
      <w:r>
        <w:t xml:space="preserve">and</w:t>
      </w:r>
      <w:r>
        <w:t xml:space="preserve"> </w:t>
      </w:r>
      <w:r>
        <w:t xml:space="preserve">“</w:t>
      </w:r>
      <w:r>
        <w:t xml:space="preserve">governance.</w:t>
      </w:r>
      <w:r>
        <w:t xml:space="preserve">”</w:t>
      </w:r>
      <w:r>
        <w:t xml:space="preserve"> </w:t>
      </w:r>
      <w:r>
        <w:t xml:space="preserve">None, beyond Gartner’s generic</w:t>
      </w:r>
      <w:r>
        <w:t xml:space="preserve"> </w:t>
      </w:r>
      <w:r>
        <w:t xml:space="preserve">“</w:t>
      </w:r>
      <w:r>
        <w:t xml:space="preserve">engineering</w:t>
      </w:r>
      <w:r>
        <w:t xml:space="preserve">”</w:t>
      </w:r>
      <w:r>
        <w:t xml:space="preserve"> </w:t>
      </w:r>
      <w:r>
        <w:t xml:space="preserve">pillar, has a dimension for the readiness of the engineering estate itself: whether repositories, build systems, tests, documentation, knowledge sources and workflows are in a state that lets an agent act on them. The closest thing to such a dimension is DORA’s 2025 AI Capabilities Model, whose seven capabilities include</w:t>
      </w:r>
      <w:r>
        <w:t xml:space="preserve"> </w:t>
      </w:r>
      <w:r>
        <w:t xml:space="preserve">“</w:t>
      </w:r>
      <w:r>
        <w:t xml:space="preserve">AI-accessible internal data,</w:t>
      </w:r>
      <w:r>
        <w:t xml:space="preserve">”</w:t>
      </w:r>
      <w:r>
        <w:t xml:space="preserve"> </w:t>
      </w:r>
      <w:r>
        <w:t xml:space="preserve">“</w:t>
      </w:r>
      <w:r>
        <w:t xml:space="preserve">healthy data ecosystems,</w:t>
      </w:r>
      <w:r>
        <w:t xml:space="preserve">”</w:t>
      </w:r>
      <w:r>
        <w:t xml:space="preserve"> </w:t>
      </w:r>
      <w:r>
        <w:t xml:space="preserve">“</w:t>
      </w:r>
      <w:r>
        <w:t xml:space="preserve">strong version control practices</w:t>
      </w:r>
      <w:r>
        <w:t xml:space="preserve">”</w:t>
      </w:r>
      <w:r>
        <w:t xml:space="preserve"> </w:t>
      </w:r>
      <w:r>
        <w:t xml:space="preserve">and</w:t>
      </w:r>
      <w:r>
        <w:t xml:space="preserve"> </w:t>
      </w:r>
      <w:r>
        <w:t xml:space="preserve">“</w:t>
      </w:r>
      <w:r>
        <w:t xml:space="preserve">working in small batches</w:t>
      </w:r>
      <w:r>
        <w:t xml:space="preserve">”</w:t>
      </w:r>
      <w:r>
        <w:t xml:space="preserve"> </w:t>
      </w:r>
      <w:r>
        <w:t xml:space="preserve">[38], and the ML production-readiness rubrics of the previous decade [55, 56]. Neither is a maturity model, and neither has been connected to the organizational layer.</w:t>
      </w:r>
    </w:p>
    <w:bookmarkEnd w:id="28"/>
    <w:bookmarkStart w:id="29" w:name="the-agentic-inflection"/>
    <w:p>
      <w:pPr>
        <w:pStyle w:val="Heading3"/>
      </w:pPr>
      <w:r>
        <w:t xml:space="preserve">2.4 The agentic inflection</w:t>
      </w:r>
    </w:p>
    <w:p>
      <w:pPr>
        <w:pStyle w:val="FirstParagraph"/>
      </w:pPr>
      <w:r>
        <w:t xml:space="preserve">Four developments make the problem urgent rather than academic.</w:t>
      </w:r>
    </w:p>
    <w:p>
      <w:pPr>
        <w:pStyle w:val="BodyText"/>
      </w:pPr>
      <w:r>
        <w:rPr>
          <w:bCs/>
          <w:b/>
        </w:rPr>
        <w:t xml:space="preserve">Coding agents are the most-scaled agent class.</w:t>
      </w:r>
      <w:r>
        <w:t xml:space="preserve"> </w:t>
      </w:r>
      <w:r>
        <w:t xml:space="preserve">Roughly 50% of first-party API traffic to Anthropic’s models is computer and mathematical work, and 77% of enterprise API use follows automation rather than augmentation patterns [57, 58]. Gartner projects that 90% of enterprise software engineers will use AI code assistants by 2028, up from under 14% in early 2024 [59]. McKinsey found 32% of organizations chose to build software with agentic coding tools rather than buy it, rising to 49% among high performers [1].</w:t>
      </w:r>
    </w:p>
    <w:p>
      <w:pPr>
        <w:pStyle w:val="BodyText"/>
      </w:pPr>
      <w:r>
        <w:rPr>
          <w:bCs/>
          <w:b/>
        </w:rPr>
        <w:t xml:space="preserve">Capability horizons are lengthening.</w:t>
      </w:r>
      <w:r>
        <w:t xml:space="preserve"> </w:t>
      </w:r>
      <w:r>
        <w:t xml:space="preserve">METR’s time-horizon measure, the length of task an AI can complete with 50% reliability, has doubled roughly every seven months since 2019 and roughly every three months since 2024, with wide confidence intervals; by January 2026 the leading model’s horizon was estimated at 320 minutes [60]. Vendors now report multi-hour and multi-day unattended runs [61]. Longer horizons raise the premium on durable state, verification, sandboxing and monitoring.</w:t>
      </w:r>
    </w:p>
    <w:p>
      <w:pPr>
        <w:pStyle w:val="BodyText"/>
      </w:pPr>
      <w:r>
        <w:rPr>
          <w:bCs/>
          <w:b/>
        </w:rPr>
        <w:t xml:space="preserve">Governance is the acknowledged gap.</w:t>
      </w:r>
      <w:r>
        <w:t xml:space="preserve"> </w:t>
      </w:r>
      <w:r>
        <w:t xml:space="preserve">Only 21% of organizations report mature agent governance [16]. Gartner predicts that more than 40% of agentic AI projects will be cancelled by the end of 2027 for</w:t>
      </w:r>
      <w:r>
        <w:t xml:space="preserve"> </w:t>
      </w:r>
      <w:r>
        <w:t xml:space="preserve">“</w:t>
      </w:r>
      <w:r>
        <w:t xml:space="preserve">escalating costs, unclear business value or inadequate risk controls,</w:t>
      </w:r>
      <w:r>
        <w:t xml:space="preserve">”</w:t>
      </w:r>
      <w:r>
        <w:t xml:space="preserve"> </w:t>
      </w:r>
      <w:r>
        <w:t xml:space="preserve">and that by 2030 half of agent deployment failures will be attributed to insufficient runtime governance enforcement [62, 63]. A 2026 preprint models</w:t>
      </w:r>
      <w:r>
        <w:t xml:space="preserve"> </w:t>
      </w:r>
      <w:r>
        <w:t xml:space="preserve">“</w:t>
      </w:r>
      <w:r>
        <w:t xml:space="preserve">agent sprawl</w:t>
      </w:r>
      <w:r>
        <w:t xml:space="preserve">”</w:t>
      </w:r>
      <w:r>
        <w:t xml:space="preserve">: functional duplication, shadow agents, orphaned agents, permission creep and unmonitored delegation chains [64]. The Singapore Consensus on AI safety research priorities states the underlying condition plainly: capabilities, deployment and revenues are rising faster than the ability to measure and manage risk [65].</w:t>
      </w:r>
    </w:p>
    <w:p>
      <w:pPr>
        <w:pStyle w:val="BodyText"/>
      </w:pPr>
      <w:r>
        <w:rPr>
          <w:bCs/>
          <w:b/>
        </w:rPr>
        <w:t xml:space="preserve">Regulators expect evidence, and the evidence set is shifting.</w:t>
      </w:r>
      <w:r>
        <w:t xml:space="preserve"> </w:t>
      </w:r>
      <w:r>
        <w:t xml:space="preserve">In April 2026, US banking agencies replaced SR 11-7 with SR 26-2 and explicitly placed generative and agentic AI outside the scope of model risk management guidance pending an interagency request for information, leaving US banks without a designated framework for exactly the systems they are scaling fastest [66, 67]. Singapore’s MAS has proposed AI risk management guidelines that name AI agents explicitly and require inventories, materiality tiering, lifecycle controls, kill switches and version control of code, data and parameters [68]. The EU’s Digital Omnibus delayed high-risk obligations to December 2027 but left the evidence set unchanged [69]. Supervisors are quantifying the gap themselves: 75% of UK financial firms use AI with a third of use cases involving third parties [70], more than 85% of large euro-area banks use AI [71], and ASIC found governance</w:t>
      </w:r>
      <w:r>
        <w:t xml:space="preserve"> </w:t>
      </w:r>
      <w:r>
        <w:t xml:space="preserve">“</w:t>
      </w:r>
      <w:r>
        <w:t xml:space="preserve">lagging</w:t>
      </w:r>
      <w:r>
        <w:t xml:space="preserve">”</w:t>
      </w:r>
      <w:r>
        <w:t xml:space="preserve"> </w:t>
      </w:r>
      <w:r>
        <w:t xml:space="preserve">adoption in a review of 23 licensees [72].</w:t>
      </w:r>
    </w:p>
    <w:bookmarkEnd w:id="29"/>
    <w:bookmarkStart w:id="30" w:name="problem-statement"/>
    <w:p>
      <w:pPr>
        <w:pStyle w:val="Heading3"/>
      </w:pPr>
      <w:r>
        <w:t xml:space="preserve">2.5 Problem statement</w:t>
      </w:r>
    </w:p>
    <w:p>
      <w:pPr>
        <w:pStyle w:val="FirstParagraph"/>
      </w:pPr>
      <w:r>
        <w:t xml:space="preserve">Putting the four gaps together, the assessment problem can be stated as follows.</w:t>
      </w:r>
    </w:p>
    <w:p>
      <w:pPr>
        <w:pStyle w:val="BlockText"/>
      </w:pPr>
      <w:r>
        <w:t xml:space="preserve">An organization needs an instrument that (a) measures AI effectiveness at the system level using outcome metrics rather than usage or self-report; (b) assesses readiness at the granularity where agents actually operate (repositories, workflows, knowledge sources, environments), not only at the enterprise level; (c) produces evidence in the form regulators and auditors expect (inventory, materiality, lifecycle controls, monitoring, third-party and human-oversight evidence); and (d) satisfies the design requirements of a defensible maturity model (comparison with existing models, iterative validation, prescriptive improvement measures).</w:t>
      </w:r>
    </w:p>
    <w:p>
      <w:pPr>
        <w:pStyle w:val="FirstParagraph"/>
      </w:pPr>
      <w:r>
        <w:t xml:space="preserve">No existing model satisfies all four. Sections 3 and 4 assemble the evidence and components; Section 5 proposes a model.</w:t>
      </w:r>
    </w:p>
    <w:bookmarkEnd w:id="30"/>
    <w:bookmarkEnd w:id="31"/>
    <w:bookmarkStart w:id="37" w:name="what-agents-need-as-context"/>
    <w:p>
      <w:pPr>
        <w:pStyle w:val="Heading2"/>
      </w:pPr>
      <w:r>
        <w:t xml:space="preserve">3. What agents need as context</w:t>
      </w:r>
    </w:p>
    <w:bookmarkStart w:id="32" w:name="Xf9610f4f737f262533dfe92ba9b787dae8e8171"/>
    <w:p>
      <w:pPr>
        <w:pStyle w:val="Heading3"/>
      </w:pPr>
      <w:r>
        <w:t xml:space="preserve">3.1 Context is a finite resource with diminishing returns</w:t>
      </w:r>
    </w:p>
    <w:p>
      <w:pPr>
        <w:pStyle w:val="FirstParagraph"/>
      </w:pPr>
      <w:r>
        <w:t xml:space="preserve">The single most important empirical fact about agent context is that more is not better. Liu et al. showed that language-model accuracy on multi-document tasks follows a U-shaped curve: information at the beginning or end of the context is used well, information in the middle is often lost, and the effect persists in models marketed as long-context [73]. Chroma’s 2025 study of 18 models found performance growing</w:t>
      </w:r>
      <w:r>
        <w:t xml:space="preserve"> </w:t>
      </w:r>
      <w:r>
        <w:t xml:space="preserve">“</w:t>
      </w:r>
      <w:r>
        <w:t xml:space="preserve">increasingly unreliable as input length grows</w:t>
      </w:r>
      <w:r>
        <w:t xml:space="preserve">”</w:t>
      </w:r>
      <w:r>
        <w:t xml:space="preserve"> </w:t>
      </w:r>
      <w:r>
        <w:t xml:space="preserve">even on simple retrieval and replication tasks, with degradation accelerating when the relevant passage is semantically distant from the question and when distractors are present [74]. Anthropic’s engineering guidance draws the practical conclusion: treat context as</w:t>
      </w:r>
      <w:r>
        <w:t xml:space="preserve"> </w:t>
      </w:r>
      <w:r>
        <w:t xml:space="preserve">“</w:t>
      </w:r>
      <w:r>
        <w:t xml:space="preserve">a finite resource with diminishing marginal returns</w:t>
      </w:r>
      <w:r>
        <w:t xml:space="preserve">”</w:t>
      </w:r>
      <w:r>
        <w:t xml:space="preserve"> </w:t>
      </w:r>
      <w:r>
        <w:t xml:space="preserve">and find</w:t>
      </w:r>
      <w:r>
        <w:t xml:space="preserve"> </w:t>
      </w:r>
      <w:r>
        <w:t xml:space="preserve">“</w:t>
      </w:r>
      <w:r>
        <w:t xml:space="preserve">the smallest possible set of high-signal tokens that maximize likelihood of desired outcome</w:t>
      </w:r>
      <w:r>
        <w:t xml:space="preserve">”</w:t>
      </w:r>
      <w:r>
        <w:t xml:space="preserve"> </w:t>
      </w:r>
      <w:r>
        <w:t xml:space="preserve">[12]. Token spend is also the dominant cost and performance driver; in Anthropic’s multi-agent research system, token usage alone explained 80% of the variance in performance, and multi-agent systems used roughly 15 times the tokens of a chat interaction [75]. Anthropic’s Economic Index found a related pattern in production traffic: each 1% increase in input length was associated with only a 0.38% increase in output length [57].</w:t>
      </w:r>
    </w:p>
    <w:p>
      <w:pPr>
        <w:pStyle w:val="BodyText"/>
      </w:pPr>
      <w:r>
        <w:t xml:space="preserve">A survey of 1,411 papers organizes the resulting discipline, context engineering, into retrieval and generation, processing, and management of context, realized through retrieval-augmented generation, memory systems, tool-integrated reasoning and multi-agent architectures [76]. The ethnographic evidence on</w:t>
      </w:r>
      <w:r>
        <w:t xml:space="preserve"> </w:t>
      </w:r>
      <w:r>
        <w:t xml:space="preserve">“</w:t>
      </w:r>
      <w:r>
        <w:t xml:space="preserve">vibe coding</w:t>
      </w:r>
      <w:r>
        <w:t xml:space="preserve">”</w:t>
      </w:r>
      <w:r>
        <w:t xml:space="preserve"> </w:t>
      </w:r>
      <w:r>
        <w:t xml:space="preserve">reaches the same place from the other direction: it</w:t>
      </w:r>
      <w:r>
        <w:t xml:space="preserve"> </w:t>
      </w:r>
      <w:r>
        <w:t xml:space="preserve">“</w:t>
      </w:r>
      <w:r>
        <w:t xml:space="preserve">does not eliminate the need for programming expertise but rather redistributes it toward context management,</w:t>
      </w:r>
      <w:r>
        <w:t xml:space="preserve">”</w:t>
      </w:r>
      <w:r>
        <w:t xml:space="preserve"> </w:t>
      </w:r>
      <w:r>
        <w:t xml:space="preserve">evaluation and mode switching [77].</w:t>
      </w:r>
    </w:p>
    <w:p>
      <w:pPr>
        <w:pStyle w:val="BodyText"/>
      </w:pPr>
      <w:r>
        <w:t xml:space="preserve">For assessment, this reframes the question. The organization’s job is not to give agents everything; it is to make the right context reachable, small, current and verifiable at the moment of need.</w:t>
      </w:r>
    </w:p>
    <w:bookmarkEnd w:id="32"/>
    <w:bookmarkStart w:id="33" w:name="a-taxonomy-of-agent-context"/>
    <w:p>
      <w:pPr>
        <w:pStyle w:val="Heading3"/>
      </w:pPr>
      <w:r>
        <w:t xml:space="preserve">3.2 A taxonomy of agent context</w:t>
      </w:r>
    </w:p>
    <w:p>
      <w:pPr>
        <w:pStyle w:val="FirstParagraph"/>
      </w:pPr>
      <w:r>
        <w:t xml:space="preserve">A useful distinction is between knowledge sources and context for the exact workflow. We formalize it into eight classes. The first three are knowledge; the remaining five are workflow context. Table 3.1 gives, for each class, the strongest evidence, the delivery mechanism used in current harnesses, the failure mode when it is missing, and the readiness indicator that Section 5 scores.</w:t>
      </w:r>
    </w:p>
    <w:p>
      <w:pPr>
        <w:pStyle w:val="BodyText"/>
      </w:pPr>
      <w:r>
        <w:rPr>
          <w:bCs/>
          <w:b/>
        </w:rPr>
        <w:t xml:space="preserve">Table 3.1. Eight classes of agent context</w:t>
      </w:r>
    </w:p>
    <w:tbl>
      <w:tblPr>
        <w:tblStyle w:val="Table"/>
        <w:tblW w:type="pct" w:w="5000"/>
        <w:tblLook w:firstRow="1" w:lastRow="0" w:firstColumn="0" w:lastColumn="0" w:noHBand="0" w:noVBand="0" w:val="0020"/>
        <w:jc w:val="start"/>
        <w:tblBorders>
          <w:top w:val="single" w:sz="4" w:color="C9D1D8"/>
          <w:left w:val="single" w:sz="4" w:color="C9D1D8"/>
          <w:bottom w:val="single" w:sz="4" w:color="C9D1D8"/>
          <w:right w:val="single" w:sz="4" w:color="C9D1D8"/>
          <w:insideH w:val="single" w:sz="4" w:color="C9D1D8"/>
          <w:insideV w:val="single" w:sz="4" w:color="C9D1D8"/>
        </w:tblBorders>
      </w:tblPr>
      <w:tblGrid>
        <w:gridCol w:w="1131"/>
        <w:gridCol w:w="1131"/>
        <w:gridCol w:w="1131"/>
        <w:gridCol w:w="1131"/>
        <w:gridCol w:w="1131"/>
        <w:gridCol w:w="1131"/>
        <w:gridCol w:w="1131"/>
      </w:tblGrid>
      <w:tr>
        <w:trPr>
          <w:tblHeader w:val="true"/>
        </w:trPr>
        <w:tc>
          <w:tcPr>
            <w:shd w:val="clear" w:color="auto" w:fill="EEF2F6"/>
          </w:tcPr>
          <w:p>
            <w:pPr>
              <w:pStyle w:val="Compact"/>
              <w:spacing w:after="40"/>
              <w:jc w:val="left"/>
            </w:pPr>
            <w:r>
              <w:rPr>
                <w:rFonts w:ascii="Calibri" w:hAnsi="Calibri"/>
                <w:b/>
                <w:sz w:val="17"/>
              </w:rPr>
              <w:t xml:space="preserve">#</w:t>
            </w:r>
          </w:p>
        </w:tc>
        <w:tc>
          <w:tcPr>
            <w:shd w:val="clear" w:color="auto" w:fill="EEF2F6"/>
          </w:tcPr>
          <w:p>
            <w:pPr>
              <w:pStyle w:val="Compact"/>
              <w:spacing w:after="40"/>
              <w:jc w:val="left"/>
            </w:pPr>
            <w:r>
              <w:rPr>
                <w:rFonts w:ascii="Calibri" w:hAnsi="Calibri"/>
                <w:b/>
                <w:sz w:val="17"/>
              </w:rPr>
              <w:t xml:space="preserve">Class</w:t>
            </w:r>
          </w:p>
        </w:tc>
        <w:tc>
          <w:tcPr>
            <w:shd w:val="clear" w:color="auto" w:fill="EEF2F6"/>
          </w:tcPr>
          <w:p>
            <w:pPr>
              <w:pStyle w:val="Compact"/>
              <w:spacing w:after="40"/>
              <w:jc w:val="left"/>
            </w:pPr>
            <w:r>
              <w:rPr>
                <w:rFonts w:ascii="Calibri" w:hAnsi="Calibri"/>
                <w:b/>
                <w:sz w:val="17"/>
              </w:rPr>
              <w:t xml:space="preserve">What it contains</w:t>
            </w:r>
          </w:p>
        </w:tc>
        <w:tc>
          <w:tcPr>
            <w:shd w:val="clear" w:color="auto" w:fill="EEF2F6"/>
          </w:tcPr>
          <w:p>
            <w:pPr>
              <w:pStyle w:val="Compact"/>
              <w:spacing w:after="40"/>
              <w:jc w:val="left"/>
            </w:pPr>
            <w:r>
              <w:rPr>
                <w:rFonts w:ascii="Calibri" w:hAnsi="Calibri"/>
                <w:b/>
                <w:sz w:val="17"/>
              </w:rPr>
              <w:t xml:space="preserve">Strongest evidence</w:t>
            </w:r>
          </w:p>
        </w:tc>
        <w:tc>
          <w:tcPr>
            <w:shd w:val="clear" w:color="auto" w:fill="EEF2F6"/>
          </w:tcPr>
          <w:p>
            <w:pPr>
              <w:pStyle w:val="Compact"/>
              <w:spacing w:after="40"/>
              <w:jc w:val="left"/>
            </w:pPr>
            <w:r>
              <w:rPr>
                <w:rFonts w:ascii="Calibri" w:hAnsi="Calibri"/>
                <w:b/>
                <w:sz w:val="17"/>
              </w:rPr>
              <w:t xml:space="preserve">Delivery mechanism (2026)</w:t>
            </w:r>
          </w:p>
        </w:tc>
        <w:tc>
          <w:tcPr>
            <w:shd w:val="clear" w:color="auto" w:fill="EEF2F6"/>
          </w:tcPr>
          <w:p>
            <w:pPr>
              <w:pStyle w:val="Compact"/>
              <w:spacing w:after="40"/>
              <w:jc w:val="left"/>
            </w:pPr>
            <w:r>
              <w:rPr>
                <w:rFonts w:ascii="Calibri" w:hAnsi="Calibri"/>
                <w:b/>
                <w:sz w:val="17"/>
              </w:rPr>
              <w:t xml:space="preserve">Failure mode when missing</w:t>
            </w:r>
          </w:p>
        </w:tc>
        <w:tc>
          <w:tcPr>
            <w:shd w:val="clear" w:color="auto" w:fill="EEF2F6"/>
          </w:tcPr>
          <w:p>
            <w:pPr>
              <w:pStyle w:val="Compact"/>
              <w:spacing w:after="40"/>
              <w:jc w:val="left"/>
            </w:pPr>
            <w:r>
              <w:rPr>
                <w:rFonts w:ascii="Calibri" w:hAnsi="Calibri"/>
                <w:b/>
                <w:sz w:val="17"/>
              </w:rPr>
              <w:t xml:space="preserve">Readiness indicator</w:t>
            </w:r>
          </w:p>
        </w:tc>
      </w:tr>
      <w:tr>
        <w:tc>
          <w:tcPr/>
          <w:p>
            <w:pPr>
              <w:pStyle w:val="Compact"/>
              <w:spacing w:after="40"/>
              <w:jc w:val="left"/>
            </w:pPr>
            <w:r>
              <w:rPr>
                <w:rFonts w:ascii="Calibri" w:hAnsi="Calibri"/>
                <w:sz w:val="17"/>
              </w:rPr>
              <w:t xml:space="preserve">K1</w:t>
            </w:r>
          </w:p>
        </w:tc>
        <w:tc>
          <w:tcPr/>
          <w:p>
            <w:pPr>
              <w:pStyle w:val="Compact"/>
              <w:spacing w:after="40"/>
              <w:jc w:val="left"/>
            </w:pPr>
            <w:r>
              <w:rPr>
                <w:rFonts w:ascii="Calibri" w:hAnsi="Calibri"/>
                <w:sz w:val="17"/>
              </w:rPr>
              <w:t xml:space="preserve">Repository context</w:t>
            </w:r>
          </w:p>
        </w:tc>
        <w:tc>
          <w:tcPr/>
          <w:p>
            <w:pPr>
              <w:pStyle w:val="Compact"/>
              <w:spacing w:after="40"/>
              <w:jc w:val="left"/>
            </w:pPr>
            <w:r>
              <w:rPr>
                <w:rFonts w:ascii="Calibri" w:hAnsi="Calibri"/>
                <w:sz w:val="17"/>
              </w:rPr>
              <w:t xml:space="preserve">Cross-file dependencies, call graph, types, tests, build layout</w:t>
            </w:r>
          </w:p>
        </w:tc>
        <w:tc>
          <w:tcPr/>
          <w:p>
            <w:pPr>
              <w:pStyle w:val="Compact"/>
              <w:spacing w:after="40"/>
              <w:jc w:val="left"/>
            </w:pPr>
            <w:r>
              <w:rPr>
                <w:rFonts w:ascii="Calibri" w:hAnsi="Calibri"/>
                <w:sz w:val="17"/>
              </w:rPr>
              <w:t xml:space="preserve">CrossCodeEval: tasks</w:t>
            </w:r>
            <w:r>
              <w:rPr>
                <w:rFonts w:ascii="Calibri" w:hAnsi="Calibri"/>
                <w:sz w:val="17"/>
              </w:rPr>
              <w:t xml:space="preserve"> </w:t>
            </w:r>
            <w:r>
              <w:rPr>
                <w:rFonts w:ascii="Calibri" w:hAnsi="Calibri"/>
                <w:sz w:val="17"/>
              </w:rPr>
              <w:t xml:space="preserve">“</w:t>
            </w:r>
            <w:r>
              <w:rPr>
                <w:rFonts w:ascii="Calibri" w:hAnsi="Calibri"/>
                <w:sz w:val="17"/>
              </w:rPr>
              <w:t xml:space="preserve">extremely challenging</w:t>
            </w:r>
            <w:r>
              <w:rPr>
                <w:rFonts w:ascii="Calibri" w:hAnsi="Calibri"/>
                <w:sz w:val="17"/>
              </w:rPr>
              <w:t xml:space="preserve">”</w:t>
            </w:r>
            <w:r>
              <w:rPr>
                <w:rFonts w:ascii="Calibri" w:hAnsi="Calibri"/>
                <w:sz w:val="17"/>
              </w:rPr>
              <w:t xml:space="preserve"> </w:t>
            </w:r>
            <w:r>
              <w:rPr>
                <w:rFonts w:ascii="Calibri" w:hAnsi="Calibri"/>
                <w:sz w:val="17"/>
              </w:rPr>
              <w:t xml:space="preserve">without cross-file context [78]; RepoGraph boosts all four SWE-bench systems [79]</w:t>
            </w:r>
          </w:p>
        </w:tc>
        <w:tc>
          <w:tcPr/>
          <w:p>
            <w:pPr>
              <w:pStyle w:val="Compact"/>
              <w:spacing w:after="40"/>
              <w:jc w:val="left"/>
            </w:pPr>
            <w:r>
              <w:rPr>
                <w:rFonts w:ascii="Calibri" w:hAnsi="Calibri"/>
                <w:sz w:val="17"/>
              </w:rPr>
              <w:t xml:space="preserve">Code search, repo indexing, code graphs, retrieval</w:t>
            </w:r>
          </w:p>
        </w:tc>
        <w:tc>
          <w:tcPr/>
          <w:p>
            <w:pPr>
              <w:pStyle w:val="Compact"/>
              <w:spacing w:after="40"/>
              <w:jc w:val="left"/>
            </w:pPr>
            <w:r>
              <w:rPr>
                <w:rFonts w:ascii="Calibri" w:hAnsi="Calibri"/>
                <w:sz w:val="17"/>
              </w:rPr>
              <w:t xml:space="preserve">Wrong file selection, broken interfaces, duplicated logic</w:t>
            </w:r>
          </w:p>
        </w:tc>
        <w:tc>
          <w:tcPr/>
          <w:p>
            <w:pPr>
              <w:pStyle w:val="Compact"/>
              <w:spacing w:after="40"/>
              <w:jc w:val="left"/>
            </w:pPr>
            <w:r>
              <w:rPr>
                <w:rFonts w:ascii="Calibri" w:hAnsi="Calibri"/>
                <w:sz w:val="17"/>
              </w:rPr>
              <w:t xml:space="preserve">Modularity, index availability, doc currency</w:t>
            </w:r>
          </w:p>
        </w:tc>
      </w:tr>
      <w:tr>
        <w:tc>
          <w:tcPr/>
          <w:p>
            <w:pPr>
              <w:pStyle w:val="Compact"/>
              <w:spacing w:after="40"/>
              <w:jc w:val="left"/>
            </w:pPr>
            <w:r>
              <w:rPr>
                <w:rFonts w:ascii="Calibri" w:hAnsi="Calibri"/>
                <w:sz w:val="17"/>
              </w:rPr>
              <w:t xml:space="preserve">K2</w:t>
            </w:r>
          </w:p>
        </w:tc>
        <w:tc>
          <w:tcPr/>
          <w:p>
            <w:pPr>
              <w:pStyle w:val="Compact"/>
              <w:spacing w:after="40"/>
              <w:jc w:val="left"/>
            </w:pPr>
            <w:r>
              <w:rPr>
                <w:rFonts w:ascii="Calibri" w:hAnsi="Calibri"/>
                <w:sz w:val="17"/>
              </w:rPr>
              <w:t xml:space="preserve">Organizational knowledge</w:t>
            </w:r>
          </w:p>
        </w:tc>
        <w:tc>
          <w:tcPr/>
          <w:p>
            <w:pPr>
              <w:pStyle w:val="Compact"/>
              <w:spacing w:after="40"/>
              <w:jc w:val="left"/>
            </w:pPr>
            <w:r>
              <w:rPr>
                <w:rFonts w:ascii="Calibri" w:hAnsi="Calibri"/>
                <w:sz w:val="17"/>
              </w:rPr>
              <w:t xml:space="preserve">Constraints (policies, approved libraries), conventions (style, patterns), estate facts (which systems exist), decisions (ADRs), procedures (runbooks)</w:t>
            </w:r>
          </w:p>
        </w:tc>
        <w:tc>
          <w:tcPr/>
          <w:p>
            <w:pPr>
              <w:pStyle w:val="Compact"/>
              <w:spacing w:after="40"/>
              <w:jc w:val="left"/>
            </w:pPr>
            <w:r>
              <w:rPr>
                <w:rFonts w:ascii="Calibri" w:hAnsi="Calibri"/>
                <w:sz w:val="17"/>
              </w:rPr>
              <w:t xml:space="preserve">Agents follow explicit instructions (a named tool used 1.6x per instance when mentioned) but ignore repository overviews [80]</w:t>
            </w:r>
          </w:p>
        </w:tc>
        <w:tc>
          <w:tcPr/>
          <w:p>
            <w:pPr>
              <w:pStyle w:val="Compact"/>
              <w:spacing w:after="40"/>
              <w:jc w:val="left"/>
            </w:pPr>
            <w:r>
              <w:rPr>
                <w:rFonts w:ascii="Calibri" w:hAnsi="Calibri"/>
                <w:sz w:val="17"/>
              </w:rPr>
              <w:t xml:space="preserve">Context files, skills, MCP knowledge servers, retrieval</w:t>
            </w:r>
          </w:p>
        </w:tc>
        <w:tc>
          <w:tcPr/>
          <w:p>
            <w:pPr>
              <w:pStyle w:val="Compact"/>
              <w:spacing w:after="40"/>
              <w:jc w:val="left"/>
            </w:pPr>
            <w:r>
              <w:rPr>
                <w:rFonts w:ascii="Calibri" w:hAnsi="Calibri"/>
                <w:sz w:val="17"/>
              </w:rPr>
              <w:t xml:space="preserve">Convention drift, policy violations, re-litigated decisions</w:t>
            </w:r>
          </w:p>
        </w:tc>
        <w:tc>
          <w:tcPr/>
          <w:p>
            <w:pPr>
              <w:pStyle w:val="Compact"/>
              <w:spacing w:after="40"/>
              <w:jc w:val="left"/>
            </w:pPr>
            <w:r>
              <w:rPr>
                <w:rFonts w:ascii="Calibri" w:hAnsi="Calibri"/>
                <w:sz w:val="17"/>
              </w:rPr>
              <w:t xml:space="preserve">Certified, concise, non-derivable, maintained sources</w:t>
            </w:r>
          </w:p>
        </w:tc>
      </w:tr>
      <w:tr>
        <w:tc>
          <w:tcPr/>
          <w:p>
            <w:pPr>
              <w:pStyle w:val="Compact"/>
              <w:spacing w:after="40"/>
              <w:jc w:val="left"/>
            </w:pPr>
            <w:r>
              <w:rPr>
                <w:rFonts w:ascii="Calibri" w:hAnsi="Calibri"/>
                <w:sz w:val="17"/>
              </w:rPr>
              <w:t xml:space="preserve">K3</w:t>
            </w:r>
          </w:p>
        </w:tc>
        <w:tc>
          <w:tcPr/>
          <w:p>
            <w:pPr>
              <w:pStyle w:val="Compact"/>
              <w:spacing w:after="40"/>
              <w:jc w:val="left"/>
            </w:pPr>
            <w:r>
              <w:rPr>
                <w:rFonts w:ascii="Calibri" w:hAnsi="Calibri"/>
                <w:sz w:val="17"/>
              </w:rPr>
              <w:t xml:space="preserve">Policy and security context</w:t>
            </w:r>
          </w:p>
        </w:tc>
        <w:tc>
          <w:tcPr/>
          <w:p>
            <w:pPr>
              <w:pStyle w:val="Compact"/>
              <w:spacing w:after="40"/>
              <w:jc w:val="left"/>
            </w:pPr>
            <w:r>
              <w:rPr>
                <w:rFonts w:ascii="Calibri" w:hAnsi="Calibri"/>
                <w:sz w:val="17"/>
              </w:rPr>
              <w:t xml:space="preserve">Security guidance, data-classification rules, forbidden actions, sensitivity tiers</w:t>
            </w:r>
          </w:p>
        </w:tc>
        <w:tc>
          <w:tcPr/>
          <w:p>
            <w:pPr>
              <w:pStyle w:val="Compact"/>
              <w:spacing w:after="40"/>
              <w:jc w:val="left"/>
            </w:pPr>
            <w:r>
              <w:rPr>
                <w:rFonts w:ascii="Calibri" w:hAnsi="Calibri"/>
                <w:sz w:val="17"/>
              </w:rPr>
              <w:t xml:space="preserve">~40-45% of AI-generated samples insecure without explicit guidance, roughly stable 2021-2026 [42, 81]</w:t>
            </w:r>
          </w:p>
        </w:tc>
        <w:tc>
          <w:tcPr/>
          <w:p>
            <w:pPr>
              <w:pStyle w:val="Compact"/>
              <w:spacing w:after="40"/>
              <w:jc w:val="left"/>
            </w:pPr>
            <w:r>
              <w:rPr>
                <w:rFonts w:ascii="Calibri" w:hAnsi="Calibri"/>
                <w:sz w:val="17"/>
              </w:rPr>
              <w:t xml:space="preserve">Context files, hooks, CI gates, permission policies</w:t>
            </w:r>
          </w:p>
        </w:tc>
        <w:tc>
          <w:tcPr/>
          <w:p>
            <w:pPr>
              <w:pStyle w:val="Compact"/>
              <w:spacing w:after="40"/>
              <w:jc w:val="left"/>
            </w:pPr>
            <w:r>
              <w:rPr>
                <w:rFonts w:ascii="Calibri" w:hAnsi="Calibri"/>
                <w:sz w:val="17"/>
              </w:rPr>
              <w:t xml:space="preserve">Vulnerable code, secret leakage, prohibited data flows</w:t>
            </w:r>
          </w:p>
        </w:tc>
        <w:tc>
          <w:tcPr/>
          <w:p>
            <w:pPr>
              <w:pStyle w:val="Compact"/>
              <w:spacing w:after="40"/>
              <w:jc w:val="left"/>
            </w:pPr>
            <w:r>
              <w:rPr>
                <w:rFonts w:ascii="Calibri" w:hAnsi="Calibri"/>
                <w:sz w:val="17"/>
              </w:rPr>
              <w:t xml:space="preserve">Guidance injected, gates enforced, tiers defined</w:t>
            </w:r>
          </w:p>
        </w:tc>
      </w:tr>
      <w:tr>
        <w:tc>
          <w:tcPr/>
          <w:p>
            <w:pPr>
              <w:pStyle w:val="Compact"/>
              <w:spacing w:after="40"/>
              <w:jc w:val="left"/>
            </w:pPr>
            <w:r>
              <w:rPr>
                <w:rFonts w:ascii="Calibri" w:hAnsi="Calibri"/>
                <w:sz w:val="17"/>
              </w:rPr>
              <w:t xml:space="preserve">W1</w:t>
            </w:r>
          </w:p>
        </w:tc>
        <w:tc>
          <w:tcPr/>
          <w:p>
            <w:pPr>
              <w:pStyle w:val="Compact"/>
              <w:spacing w:after="40"/>
              <w:jc w:val="left"/>
            </w:pPr>
            <w:r>
              <w:rPr>
                <w:rFonts w:ascii="Calibri" w:hAnsi="Calibri"/>
                <w:sz w:val="17"/>
              </w:rPr>
              <w:t xml:space="preserve">Task specification</w:t>
            </w:r>
          </w:p>
        </w:tc>
        <w:tc>
          <w:tcPr/>
          <w:p>
            <w:pPr>
              <w:pStyle w:val="Compact"/>
              <w:spacing w:after="40"/>
              <w:jc w:val="left"/>
            </w:pPr>
            <w:r>
              <w:rPr>
                <w:rFonts w:ascii="Calibri" w:hAnsi="Calibri"/>
                <w:sz w:val="17"/>
              </w:rPr>
              <w:t xml:space="preserve">Intent, acceptance criteria, scope, non-goals, examples</w:t>
            </w:r>
          </w:p>
        </w:tc>
        <w:tc>
          <w:tcPr/>
          <w:p>
            <w:pPr>
              <w:pStyle w:val="Compact"/>
              <w:spacing w:after="40"/>
              <w:jc w:val="left"/>
            </w:pPr>
            <w:r>
              <w:rPr>
                <w:rFonts w:ascii="Calibri" w:hAnsi="Calibri"/>
                <w:sz w:val="17"/>
              </w:rPr>
              <w:t xml:space="preserve">SWE-bench Verified: fixing underspecified issues and weak tests doubled measured GPT-4o success (16% to 33.2%) [82]</w:t>
            </w:r>
          </w:p>
        </w:tc>
        <w:tc>
          <w:tcPr/>
          <w:p>
            <w:pPr>
              <w:pStyle w:val="Compact"/>
              <w:spacing w:after="40"/>
              <w:jc w:val="left"/>
            </w:pPr>
            <w:r>
              <w:rPr>
                <w:rFonts w:ascii="Calibri" w:hAnsi="Calibri"/>
                <w:sz w:val="17"/>
              </w:rPr>
              <w:t xml:space="preserve">Issue templates, spec-driven development, planning modes</w:t>
            </w:r>
          </w:p>
        </w:tc>
        <w:tc>
          <w:tcPr/>
          <w:p>
            <w:pPr>
              <w:pStyle w:val="Compact"/>
              <w:spacing w:after="40"/>
              <w:jc w:val="left"/>
            </w:pPr>
            <w:r>
              <w:rPr>
                <w:rFonts w:ascii="Calibri" w:hAnsi="Calibri"/>
                <w:sz w:val="17"/>
              </w:rPr>
              <w:t xml:space="preserve">Wrong solution (35-50% of failures on SWE-bench Pro) [83]</w:t>
            </w:r>
          </w:p>
        </w:tc>
        <w:tc>
          <w:tcPr/>
          <w:p>
            <w:pPr>
              <w:pStyle w:val="Compact"/>
              <w:spacing w:after="40"/>
              <w:jc w:val="left"/>
            </w:pPr>
            <w:r>
              <w:rPr>
                <w:rFonts w:ascii="Calibri" w:hAnsi="Calibri"/>
                <w:sz w:val="17"/>
              </w:rPr>
              <w:t xml:space="preserve">Spec quality, acceptance tests present</w:t>
            </w:r>
          </w:p>
        </w:tc>
      </w:tr>
      <w:tr>
        <w:tc>
          <w:tcPr/>
          <w:p>
            <w:pPr>
              <w:pStyle w:val="Compact"/>
              <w:spacing w:after="40"/>
              <w:jc w:val="left"/>
            </w:pPr>
            <w:r>
              <w:rPr>
                <w:rFonts w:ascii="Calibri" w:hAnsi="Calibri"/>
                <w:sz w:val="17"/>
              </w:rPr>
              <w:t xml:space="preserve">W2</w:t>
            </w:r>
          </w:p>
        </w:tc>
        <w:tc>
          <w:tcPr/>
          <w:p>
            <w:pPr>
              <w:pStyle w:val="Compact"/>
              <w:spacing w:after="40"/>
              <w:jc w:val="left"/>
            </w:pPr>
            <w:r>
              <w:rPr>
                <w:rFonts w:ascii="Calibri" w:hAnsi="Calibri"/>
                <w:sz w:val="17"/>
              </w:rPr>
              <w:t xml:space="preserve">Execution environment</w:t>
            </w:r>
          </w:p>
        </w:tc>
        <w:tc>
          <w:tcPr/>
          <w:p>
            <w:pPr>
              <w:pStyle w:val="Compact"/>
              <w:spacing w:after="40"/>
              <w:jc w:val="left"/>
            </w:pPr>
            <w:r>
              <w:rPr>
                <w:rFonts w:ascii="Calibri" w:hAnsi="Calibri"/>
                <w:sz w:val="17"/>
              </w:rPr>
              <w:t xml:space="preserve">Reproducible build, dependencies, sandbox, test runner, resources</w:t>
            </w:r>
          </w:p>
        </w:tc>
        <w:tc>
          <w:tcPr/>
          <w:p>
            <w:pPr>
              <w:pStyle w:val="Compact"/>
              <w:spacing w:after="40"/>
              <w:jc w:val="left"/>
            </w:pPr>
            <w:r>
              <w:rPr>
                <w:rFonts w:ascii="Calibri" w:hAnsi="Calibri"/>
                <w:sz w:val="17"/>
              </w:rPr>
              <w:t xml:space="preserve">Resourcing alone moved Terminal-Bench scores by 6 points and SWE-bench by 1.5 points [84]; 31% of</w:t>
            </w:r>
            <w:r>
              <w:rPr>
                <w:rFonts w:ascii="Calibri" w:hAnsi="Calibri"/>
                <w:sz w:val="17"/>
              </w:rPr>
              <w:t xml:space="preserve"> </w:t>
            </w:r>
            <w:r>
              <w:rPr>
                <w:rFonts w:ascii="Calibri" w:hAnsi="Calibri"/>
                <w:sz w:val="17"/>
              </w:rPr>
              <w:t xml:space="preserve">“</w:t>
            </w:r>
            <w:r>
              <w:rPr>
                <w:rFonts w:ascii="Calibri" w:hAnsi="Calibri"/>
                <w:sz w:val="17"/>
              </w:rPr>
              <w:t xml:space="preserve">passed</w:t>
            </w:r>
            <w:r>
              <w:rPr>
                <w:rFonts w:ascii="Calibri" w:hAnsi="Calibri"/>
                <w:sz w:val="17"/>
              </w:rPr>
              <w:t xml:space="preserve">”</w:t>
            </w:r>
            <w:r>
              <w:rPr>
                <w:rFonts w:ascii="Calibri" w:hAnsi="Calibri"/>
                <w:sz w:val="17"/>
              </w:rPr>
              <w:t xml:space="preserve"> </w:t>
            </w:r>
            <w:r>
              <w:rPr>
                <w:rFonts w:ascii="Calibri" w:hAnsi="Calibri"/>
                <w:sz w:val="17"/>
              </w:rPr>
              <w:t xml:space="preserve">SWE-bench patches pass only because of weak tests [85]</w:t>
            </w:r>
          </w:p>
        </w:tc>
        <w:tc>
          <w:tcPr/>
          <w:p>
            <w:pPr>
              <w:pStyle w:val="Compact"/>
              <w:spacing w:after="40"/>
              <w:jc w:val="left"/>
            </w:pPr>
            <w:r>
              <w:rPr>
                <w:rFonts w:ascii="Calibri" w:hAnsi="Calibri"/>
                <w:sz w:val="17"/>
              </w:rPr>
              <w:t xml:space="preserve">Dev containers, hermetic builds, cloud sandboxes with setup scripts</w:t>
            </w:r>
          </w:p>
        </w:tc>
        <w:tc>
          <w:tcPr/>
          <w:p>
            <w:pPr>
              <w:pStyle w:val="Compact"/>
              <w:spacing w:after="40"/>
              <w:jc w:val="left"/>
            </w:pPr>
            <w:r>
              <w:rPr>
                <w:rFonts w:ascii="Calibri" w:hAnsi="Calibri"/>
                <w:sz w:val="17"/>
              </w:rPr>
              <w:t xml:space="preserve">Flaky runs, environment-setup failures, false passes</w:t>
            </w:r>
          </w:p>
        </w:tc>
        <w:tc>
          <w:tcPr/>
          <w:p>
            <w:pPr>
              <w:pStyle w:val="Compact"/>
              <w:spacing w:after="40"/>
              <w:jc w:val="left"/>
            </w:pPr>
            <w:r>
              <w:rPr>
                <w:rFonts w:ascii="Calibri" w:hAnsi="Calibri"/>
                <w:sz w:val="17"/>
              </w:rPr>
              <w:t xml:space="preserve">Hermeticity, flaky-test rate, setup time</w:t>
            </w:r>
          </w:p>
        </w:tc>
      </w:tr>
      <w:tr>
        <w:tc>
          <w:tcPr/>
          <w:p>
            <w:pPr>
              <w:pStyle w:val="Compact"/>
              <w:spacing w:after="40"/>
              <w:jc w:val="left"/>
            </w:pPr>
            <w:r>
              <w:rPr>
                <w:rFonts w:ascii="Calibri" w:hAnsi="Calibri"/>
                <w:sz w:val="17"/>
              </w:rPr>
              <w:t xml:space="preserve">W3</w:t>
            </w:r>
          </w:p>
        </w:tc>
        <w:tc>
          <w:tcPr/>
          <w:p>
            <w:pPr>
              <w:pStyle w:val="Compact"/>
              <w:spacing w:after="40"/>
              <w:jc w:val="left"/>
            </w:pPr>
            <w:r>
              <w:rPr>
                <w:rFonts w:ascii="Calibri" w:hAnsi="Calibri"/>
                <w:sz w:val="17"/>
              </w:rPr>
              <w:t xml:space="preserve">Verification signals</w:t>
            </w:r>
          </w:p>
        </w:tc>
        <w:tc>
          <w:tcPr/>
          <w:p>
            <w:pPr>
              <w:pStyle w:val="Compact"/>
              <w:spacing w:after="40"/>
              <w:jc w:val="left"/>
            </w:pPr>
            <w:r>
              <w:rPr>
                <w:rFonts w:ascii="Calibri" w:hAnsi="Calibri"/>
                <w:sz w:val="17"/>
              </w:rPr>
              <w:t xml:space="preserve">Tests, type checks, linters, static analysis, screenshots, evals</w:t>
            </w:r>
          </w:p>
        </w:tc>
        <w:tc>
          <w:tcPr/>
          <w:p>
            <w:pPr>
              <w:pStyle w:val="Compact"/>
              <w:spacing w:after="40"/>
              <w:jc w:val="left"/>
            </w:pPr>
            <w:r>
              <w:rPr>
                <w:rFonts w:ascii="Calibri" w:hAnsi="Calibri"/>
                <w:sz w:val="17"/>
              </w:rPr>
              <w:t xml:space="preserve">“</w:t>
            </w:r>
            <w:r>
              <w:rPr>
                <w:rFonts w:ascii="Calibri" w:hAnsi="Calibri"/>
                <w:sz w:val="17"/>
              </w:rPr>
              <w:t xml:space="preserve">If you can’t verify it, don’t ship it</w:t>
            </w:r>
            <w:r>
              <w:rPr>
                <w:rFonts w:ascii="Calibri" w:hAnsi="Calibri"/>
                <w:sz w:val="17"/>
              </w:rPr>
              <w:t xml:space="preserve">”</w:t>
            </w:r>
            <w:r>
              <w:rPr>
                <w:rFonts w:ascii="Calibri" w:hAnsi="Calibri"/>
                <w:sz w:val="17"/>
              </w:rPr>
              <w:t xml:space="preserve"> </w:t>
            </w:r>
            <w:r>
              <w:rPr>
                <w:rFonts w:ascii="Calibri" w:hAnsi="Calibri"/>
                <w:sz w:val="17"/>
              </w:rPr>
              <w:t xml:space="preserve">[10]; generator/evaluator separation is</w:t>
            </w:r>
            <w:r>
              <w:rPr>
                <w:rFonts w:ascii="Calibri" w:hAnsi="Calibri"/>
                <w:sz w:val="17"/>
              </w:rPr>
              <w:t xml:space="preserve"> </w:t>
            </w:r>
            <w:r>
              <w:rPr>
                <w:rFonts w:ascii="Calibri" w:hAnsi="Calibri"/>
                <w:sz w:val="17"/>
              </w:rPr>
              <w:t xml:space="preserve">“</w:t>
            </w:r>
            <w:r>
              <w:rPr>
                <w:rFonts w:ascii="Calibri" w:hAnsi="Calibri"/>
                <w:sz w:val="17"/>
              </w:rPr>
              <w:t xml:space="preserve">a strong lever</w:t>
            </w:r>
            <w:r>
              <w:rPr>
                <w:rFonts w:ascii="Calibri" w:hAnsi="Calibri"/>
                <w:sz w:val="17"/>
              </w:rPr>
              <w:t xml:space="preserve">”</w:t>
            </w:r>
            <w:r>
              <w:rPr>
                <w:rFonts w:ascii="Calibri" w:hAnsi="Calibri"/>
                <w:sz w:val="17"/>
              </w:rPr>
              <w:t xml:space="preserve"> </w:t>
            </w:r>
            <w:r>
              <w:rPr>
                <w:rFonts w:ascii="Calibri" w:hAnsi="Calibri"/>
                <w:sz w:val="17"/>
              </w:rPr>
              <w:t xml:space="preserve">[86]; static-analysis feedback fixes up to 55.5% of Copilot security issues [87]</w:t>
            </w:r>
          </w:p>
        </w:tc>
        <w:tc>
          <w:tcPr/>
          <w:p>
            <w:pPr>
              <w:pStyle w:val="Compact"/>
              <w:spacing w:after="40"/>
              <w:jc w:val="left"/>
            </w:pPr>
            <w:r>
              <w:rPr>
                <w:rFonts w:ascii="Calibri" w:hAnsi="Calibri"/>
                <w:sz w:val="17"/>
              </w:rPr>
              <w:t xml:space="preserve">CI feedback loops, hooks, evaluator subagents</w:t>
            </w:r>
          </w:p>
        </w:tc>
        <w:tc>
          <w:tcPr/>
          <w:p>
            <w:pPr>
              <w:pStyle w:val="Compact"/>
              <w:spacing w:after="40"/>
              <w:jc w:val="left"/>
            </w:pPr>
            <w:r>
              <w:rPr>
                <w:rFonts w:ascii="Calibri" w:hAnsi="Calibri"/>
                <w:sz w:val="17"/>
              </w:rPr>
              <w:t xml:space="preserve">Confident wrong output, review load shifts to humans</w:t>
            </w:r>
          </w:p>
        </w:tc>
        <w:tc>
          <w:tcPr/>
          <w:p>
            <w:pPr>
              <w:pStyle w:val="Compact"/>
              <w:spacing w:after="40"/>
              <w:jc w:val="left"/>
            </w:pPr>
            <w:r>
              <w:rPr>
                <w:rFonts w:ascii="Calibri" w:hAnsi="Calibri"/>
                <w:sz w:val="17"/>
              </w:rPr>
              <w:t xml:space="preserve">Coverage on changed code, feedback latency</w:t>
            </w:r>
          </w:p>
        </w:tc>
      </w:tr>
      <w:tr>
        <w:tc>
          <w:tcPr/>
          <w:p>
            <w:pPr>
              <w:pStyle w:val="Compact"/>
              <w:spacing w:after="40"/>
              <w:jc w:val="left"/>
            </w:pPr>
            <w:r>
              <w:rPr>
                <w:rFonts w:ascii="Calibri" w:hAnsi="Calibri"/>
                <w:sz w:val="17"/>
              </w:rPr>
              <w:t xml:space="preserve">W4</w:t>
            </w:r>
          </w:p>
        </w:tc>
        <w:tc>
          <w:tcPr/>
          <w:p>
            <w:pPr>
              <w:pStyle w:val="Compact"/>
              <w:spacing w:after="40"/>
              <w:jc w:val="left"/>
            </w:pPr>
            <w:r>
              <w:rPr>
                <w:rFonts w:ascii="Calibri" w:hAnsi="Calibri"/>
                <w:sz w:val="17"/>
              </w:rPr>
              <w:t xml:space="preserve">Workflow state and memory</w:t>
            </w:r>
          </w:p>
        </w:tc>
        <w:tc>
          <w:tcPr/>
          <w:p>
            <w:pPr>
              <w:pStyle w:val="Compact"/>
              <w:spacing w:after="40"/>
              <w:jc w:val="left"/>
            </w:pPr>
            <w:r>
              <w:rPr>
                <w:rFonts w:ascii="Calibri" w:hAnsi="Calibri"/>
                <w:sz w:val="17"/>
              </w:rPr>
              <w:t xml:space="preserve">Ticket state, branch, prior decisions, progress notes, session history</w:t>
            </w:r>
          </w:p>
        </w:tc>
        <w:tc>
          <w:tcPr/>
          <w:p>
            <w:pPr>
              <w:pStyle w:val="Compact"/>
              <w:spacing w:after="40"/>
              <w:jc w:val="left"/>
            </w:pPr>
            <w:r>
              <w:rPr>
                <w:rFonts w:ascii="Calibri" w:hAnsi="Calibri"/>
                <w:sz w:val="17"/>
              </w:rPr>
              <w:t xml:space="preserve">Harnesses need file-based handoffs and progress logs because</w:t>
            </w:r>
            <w:r>
              <w:rPr>
                <w:rFonts w:ascii="Calibri" w:hAnsi="Calibri"/>
                <w:sz w:val="17"/>
              </w:rPr>
              <w:t xml:space="preserve"> </w:t>
            </w:r>
            <w:r>
              <w:rPr>
                <w:rFonts w:ascii="Calibri" w:hAnsi="Calibri"/>
                <w:sz w:val="17"/>
              </w:rPr>
              <w:t xml:space="preserve">“</w:t>
            </w:r>
            <w:r>
              <w:rPr>
                <w:rFonts w:ascii="Calibri" w:hAnsi="Calibri"/>
                <w:sz w:val="17"/>
              </w:rPr>
              <w:t xml:space="preserve">each new engineer arrives with no memory of what happened on the previous shift</w:t>
            </w:r>
            <w:r>
              <w:rPr>
                <w:rFonts w:ascii="Calibri" w:hAnsi="Calibri"/>
                <w:sz w:val="17"/>
              </w:rPr>
              <w:t xml:space="preserve">”</w:t>
            </w:r>
            <w:r>
              <w:rPr>
                <w:rFonts w:ascii="Calibri" w:hAnsi="Calibri"/>
                <w:sz w:val="17"/>
              </w:rPr>
              <w:t xml:space="preserve"> </w:t>
            </w:r>
            <w:r>
              <w:rPr>
                <w:rFonts w:ascii="Calibri" w:hAnsi="Calibri"/>
                <w:sz w:val="17"/>
              </w:rPr>
              <w:t xml:space="preserve">[86]; tiered memory [88]</w:t>
            </w:r>
          </w:p>
        </w:tc>
        <w:tc>
          <w:tcPr/>
          <w:p>
            <w:pPr>
              <w:pStyle w:val="Compact"/>
              <w:spacing w:after="40"/>
              <w:jc w:val="left"/>
            </w:pPr>
            <w:r>
              <w:rPr>
                <w:rFonts w:ascii="Calibri" w:hAnsi="Calibri"/>
                <w:sz w:val="17"/>
              </w:rPr>
              <w:t xml:space="preserve">Progress files, durable sessions, playbooks, knowledge items</w:t>
            </w:r>
          </w:p>
        </w:tc>
        <w:tc>
          <w:tcPr/>
          <w:p>
            <w:pPr>
              <w:pStyle w:val="Compact"/>
              <w:spacing w:after="40"/>
              <w:jc w:val="left"/>
            </w:pPr>
            <w:r>
              <w:rPr>
                <w:rFonts w:ascii="Calibri" w:hAnsi="Calibri"/>
                <w:sz w:val="17"/>
              </w:rPr>
              <w:t xml:space="preserve">Repeated work, contradictory decisions, context anxiety</w:t>
            </w:r>
          </w:p>
        </w:tc>
        <w:tc>
          <w:tcPr/>
          <w:p>
            <w:pPr>
              <w:pStyle w:val="Compact"/>
              <w:spacing w:after="40"/>
              <w:jc w:val="left"/>
            </w:pPr>
            <w:r>
              <w:rPr>
                <w:rFonts w:ascii="Calibri" w:hAnsi="Calibri"/>
                <w:sz w:val="17"/>
              </w:rPr>
              <w:t xml:space="preserve">State outside the window, resumable sessions</w:t>
            </w:r>
          </w:p>
        </w:tc>
      </w:tr>
      <w:tr>
        <w:tc>
          <w:tcPr/>
          <w:p>
            <w:pPr>
              <w:pStyle w:val="Compact"/>
              <w:spacing w:after="40"/>
              <w:jc w:val="left"/>
            </w:pPr>
            <w:r>
              <w:rPr>
                <w:rFonts w:ascii="Calibri" w:hAnsi="Calibri"/>
                <w:sz w:val="17"/>
              </w:rPr>
              <w:t xml:space="preserve">W5</w:t>
            </w:r>
          </w:p>
        </w:tc>
        <w:tc>
          <w:tcPr/>
          <w:p>
            <w:pPr>
              <w:pStyle w:val="Compact"/>
              <w:spacing w:after="40"/>
              <w:jc w:val="left"/>
            </w:pPr>
            <w:r>
              <w:rPr>
                <w:rFonts w:ascii="Calibri" w:hAnsi="Calibri"/>
                <w:sz w:val="17"/>
              </w:rPr>
              <w:t xml:space="preserve">Tools and checkpoints</w:t>
            </w:r>
          </w:p>
        </w:tc>
        <w:tc>
          <w:tcPr/>
          <w:p>
            <w:pPr>
              <w:pStyle w:val="Compact"/>
              <w:spacing w:after="40"/>
              <w:jc w:val="left"/>
            </w:pPr>
            <w:r>
              <w:rPr>
                <w:rFonts w:ascii="Calibri" w:hAnsi="Calibri"/>
                <w:sz w:val="17"/>
              </w:rPr>
              <w:t xml:space="preserve">Tool descriptions, permissions, human approval gates, stop conditions</w:t>
            </w:r>
          </w:p>
        </w:tc>
        <w:tc>
          <w:tcPr/>
          <w:p>
            <w:pPr>
              <w:pStyle w:val="Compact"/>
              <w:spacing w:after="40"/>
              <w:jc w:val="left"/>
            </w:pPr>
            <w:r>
              <w:rPr>
                <w:rFonts w:ascii="Calibri" w:hAnsi="Calibri"/>
                <w:sz w:val="17"/>
              </w:rPr>
              <w:t xml:space="preserve">Agent-computer interface design raised SWE-bench pass@1 to 12.5% [89];</w:t>
            </w:r>
            <w:r>
              <w:rPr>
                <w:rFonts w:ascii="Calibri" w:hAnsi="Calibri"/>
                <w:sz w:val="17"/>
              </w:rPr>
              <w:t xml:space="preserve"> </w:t>
            </w:r>
            <w:r>
              <w:rPr>
                <w:rFonts w:ascii="Calibri" w:hAnsi="Calibri"/>
                <w:sz w:val="17"/>
              </w:rPr>
              <w:t xml:space="preserve">“</w:t>
            </w:r>
            <w:r>
              <w:rPr>
                <w:rFonts w:ascii="Calibri" w:hAnsi="Calibri"/>
                <w:sz w:val="17"/>
              </w:rPr>
              <w:t xml:space="preserve">even small refinements to tool descriptions can yield dramatic improvements</w:t>
            </w:r>
            <w:r>
              <w:rPr>
                <w:rFonts w:ascii="Calibri" w:hAnsi="Calibri"/>
                <w:sz w:val="17"/>
              </w:rPr>
              <w:t xml:space="preserve">”</w:t>
            </w:r>
            <w:r>
              <w:rPr>
                <w:rFonts w:ascii="Calibri" w:hAnsi="Calibri"/>
                <w:sz w:val="17"/>
              </w:rPr>
              <w:t xml:space="preserve"> </w:t>
            </w:r>
            <w:r>
              <w:rPr>
                <w:rFonts w:ascii="Calibri" w:hAnsi="Calibri"/>
                <w:sz w:val="17"/>
              </w:rPr>
              <w:t xml:space="preserve">[90]</w:t>
            </w:r>
          </w:p>
        </w:tc>
        <w:tc>
          <w:tcPr/>
          <w:p>
            <w:pPr>
              <w:pStyle w:val="Compact"/>
              <w:spacing w:after="40"/>
              <w:jc w:val="left"/>
            </w:pPr>
            <w:r>
              <w:rPr>
                <w:rFonts w:ascii="Calibri" w:hAnsi="Calibri"/>
                <w:sz w:val="17"/>
              </w:rPr>
              <w:t xml:space="preserve">MCP servers, tool registries, permission allowlists, branch protections</w:t>
            </w:r>
          </w:p>
        </w:tc>
        <w:tc>
          <w:tcPr/>
          <w:p>
            <w:pPr>
              <w:pStyle w:val="Compact"/>
              <w:spacing w:after="40"/>
              <w:jc w:val="left"/>
            </w:pPr>
            <w:r>
              <w:rPr>
                <w:rFonts w:ascii="Calibri" w:hAnsi="Calibri"/>
                <w:sz w:val="17"/>
              </w:rPr>
              <w:t xml:space="preserve">Tool misuse, scope escalation, irreversible actions</w:t>
            </w:r>
          </w:p>
        </w:tc>
        <w:tc>
          <w:tcPr/>
          <w:p>
            <w:pPr>
              <w:pStyle w:val="Compact"/>
              <w:spacing w:after="40"/>
              <w:jc w:val="left"/>
            </w:pPr>
            <w:r>
              <w:rPr>
                <w:rFonts w:ascii="Calibri" w:hAnsi="Calibri"/>
                <w:sz w:val="17"/>
              </w:rPr>
              <w:t xml:space="preserve">Least privilege, audit logs, checkpoints defined</w:t>
            </w:r>
          </w:p>
        </w:tc>
      </w:tr>
    </w:tbl>
    <w:p>
      <w:pPr>
        <w:pStyle w:val="BodyText"/>
      </w:pPr>
      <w:r>
        <w:t xml:space="preserve">The taxonomy is deliberately harness-agnostic. Every class exists whether the harness is Claude Code, Codex, Copilot’s coding agent, Devin, Jules or an in-house system, and the same class can be delivered by different mechanisms. That matters for assessment: an organization should score whether the context exists and is reachable, not which product delivers it.</w:t>
      </w:r>
    </w:p>
    <w:bookmarkEnd w:id="33"/>
    <w:bookmarkStart w:id="34" w:name="X580098664cd192d767ebb9c18f5b6230a9c5f3e"/>
    <w:p>
      <w:pPr>
        <w:pStyle w:val="Heading3"/>
      </w:pPr>
      <w:r>
        <w:t xml:space="preserve">3.3 Knowledge sources: repository, organization, policy</w:t>
      </w:r>
    </w:p>
    <w:p>
      <w:pPr>
        <w:pStyle w:val="FirstParagraph"/>
      </w:pPr>
      <w:r>
        <w:rPr>
          <w:bCs/>
          <w:b/>
        </w:rPr>
        <w:t xml:space="preserve">Repository context (K1).</w:t>
      </w:r>
      <w:r>
        <w:t xml:space="preserve"> </w:t>
      </w:r>
      <w:r>
        <w:t xml:space="preserve">Repository-level tasks are hard because they require</w:t>
      </w:r>
      <w:r>
        <w:t xml:space="preserve"> </w:t>
      </w:r>
      <w:r>
        <w:t xml:space="preserve">“</w:t>
      </w:r>
      <w:r>
        <w:t xml:space="preserve">understanding and coordinating changes across multiple functions, classes, and even files simultaneously</w:t>
      </w:r>
      <w:r>
        <w:t xml:space="preserve">”</w:t>
      </w:r>
      <w:r>
        <w:t xml:space="preserve"> </w:t>
      </w:r>
      <w:r>
        <w:t xml:space="preserve">[91]. Retrieval helps: iterative retrieval-generation improved in-file completion baselines by over 10% [92]; cross-file context is the decisive input in CrossCodeEval and RepoBench [78, 93]; and a line-level repository graph improved every agent it was plugged into on SWE-bench [79]. But the retriever, not the generator, is the bottleneck: CodeRAG-Bench found current retrievers</w:t>
      </w:r>
      <w:r>
        <w:t xml:space="preserve"> </w:t>
      </w:r>
      <w:r>
        <w:t xml:space="preserve">“</w:t>
      </w:r>
      <w:r>
        <w:t xml:space="preserve">still struggle to fetch useful contexts especially with limited lexical overlap</w:t>
      </w:r>
      <w:r>
        <w:t xml:space="preserve">”</w:t>
      </w:r>
      <w:r>
        <w:t xml:space="preserve"> </w:t>
      </w:r>
      <w:r>
        <w:t xml:space="preserve">[94]. Commercial harnesses converge on the same stack of code search, indexing and graph navigation, with GitHub’s coding agent using retrieval over code search and Cognition auto-generating architecture wikis [95, 96]. The organizational implication is that navigability is a property of the codebase, not the tool: small, modular repositories with current documentation and machine-readable structure are more agent-ready than large tangled ones, regardless of harness.</w:t>
      </w:r>
    </w:p>
    <w:p>
      <w:pPr>
        <w:pStyle w:val="BodyText"/>
      </w:pPr>
      <w:r>
        <w:rPr>
          <w:bCs/>
          <w:b/>
        </w:rPr>
        <w:t xml:space="preserve">Organizational knowledge (K2).</w:t>
      </w:r>
      <w:r>
        <w:t xml:space="preserve"> </w:t>
      </w:r>
      <w:r>
        <w:t xml:space="preserve">This is the class most often assumed and least often measured. We distinguish five kinds because they fail differently and are sourced differently: constraints (what must or must not be done), conventions (how things are done here), estate facts (what exists and where), decisions (why things are the way they are) and procedures (how to perform a recurring task). Three findings shape how they should be delivered.</w:t>
      </w:r>
    </w:p>
    <w:p>
      <w:pPr>
        <w:pStyle w:val="BodyText"/>
      </w:pPr>
      <w:r>
        <w:t xml:space="preserve">First, instruction files help only when they are short, prescriptive and non-derivable. The only controlled study to date, from ETH Zurich and LogicStar, evaluated Claude Code, Codex and Qwen Code on SWE-bench Lite and a new benchmark of repositories with developer-committed context files. Providing context files</w:t>
      </w:r>
      <w:r>
        <w:t xml:space="preserve"> </w:t>
      </w:r>
      <w:r>
        <w:t xml:space="preserve">“</w:t>
      </w:r>
      <w:r>
        <w:t xml:space="preserve">does not generally improve task success rates, while increasing inference cost by over 20% on average</w:t>
      </w:r>
      <w:r>
        <w:t xml:space="preserve">”</w:t>
      </w:r>
      <w:r>
        <w:t xml:space="preserve">; LLM-generated files slightly reduced resolution rates; developer-written files were significantly better than generated ones (p=0.038); explicit command and tool instructions were followed reliably; and</w:t>
      </w:r>
      <w:r>
        <w:t xml:space="preserve"> </w:t>
      </w:r>
      <w:r>
        <w:t xml:space="preserve">“</w:t>
      </w:r>
      <w:r>
        <w:t xml:space="preserve">repository overviews, although popular and recommended by model providers, are not helpful</w:t>
      </w:r>
      <w:r>
        <w:t xml:space="preserve">”</w:t>
      </w:r>
      <w:r>
        <w:t xml:space="preserve"> </w:t>
      </w:r>
      <w:r>
        <w:t xml:space="preserve">[80]. Vendor guidance is consistent with this: keep CLAUDE.md concise and ask of each line</w:t>
      </w:r>
      <w:r>
        <w:t xml:space="preserve"> </w:t>
      </w:r>
      <w:r>
        <w:t xml:space="preserve">“</w:t>
      </w:r>
      <w:r>
        <w:t xml:space="preserve">would removing this cause Claude to make mistakes?</w:t>
      </w:r>
      <w:r>
        <w:t xml:space="preserve">”</w:t>
      </w:r>
      <w:r>
        <w:t xml:space="preserve">, because bloated files cause the model to ignore actual instructions [10]; Cursor advises keeping rules under 500 lines and adding a rule only when the agent repeats a mistake [11]; GitHub specifies that instructions</w:t>
      </w:r>
      <w:r>
        <w:t xml:space="preserve"> </w:t>
      </w:r>
      <w:r>
        <w:t xml:space="preserve">“</w:t>
      </w:r>
      <w:r>
        <w:t xml:space="preserve">must not be task specific</w:t>
      </w:r>
      <w:r>
        <w:t xml:space="preserve">”</w:t>
      </w:r>
      <w:r>
        <w:t xml:space="preserve"> </w:t>
      </w:r>
      <w:r>
        <w:t xml:space="preserve">[11].</w:t>
      </w:r>
    </w:p>
    <w:p>
      <w:pPr>
        <w:pStyle w:val="BodyText"/>
      </w:pPr>
      <w:r>
        <w:t xml:space="preserve">Second, progressive disclosure beats front-loading. Agent Skills load only a name and description at startup and the full procedure when relevant, so an agent</w:t>
      </w:r>
      <w:r>
        <w:t xml:space="preserve"> </w:t>
      </w:r>
      <w:r>
        <w:t xml:space="preserve">“</w:t>
      </w:r>
      <w:r>
        <w:t xml:space="preserve">can keep many skills on hand with only a small context footprint</w:t>
      </w:r>
      <w:r>
        <w:t xml:space="preserve">”</w:t>
      </w:r>
      <w:r>
        <w:t xml:space="preserve"> </w:t>
      </w:r>
      <w:r>
        <w:t xml:space="preserve">[97]; the standard has been adopted by Claude Code, Cursor, Copilot, Codex, Gemini CLI and dozens of other harnesses. Devin’s Knowledge items carry trigger descriptions and are pinned per repository; its Playbooks encode a repeated task as overview, procedure, specifications, advice, forbidden actions and required inputs [96]. The pattern is the same: procedures are indexed, not inlined.</w:t>
      </w:r>
    </w:p>
    <w:p>
      <w:pPr>
        <w:pStyle w:val="BodyText"/>
      </w:pPr>
      <w:r>
        <w:t xml:space="preserve">Third, knowledge must be reachable through a harness-independent transport. The Model Context Protocol, launched in November 2024, has become that transport: its specification reached a stateless revision in July 2026 with hardened authorization, SDKs approach half a billion downloads a month, and the protocol was donated to the Linux Foundation’s Agentic AI Foundation alongside AGENTS.md, which is used by over 60,000 open-source projects [9, 98]. Google’s Agent2Agent protocol, launched with more than 50 partners, covers the complementary case of agents discovering and delegating to other agents through Agent Cards, JSON capability descriptions [99], and the llms.txt convention proposes a single concise, expert-level entry point for documentation sites [100]. Enterprise knowledge platforms expose permission-aware graphs over documents, tickets and people, increasingly through MCP: Microsoft 365 connectors fetch data in real time over MCP, Atlassian opened its Teamwork Graph to third-party agents via an MCP server, and Palantir’s ontology binds semantic objects to actions [101]. The academic literature on knowledge graphs for LLM question answering confirms the grounding benefit and the reduction in hallucination [102, 103], while retrieval-augmented generation remains the baseline mechanism [104]. For enterprise agents outside the codebase, semantic layers that define entities, dimensions and metrics once in machine-readable form play the role that code graphs play for coding agents [105].</w:t>
      </w:r>
    </w:p>
    <w:p>
      <w:pPr>
        <w:pStyle w:val="BodyText"/>
      </w:pPr>
      <w:r>
        <w:rPr>
          <w:bCs/>
          <w:b/>
        </w:rPr>
        <w:t xml:space="preserve">Policy and security context (K3).</w:t>
      </w:r>
      <w:r>
        <w:t xml:space="preserve"> </w:t>
      </w:r>
      <w:r>
        <w:t xml:space="preserve">Security is the clearest case of context that must be injected rather than assumed. Pearce et al. found about 40% of Copilot-generated programs vulnerable in CWE Top-25 scenarios in 2021 [81]; Perry et al. found users with an AI assistant wrote less secure code and were more confident it was secure [106]; Veracode found 45% of samples failing OWASP checks in 2025 and again in spring 2026, with the sharp observation that models</w:t>
      </w:r>
      <w:r>
        <w:t xml:space="preserve"> </w:t>
      </w:r>
      <w:r>
        <w:t xml:space="preserve">“</w:t>
      </w:r>
      <w:r>
        <w:t xml:space="preserve">have become excellent at writing code that compiles</w:t>
      </w:r>
      <w:r>
        <w:t xml:space="preserve">”</w:t>
      </w:r>
      <w:r>
        <w:t xml:space="preserve"> </w:t>
      </w:r>
      <w:r>
        <w:t xml:space="preserve">and</w:t>
      </w:r>
      <w:r>
        <w:t xml:space="preserve"> </w:t>
      </w:r>
      <w:r>
        <w:t xml:space="preserve">“</w:t>
      </w:r>
      <w:r>
        <w:t xml:space="preserve">failed at writing code that’s safe</w:t>
      </w:r>
      <w:r>
        <w:t xml:space="preserve">”</w:t>
      </w:r>
      <w:r>
        <w:t xml:space="preserve"> </w:t>
      </w:r>
      <w:r>
        <w:t xml:space="preserve">[42]. Fu et al. found 29.5% of Python and 24.2% of JavaScript AI-generated snippets in real GitHub projects contained weaknesses, and that up to 55.5% could be fixed when static-analysis warnings were fed back [87]. Context files are an injection surface as well as a delivery mechanism: tool-poisoning attacks hide instructions in MCP tool descriptions [107], and the OWASP Top 10 for Agentic Applications names memory and context poisoning, tool misuse and agentic supply-chain vulnerabilities among its ten risks [108]. Policy context therefore has two halves: guidance the agent reads, and gates the agent cannot bypass.</w:t>
      </w:r>
    </w:p>
    <w:bookmarkEnd w:id="34"/>
    <w:bookmarkStart w:id="35" w:name="context-for-the-exact-workflow"/>
    <w:p>
      <w:pPr>
        <w:pStyle w:val="Heading3"/>
      </w:pPr>
      <w:r>
        <w:t xml:space="preserve">3.4 Context for the exact workflow</w:t>
      </w:r>
    </w:p>
    <w:p>
      <w:pPr>
        <w:pStyle w:val="FirstParagraph"/>
      </w:pPr>
      <w:r>
        <w:rPr>
          <w:bCs/>
          <w:b/>
        </w:rPr>
        <w:t xml:space="preserve">Task specification (W1).</w:t>
      </w:r>
      <w:r>
        <w:t xml:space="preserve"> </w:t>
      </w:r>
      <w:r>
        <w:t xml:space="preserve">SWE-bench Verified is the cleanest natural experiment on specification quality. When 93 professional developers filtered 1,699 tasks for underspecified issues, overly specific tests and environment failures, measured success for the same model doubled [82]. On the harder SWE-bench Pro,</w:t>
      </w:r>
      <w:r>
        <w:t xml:space="preserve"> </w:t>
      </w:r>
      <w:r>
        <w:t xml:space="preserve">“</w:t>
      </w:r>
      <w:r>
        <w:t xml:space="preserve">wrong solution</w:t>
      </w:r>
      <w:r>
        <w:t xml:space="preserve">”</w:t>
      </w:r>
      <w:r>
        <w:t xml:space="preserve"> </w:t>
      </w:r>
      <w:r>
        <w:t xml:space="preserve">accounts for 35-50% of failures, the largest category [83]. Amazon’s Kiro operationalizes the lesson as spec-driven development: requirements, design and tasks with acceptance criteria, plus hooks that trigger tests and security scans on events [109]. Hassan et al.’s agentic software engineering roadmap frames</w:t>
      </w:r>
      <w:r>
        <w:t xml:space="preserve"> </w:t>
      </w:r>
      <w:r>
        <w:t xml:space="preserve">“</w:t>
      </w:r>
      <w:r>
        <w:t xml:space="preserve">briefing</w:t>
      </w:r>
      <w:r>
        <w:t xml:space="preserve">”</w:t>
      </w:r>
      <w:r>
        <w:t xml:space="preserve"> </w:t>
      </w:r>
      <w:r>
        <w:t xml:space="preserve">as a first-class engineering activity producing merge-readiness packs and consultation requests [110]. An organization’s issue templates and acceptance-criteria discipline are, in effect, agent readiness.</w:t>
      </w:r>
    </w:p>
    <w:p>
      <w:pPr>
        <w:pStyle w:val="BodyText"/>
      </w:pPr>
      <w:r>
        <w:rPr>
          <w:bCs/>
          <w:b/>
        </w:rPr>
        <w:t xml:space="preserve">Execution environment (W2).</w:t>
      </w:r>
      <w:r>
        <w:t xml:space="preserve"> </w:t>
      </w:r>
      <w:r>
        <w:t xml:space="preserve">Agents need reproducible, resourced, isolated environments with tests that mean something. Three findings establish this. Anthropic showed that identical model, harness and tasks produced a 6-point gap on Terminal-Bench 2.0 across VM resource configurations, and concluded that leaderboard differences under 3 points</w:t>
      </w:r>
      <w:r>
        <w:t xml:space="preserve"> </w:t>
      </w:r>
      <w:r>
        <w:t xml:space="preserve">“</w:t>
      </w:r>
      <w:r>
        <w:t xml:space="preserve">deserve skepticism until the eval configuration is documented</w:t>
      </w:r>
      <w:r>
        <w:t xml:space="preserve">”</w:t>
      </w:r>
      <w:r>
        <w:t xml:space="preserve"> </w:t>
      </w:r>
      <w:r>
        <w:t xml:space="preserve">[84]. SWE-Bench+ found 32.67% of</w:t>
      </w:r>
      <w:r>
        <w:t xml:space="preserve"> </w:t>
      </w:r>
      <w:r>
        <w:t xml:space="preserve">“</w:t>
      </w:r>
      <w:r>
        <w:t xml:space="preserve">successful</w:t>
      </w:r>
      <w:r>
        <w:t xml:space="preserve">”</w:t>
      </w:r>
      <w:r>
        <w:t xml:space="preserve"> </w:t>
      </w:r>
      <w:r>
        <w:t xml:space="preserve">patches involved leakage of the solution in the issue text or comments and 31.08% passed only because of weak tests [85], and SWE-bench-Live found a substantial performance drop on fresh tasks with automated environment setup [111]. Terminal-Bench pairs each task with a unique environment, human-written solution and comprehensive tests, and frontier agents scored under 65% at publication [112]. Production harnesses now encode these requirements: Codex runs each task in an isolated cloud sandbox preloaded with the repository, with internet off during the agent phase and setup scripts run beforehand [113]; Copilot’s coding agent runs in GitHub Actions with egress limits and, by GitHub’s own description,</w:t>
      </w:r>
      <w:r>
        <w:t xml:space="preserve"> </w:t>
      </w:r>
      <w:r>
        <w:t xml:space="preserve">“</w:t>
      </w:r>
      <w:r>
        <w:t xml:space="preserve">excels at low-to-medium complexity tasks in well-tested codebases</w:t>
      </w:r>
      <w:r>
        <w:t xml:space="preserve">”</w:t>
      </w:r>
      <w:r>
        <w:t xml:space="preserve"> </w:t>
      </w:r>
      <w:r>
        <w:t xml:space="preserve">[95]; Claude Code’s sandboxing isolates filesystem and network, cutting permission prompts by 84% [114]; Google’s Jules clones the repository into an isolated cloud VM and requires plan approval before execution [115]; and the open-source OpenHands platform, evaluated on 15 benchmarks, shows the same sandboxed-environment architecture is reproducible outside vendor products [116]. Dev containers and hermetic build systems are the organizational prerequisites [117]. Environments that are executable and test-bearing are also the scarce asset for training and evaluating agents at all [118].</w:t>
      </w:r>
    </w:p>
    <w:p>
      <w:pPr>
        <w:pStyle w:val="BodyText"/>
      </w:pPr>
      <w:r>
        <w:rPr>
          <w:bCs/>
          <w:b/>
        </w:rPr>
        <w:t xml:space="preserve">Verification signals (W3).</w:t>
      </w:r>
      <w:r>
        <w:t xml:space="preserve"> </w:t>
      </w:r>
      <w:r>
        <w:t xml:space="preserve">An agent that cannot tell whether it is done will either stop early or continue confidently in the wrong direction. Anthropic’s best-practice guidance makes verification the organizing principle (</w:t>
      </w:r>
      <w:r>
        <w:t xml:space="preserve">“</w:t>
      </w:r>
      <w:r>
        <w:t xml:space="preserve">give Claude a way to verify its work</w:t>
      </w:r>
      <w:r>
        <w:t xml:space="preserve">”</w:t>
      </w:r>
      <w:r>
        <w:t xml:space="preserve">) and its harness research shows generator/evaluator separation, sprint contracts and end-to-end tests materially improve long-running output [10, 86]. Airbnb’s migration of 3,500 test files used a step-based validation state machine with retry loops feeding errors back to the model; 75% of files migrated in a four-hour run and 97% after four days of tuning [119]. Evaluation practice for agents has its own vocabulary: capability versus regression evals, code-based, model-based and human graders, and the distinction between pass@k (at least one success in k trials) and pass^k (all k succeed), the latter being what enterprises need because reliability, not peak performance, determines whether a task can be delegated [120, 121]. Model-based grading is workable (GPT-4-class judges agree with humans over 80% of the time) but carries documented position, verbosity and self-enhancement biases [122].</w:t>
      </w:r>
    </w:p>
    <w:p>
      <w:pPr>
        <w:pStyle w:val="BodyText"/>
      </w:pPr>
      <w:r>
        <w:rPr>
          <w:bCs/>
          <w:b/>
        </w:rPr>
        <w:t xml:space="preserve">Workflow state and memory (W4).</w:t>
      </w:r>
      <w:r>
        <w:t xml:space="preserve"> </w:t>
      </w:r>
      <w:r>
        <w:t xml:space="preserve">Long tasks exceed any context window, so state must live outside it. Anthropic’s harness patterns use an initializer agent, a progress file, a feature list in JSON, git commits as checkpoints and a clean-state check at session start [86]; its managed-agents architecture separates reasoning from execution and keeps sessions as event logs so runs survive crashes [123]. MemGPT introduced tiered memory managed by the model itself [88]; the ACE method treats contexts as evolving playbooks and warns of</w:t>
      </w:r>
      <w:r>
        <w:t xml:space="preserve"> </w:t>
      </w:r>
      <w:r>
        <w:t xml:space="preserve">“</w:t>
      </w:r>
      <w:r>
        <w:t xml:space="preserve">brevity bias</w:t>
      </w:r>
      <w:r>
        <w:t xml:space="preserve">”</w:t>
      </w:r>
      <w:r>
        <w:t xml:space="preserve"> </w:t>
      </w:r>
      <w:r>
        <w:t xml:space="preserve">and</w:t>
      </w:r>
      <w:r>
        <w:t xml:space="preserve"> </w:t>
      </w:r>
      <w:r>
        <w:t xml:space="preserve">“</w:t>
      </w:r>
      <w:r>
        <w:t xml:space="preserve">context collapse</w:t>
      </w:r>
      <w:r>
        <w:t xml:space="preserve">”</w:t>
      </w:r>
      <w:r>
        <w:t xml:space="preserve"> </w:t>
      </w:r>
      <w:r>
        <w:t xml:space="preserve">when summaries overwrite detail [124]. Whether to share full traces across agents or isolate contexts is unresolved: Cognition argues for shared full traces and single-threaded agents by default [125], while Anthropic’s research system gains from isolated sub-agent contexts [75]. The practical rule is isolation for parallel investigation and verification, and a single thread for tightly coupled edits.</w:t>
      </w:r>
    </w:p>
    <w:p>
      <w:pPr>
        <w:pStyle w:val="BodyText"/>
      </w:pPr>
      <w:r>
        <w:rPr>
          <w:bCs/>
          <w:b/>
        </w:rPr>
        <w:t xml:space="preserve">Tools and checkpoints (W5).</w:t>
      </w:r>
      <w:r>
        <w:t xml:space="preserve"> </w:t>
      </w:r>
      <w:r>
        <w:t xml:space="preserve">Tools are</w:t>
      </w:r>
      <w:r>
        <w:t xml:space="preserve"> </w:t>
      </w:r>
      <w:r>
        <w:t xml:space="preserve">“</w:t>
      </w:r>
      <w:r>
        <w:t xml:space="preserve">a contract between deterministic systems and non-deterministic agents</w:t>
      </w:r>
      <w:r>
        <w:t xml:space="preserve">”</w:t>
      </w:r>
      <w:r>
        <w:t xml:space="preserve"> </w:t>
      </w:r>
      <w:r>
        <w:t xml:space="preserve">[90]. Few, well-named, namespaced tools that return high-signal, paginated results outperform many; tool descriptions should be evaluated and refined like any other interface [89, 90]. Checkpoints are where governance meets context: Singapore’s agentic AI framework asks organizations to</w:t>
      </w:r>
      <w:r>
        <w:t xml:space="preserve"> </w:t>
      </w:r>
      <w:r>
        <w:t xml:space="preserve">“</w:t>
      </w:r>
      <w:r>
        <w:t xml:space="preserve">define significant checkpoints that require human approval, such as high-stakes or irreversible actions,</w:t>
      </w:r>
      <w:r>
        <w:t xml:space="preserve">”</w:t>
      </w:r>
      <w:r>
        <w:t xml:space="preserve"> </w:t>
      </w:r>
      <w:r>
        <w:t xml:space="preserve">to bound autonomy through defined tools and permissions, and to give agents identities with least privilege [126]. GitHub’s coding agent can push only to its own branches, requires a different approver from the assigner, and needs human approval before workflows run [95]. Claude Code’s auto mode adds a prompt-injection probe on tool outputs and a transcript classifier before each action, cutting false positives from 8.5% to 0.4% while still missing 17% of a set of real overeager actions [114]. NIST’s agent standards initiative and its NCCoE concept paper on agent identity and authorization signal that per-agent identity and scoped credentials will become standard expectations [127].</w:t>
      </w:r>
    </w:p>
    <w:bookmarkEnd w:id="35"/>
    <w:bookmarkStart w:id="36" w:name="implications-for-assessment"/>
    <w:p>
      <w:pPr>
        <w:pStyle w:val="Heading3"/>
      </w:pPr>
      <w:r>
        <w:t xml:space="preserve">3.5 Implications for assessment</w:t>
      </w:r>
    </w:p>
    <w:p>
      <w:pPr>
        <w:pStyle w:val="FirstParagraph"/>
      </w:pPr>
      <w:r>
        <w:t xml:space="preserve">Four conclusions follow, ranked by strength of evidence.</w:t>
      </w:r>
    </w:p>
    <w:p>
      <w:pPr>
        <w:numPr>
          <w:ilvl w:val="0"/>
          <w:numId w:val="1004"/>
        </w:numPr>
        <w:pStyle w:val="Compact"/>
      </w:pPr>
      <w:r>
        <w:rPr>
          <w:bCs/>
          <w:b/>
        </w:rPr>
        <w:t xml:space="preserve">Executable, well-tested, deterministic environments are the most evidenced enabler</w:t>
      </w:r>
      <w:r>
        <w:t xml:space="preserve">, with controlled evidence from benchmark construction, infrastructure noise and vendor scoping. This is a property of the estate, not the model.</w:t>
      </w:r>
    </w:p>
    <w:p>
      <w:pPr>
        <w:numPr>
          <w:ilvl w:val="0"/>
          <w:numId w:val="1004"/>
        </w:numPr>
        <w:pStyle w:val="Compact"/>
      </w:pPr>
      <w:r>
        <w:rPr>
          <w:bCs/>
          <w:b/>
        </w:rPr>
        <w:t xml:space="preserve">Cross-file repository context is the decisive input for code tasks</w:t>
      </w:r>
      <w:r>
        <w:t xml:space="preserve">, and retriever quality is the bottleneck; navigability is an assessable property of the codebase.</w:t>
      </w:r>
    </w:p>
    <w:p>
      <w:pPr>
        <w:numPr>
          <w:ilvl w:val="0"/>
          <w:numId w:val="1004"/>
        </w:numPr>
        <w:pStyle w:val="Compact"/>
      </w:pPr>
      <w:r>
        <w:rPr>
          <w:bCs/>
          <w:b/>
        </w:rPr>
        <w:t xml:space="preserve">Organizational knowledge helps only when it is short, prescriptive, non-derivable, maintained and reachable on demand</w:t>
      </w:r>
      <w:r>
        <w:t xml:space="preserve">; overviews and bloated instruction files cost money and do not help. Assessment should measure the quality and currency of context files and knowledge sources, not their existence.</w:t>
      </w:r>
    </w:p>
    <w:p>
      <w:pPr>
        <w:numPr>
          <w:ilvl w:val="0"/>
          <w:numId w:val="1004"/>
        </w:numPr>
        <w:pStyle w:val="Compact"/>
      </w:pPr>
      <w:r>
        <w:rPr>
          <w:bCs/>
          <w:b/>
        </w:rPr>
        <w:t xml:space="preserve">Verification and checkpoints are part of context</w:t>
      </w:r>
      <w:r>
        <w:t xml:space="preserve">, and reliability (pass^k on a private task suite) is the metric that determines what can be delegated.</w:t>
      </w:r>
    </w:p>
    <w:p>
      <w:pPr>
        <w:pStyle w:val="FirstParagraph"/>
      </w:pPr>
      <w:r>
        <w:t xml:space="preserve">Each conclusion maps to a dimension of the agent-readiness index in Section 5.</w:t>
      </w:r>
    </w:p>
    <w:bookmarkEnd w:id="36"/>
    <w:bookmarkEnd w:id="37"/>
    <w:bookmarkStart w:id="44" w:name="what-the-industry-and-academia-have"/>
    <w:p>
      <w:pPr>
        <w:pStyle w:val="Heading2"/>
      </w:pPr>
      <w:r>
        <w:t xml:space="preserve">4. What the industry and academia have</w:t>
      </w:r>
    </w:p>
    <w:bookmarkStart w:id="38" w:name="enterprise-ai-maturity-models"/>
    <w:p>
      <w:pPr>
        <w:pStyle w:val="Heading3"/>
      </w:pPr>
      <w:r>
        <w:t xml:space="preserve">4.1 Enterprise AI maturity models</w:t>
      </w:r>
    </w:p>
    <w:p>
      <w:pPr>
        <w:pStyle w:val="FirstParagraph"/>
      </w:pPr>
      <w:r>
        <w:t xml:space="preserve">Table 4.1 compares the models an organization is most likely to encounter. Four observations follow the table.</w:t>
      </w:r>
    </w:p>
    <w:p>
      <w:pPr>
        <w:pStyle w:val="BodyText"/>
      </w:pPr>
      <w:r>
        <w:rPr>
          <w:bCs/>
          <w:b/>
        </w:rPr>
        <w:t xml:space="preserve">Table 4.1. Enterprise AI maturity and readiness models (industry)</w:t>
      </w:r>
    </w:p>
    <w:tbl>
      <w:tblPr>
        <w:tblStyle w:val="Table"/>
        <w:tblW w:type="pct" w:w="5000"/>
        <w:tblLook w:firstRow="1" w:lastRow="0" w:firstColumn="0" w:lastColumn="0" w:noHBand="0" w:noVBand="0" w:val="0020"/>
        <w:jc w:val="start"/>
        <w:tblBorders>
          <w:top w:val="single" w:sz="4" w:color="C9D1D8"/>
          <w:left w:val="single" w:sz="4" w:color="C9D1D8"/>
          <w:bottom w:val="single" w:sz="4" w:color="C9D1D8"/>
          <w:right w:val="single" w:sz="4" w:color="C9D1D8"/>
          <w:insideH w:val="single" w:sz="4" w:color="C9D1D8"/>
          <w:insideV w:val="single" w:sz="4" w:color="C9D1D8"/>
        </w:tblBorders>
      </w:tblPr>
      <w:tblGrid>
        <w:gridCol w:w="1584"/>
        <w:gridCol w:w="1584"/>
        <w:gridCol w:w="1584"/>
        <w:gridCol w:w="1584"/>
        <w:gridCol w:w="1584"/>
      </w:tblGrid>
      <w:tr>
        <w:trPr>
          <w:tblHeader w:val="true"/>
        </w:trPr>
        <w:tc>
          <w:tcPr>
            <w:shd w:val="clear" w:color="auto" w:fill="EEF2F6"/>
          </w:tcPr>
          <w:p>
            <w:pPr>
              <w:pStyle w:val="Compact"/>
              <w:spacing w:after="40"/>
              <w:jc w:val="left"/>
            </w:pPr>
            <w:r>
              <w:rPr>
                <w:rFonts w:ascii="Calibri" w:hAnsi="Calibri"/>
                <w:b/>
                <w:sz w:val="17"/>
              </w:rPr>
              <w:t xml:space="preserve">Model (issuer, date)</w:t>
            </w:r>
          </w:p>
        </w:tc>
        <w:tc>
          <w:tcPr>
            <w:shd w:val="clear" w:color="auto" w:fill="EEF2F6"/>
          </w:tcPr>
          <w:p>
            <w:pPr>
              <w:pStyle w:val="Compact"/>
              <w:spacing w:after="40"/>
              <w:jc w:val="left"/>
            </w:pPr>
            <w:r>
              <w:rPr>
                <w:rFonts w:ascii="Calibri" w:hAnsi="Calibri"/>
                <w:b/>
                <w:sz w:val="17"/>
              </w:rPr>
              <w:t xml:space="preserve">Levels / stages</w:t>
            </w:r>
          </w:p>
        </w:tc>
        <w:tc>
          <w:tcPr>
            <w:shd w:val="clear" w:color="auto" w:fill="EEF2F6"/>
          </w:tcPr>
          <w:p>
            <w:pPr>
              <w:pStyle w:val="Compact"/>
              <w:spacing w:after="40"/>
              <w:jc w:val="left"/>
            </w:pPr>
            <w:r>
              <w:rPr>
                <w:rFonts w:ascii="Calibri" w:hAnsi="Calibri"/>
                <w:b/>
                <w:sz w:val="17"/>
              </w:rPr>
              <w:t xml:space="preserve">Dimensions</w:t>
            </w:r>
          </w:p>
        </w:tc>
        <w:tc>
          <w:tcPr>
            <w:shd w:val="clear" w:color="auto" w:fill="EEF2F6"/>
          </w:tcPr>
          <w:p>
            <w:pPr>
              <w:pStyle w:val="Compact"/>
              <w:spacing w:after="40"/>
              <w:jc w:val="left"/>
            </w:pPr>
            <w:r>
              <w:rPr>
                <w:rFonts w:ascii="Calibri" w:hAnsi="Calibri"/>
                <w:b/>
                <w:sz w:val="17"/>
              </w:rPr>
              <w:t xml:space="preserve">Outcome validation</w:t>
            </w:r>
          </w:p>
        </w:tc>
        <w:tc>
          <w:tcPr>
            <w:shd w:val="clear" w:color="auto" w:fill="EEF2F6"/>
          </w:tcPr>
          <w:p>
            <w:pPr>
              <w:pStyle w:val="Compact"/>
              <w:spacing w:after="40"/>
              <w:jc w:val="left"/>
            </w:pPr>
            <w:r>
              <w:rPr>
                <w:rFonts w:ascii="Calibri" w:hAnsi="Calibri"/>
                <w:b/>
                <w:sz w:val="17"/>
              </w:rPr>
              <w:t xml:space="preserve">Agent-specific?</w:t>
            </w:r>
          </w:p>
        </w:tc>
      </w:tr>
      <w:tr>
        <w:tc>
          <w:tcPr/>
          <w:p>
            <w:pPr>
              <w:pStyle w:val="Compact"/>
              <w:spacing w:after="40"/>
              <w:jc w:val="left"/>
            </w:pPr>
            <w:r>
              <w:rPr>
                <w:rFonts w:ascii="Calibri" w:hAnsi="Calibri"/>
                <w:sz w:val="17"/>
              </w:rPr>
              <w:t xml:space="preserve">Gartner AI Maturity Model [53]</w:t>
            </w:r>
          </w:p>
        </w:tc>
        <w:tc>
          <w:tcPr/>
          <w:p>
            <w:pPr>
              <w:pStyle w:val="Compact"/>
              <w:spacing w:after="40"/>
              <w:jc w:val="left"/>
            </w:pPr>
            <w:r>
              <w:rPr>
                <w:rFonts w:ascii="Calibri" w:hAnsi="Calibri"/>
                <w:sz w:val="17"/>
              </w:rPr>
              <w:t xml:space="preserve">5: Foundational, Emerging, Operational, Scaled, Transformational</w:t>
            </w:r>
          </w:p>
        </w:tc>
        <w:tc>
          <w:tcPr/>
          <w:p>
            <w:pPr>
              <w:pStyle w:val="Compact"/>
              <w:spacing w:after="40"/>
              <w:jc w:val="left"/>
            </w:pPr>
            <w:r>
              <w:rPr>
                <w:rFonts w:ascii="Calibri" w:hAnsi="Calibri"/>
                <w:sz w:val="17"/>
              </w:rPr>
              <w:t xml:space="preserve">7 pillars: strategy, data, governance, engineering, operating model, culture, AI product/value</w:t>
            </w:r>
          </w:p>
        </w:tc>
        <w:tc>
          <w:tcPr/>
          <w:p>
            <w:pPr>
              <w:pStyle w:val="Compact"/>
              <w:spacing w:after="40"/>
              <w:jc w:val="left"/>
            </w:pPr>
            <w:r>
              <w:rPr>
                <w:rFonts w:ascii="Calibri" w:hAnsi="Calibri"/>
                <w:sz w:val="17"/>
              </w:rPr>
              <w:t xml:space="preserve">Not published; level names changed between editions</w:t>
            </w:r>
          </w:p>
        </w:tc>
        <w:tc>
          <w:tcPr/>
          <w:p>
            <w:pPr>
              <w:pStyle w:val="Compact"/>
              <w:spacing w:after="40"/>
              <w:jc w:val="left"/>
            </w:pPr>
            <w:r>
              <w:rPr>
                <w:rFonts w:ascii="Calibri" w:hAnsi="Calibri"/>
                <w:sz w:val="17"/>
              </w:rPr>
              <w:t xml:space="preserve">No</w:t>
            </w:r>
          </w:p>
        </w:tc>
      </w:tr>
      <w:tr>
        <w:tc>
          <w:tcPr/>
          <w:p>
            <w:pPr>
              <w:pStyle w:val="Compact"/>
              <w:spacing w:after="40"/>
              <w:jc w:val="left"/>
            </w:pPr>
            <w:r>
              <w:rPr>
                <w:rFonts w:ascii="Calibri" w:hAnsi="Calibri"/>
                <w:sz w:val="17"/>
              </w:rPr>
              <w:t xml:space="preserve">MIT CISR Enterprise AI Maturity [26, 27]</w:t>
            </w:r>
          </w:p>
        </w:tc>
        <w:tc>
          <w:tcPr/>
          <w:p>
            <w:pPr>
              <w:pStyle w:val="Compact"/>
              <w:spacing w:after="40"/>
              <w:jc w:val="left"/>
            </w:pPr>
            <w:r>
              <w:rPr>
                <w:rFonts w:ascii="Calibri" w:hAnsi="Calibri"/>
                <w:sz w:val="17"/>
              </w:rPr>
              <w:t xml:space="preserve">4: Experiment and Prepare (28%), Build Pilots and Capabilities (34%), Develop AI Ways of Working (31%), Become AI Future Ready (7%)</w:t>
            </w:r>
          </w:p>
        </w:tc>
        <w:tc>
          <w:tcPr/>
          <w:p>
            <w:pPr>
              <w:pStyle w:val="Compact"/>
              <w:spacing w:after="40"/>
              <w:jc w:val="left"/>
            </w:pPr>
            <w:r>
              <w:rPr>
                <w:rFonts w:ascii="Calibri" w:hAnsi="Calibri"/>
                <w:sz w:val="17"/>
              </w:rPr>
              <w:t xml:space="preserve">Staged by</w:t>
            </w:r>
            <w:r>
              <w:rPr>
                <w:rFonts w:ascii="Calibri" w:hAnsi="Calibri"/>
                <w:sz w:val="17"/>
              </w:rPr>
              <w:t xml:space="preserve"> </w:t>
            </w:r>
            <w:r>
              <w:rPr>
                <w:rFonts w:ascii="Calibri" w:hAnsi="Calibri"/>
                <w:sz w:val="17"/>
              </w:rPr>
              <w:t xml:space="preserve">“</w:t>
            </w:r>
            <w:r>
              <w:rPr>
                <w:rFonts w:ascii="Calibri" w:hAnsi="Calibri"/>
                <w:sz w:val="17"/>
              </w:rPr>
              <w:t xml:space="preserve">Total AI Effectiveness</w:t>
            </w:r>
            <w:r>
              <w:rPr>
                <w:rFonts w:ascii="Calibri" w:hAnsi="Calibri"/>
                <w:sz w:val="17"/>
              </w:rPr>
              <w:t xml:space="preserve">”</w:t>
            </w:r>
            <w:r>
              <w:rPr>
                <w:rFonts w:ascii="Calibri" w:hAnsi="Calibri"/>
                <w:sz w:val="17"/>
              </w:rPr>
              <w:t xml:space="preserve"> </w:t>
            </w:r>
            <w:r>
              <w:rPr>
                <w:rFonts w:ascii="Calibri" w:hAnsi="Calibri"/>
                <w:sz w:val="17"/>
              </w:rPr>
              <w:t xml:space="preserve">(operations, customer, ecosystem)</w:t>
            </w:r>
          </w:p>
        </w:tc>
        <w:tc>
          <w:tcPr/>
          <w:p>
            <w:pPr>
              <w:pStyle w:val="Compact"/>
              <w:spacing w:after="40"/>
              <w:jc w:val="left"/>
            </w:pPr>
            <w:r>
              <w:rPr>
                <w:rFonts w:ascii="Calibri" w:hAnsi="Calibri"/>
                <w:sz w:val="17"/>
              </w:rPr>
              <w:t xml:space="preserve">Yes: revenue growth and net margin deltas by stage, n=721; largest step is stage 2 to 3</w:t>
            </w:r>
          </w:p>
        </w:tc>
        <w:tc>
          <w:tcPr/>
          <w:p>
            <w:pPr>
              <w:pStyle w:val="Compact"/>
              <w:spacing w:after="40"/>
              <w:jc w:val="left"/>
            </w:pPr>
            <w:r>
              <w:rPr>
                <w:rFonts w:ascii="Calibri" w:hAnsi="Calibri"/>
                <w:sz w:val="17"/>
              </w:rPr>
              <w:t xml:space="preserve">No</w:t>
            </w:r>
          </w:p>
        </w:tc>
      </w:tr>
      <w:tr>
        <w:tc>
          <w:tcPr/>
          <w:p>
            <w:pPr>
              <w:pStyle w:val="Compact"/>
              <w:spacing w:after="40"/>
              <w:jc w:val="left"/>
            </w:pPr>
            <w:r>
              <w:rPr>
                <w:rFonts w:ascii="Calibri" w:hAnsi="Calibri"/>
                <w:sz w:val="17"/>
              </w:rPr>
              <w:t xml:space="preserve">BCG Build for the Future [13]</w:t>
            </w:r>
          </w:p>
        </w:tc>
        <w:tc>
          <w:tcPr/>
          <w:p>
            <w:pPr>
              <w:pStyle w:val="Compact"/>
              <w:spacing w:after="40"/>
              <w:jc w:val="left"/>
            </w:pPr>
            <w:r>
              <w:rPr>
                <w:rFonts w:ascii="Calibri" w:hAnsi="Calibri"/>
                <w:sz w:val="17"/>
              </w:rPr>
              <w:t xml:space="preserve">3 segments: future-built (5%), scaling (35%), laggards (60%)</w:t>
            </w:r>
          </w:p>
        </w:tc>
        <w:tc>
          <w:tcPr/>
          <w:p>
            <w:pPr>
              <w:pStyle w:val="Compact"/>
              <w:spacing w:after="40"/>
              <w:jc w:val="left"/>
            </w:pPr>
            <w:r>
              <w:rPr>
                <w:rFonts w:ascii="Calibri" w:hAnsi="Calibri"/>
                <w:sz w:val="17"/>
              </w:rPr>
              <w:t xml:space="preserve">5 traits: ambition, end-to-end workflow reinvention, AI-first operating model, talent, modular tech and data</w:t>
            </w:r>
          </w:p>
        </w:tc>
        <w:tc>
          <w:tcPr/>
          <w:p>
            <w:pPr>
              <w:pStyle w:val="Compact"/>
              <w:spacing w:after="40"/>
              <w:jc w:val="left"/>
            </w:pPr>
            <w:r>
              <w:rPr>
                <w:rFonts w:ascii="Calibri" w:hAnsi="Calibri"/>
                <w:sz w:val="17"/>
              </w:rPr>
              <w:t xml:space="preserve">Yes: 1.7x revenue growth, 1.6x EBIT margin improvement, n=1,250 (self-reported staging)</w:t>
            </w:r>
          </w:p>
        </w:tc>
        <w:tc>
          <w:tcPr/>
          <w:p>
            <w:pPr>
              <w:pStyle w:val="Compact"/>
              <w:spacing w:after="40"/>
              <w:jc w:val="left"/>
            </w:pPr>
            <w:r>
              <w:rPr>
                <w:rFonts w:ascii="Calibri" w:hAnsi="Calibri"/>
                <w:sz w:val="17"/>
              </w:rPr>
              <w:t xml:space="preserve">Partly: agent adoption 33% vs 12% vs ~0% by segment</w:t>
            </w:r>
          </w:p>
        </w:tc>
      </w:tr>
      <w:tr>
        <w:tc>
          <w:tcPr/>
          <w:p>
            <w:pPr>
              <w:pStyle w:val="Compact"/>
              <w:spacing w:after="40"/>
              <w:jc w:val="left"/>
            </w:pPr>
            <w:r>
              <w:rPr>
                <w:rFonts w:ascii="Calibri" w:hAnsi="Calibri"/>
                <w:sz w:val="17"/>
              </w:rPr>
              <w:t xml:space="preserve">Accenture Art of AI Maturity [54]</w:t>
            </w:r>
          </w:p>
        </w:tc>
        <w:tc>
          <w:tcPr/>
          <w:p>
            <w:pPr>
              <w:pStyle w:val="Compact"/>
              <w:spacing w:after="40"/>
              <w:jc w:val="left"/>
            </w:pPr>
            <w:r>
              <w:rPr>
                <w:rFonts w:ascii="Calibri" w:hAnsi="Calibri"/>
                <w:sz w:val="17"/>
              </w:rPr>
              <w:t xml:space="preserve">4 clusters: Achievers (12%), Innovators, Builders, Experimenters (63%)</w:t>
            </w:r>
          </w:p>
        </w:tc>
        <w:tc>
          <w:tcPr/>
          <w:p>
            <w:pPr>
              <w:pStyle w:val="Compact"/>
              <w:spacing w:after="40"/>
              <w:jc w:val="left"/>
            </w:pPr>
            <w:r>
              <w:rPr>
                <w:rFonts w:ascii="Calibri" w:hAnsi="Calibri"/>
                <w:sz w:val="17"/>
              </w:rPr>
              <w:t xml:space="preserve">Foundational and differentiating capabilities, scored</w:t>
            </w:r>
          </w:p>
        </w:tc>
        <w:tc>
          <w:tcPr/>
          <w:p>
            <w:pPr>
              <w:pStyle w:val="Compact"/>
              <w:spacing w:after="40"/>
              <w:jc w:val="left"/>
            </w:pPr>
            <w:r>
              <w:rPr>
                <w:rFonts w:ascii="Calibri" w:hAnsi="Calibri"/>
                <w:sz w:val="17"/>
              </w:rPr>
              <w:t xml:space="preserve">Yes: Achievers’ AI-attributable revenue growth 50% higher (2022)</w:t>
            </w:r>
          </w:p>
        </w:tc>
        <w:tc>
          <w:tcPr/>
          <w:p>
            <w:pPr>
              <w:pStyle w:val="Compact"/>
              <w:spacing w:after="40"/>
              <w:jc w:val="left"/>
            </w:pPr>
            <w:r>
              <w:rPr>
                <w:rFonts w:ascii="Calibri" w:hAnsi="Calibri"/>
                <w:sz w:val="17"/>
              </w:rPr>
              <w:t xml:space="preserve">No</w:t>
            </w:r>
          </w:p>
        </w:tc>
      </w:tr>
      <w:tr>
        <w:tc>
          <w:tcPr/>
          <w:p>
            <w:pPr>
              <w:pStyle w:val="Compact"/>
              <w:spacing w:after="40"/>
              <w:jc w:val="left"/>
            </w:pPr>
            <w:r>
              <w:rPr>
                <w:rFonts w:ascii="Calibri" w:hAnsi="Calibri"/>
                <w:sz w:val="17"/>
              </w:rPr>
              <w:t xml:space="preserve">Google Cloud AI Adoption Framework [128]</w:t>
            </w:r>
          </w:p>
        </w:tc>
        <w:tc>
          <w:tcPr/>
          <w:p>
            <w:pPr>
              <w:pStyle w:val="Compact"/>
              <w:spacing w:after="40"/>
              <w:jc w:val="left"/>
            </w:pPr>
            <w:r>
              <w:rPr>
                <w:rFonts w:ascii="Calibri" w:hAnsi="Calibri"/>
                <w:sz w:val="17"/>
              </w:rPr>
              <w:t xml:space="preserve">3 phases: Tactical, Strategic, Transformational</w:t>
            </w:r>
          </w:p>
        </w:tc>
        <w:tc>
          <w:tcPr/>
          <w:p>
            <w:pPr>
              <w:pStyle w:val="Compact"/>
              <w:spacing w:after="40"/>
              <w:jc w:val="left"/>
            </w:pPr>
            <w:r>
              <w:rPr>
                <w:rFonts w:ascii="Calibri" w:hAnsi="Calibri"/>
                <w:sz w:val="17"/>
              </w:rPr>
              <w:t xml:space="preserve">6 themes: Learn, Lead, Access, Scale, Secure, Automate</w:t>
            </w:r>
          </w:p>
        </w:tc>
        <w:tc>
          <w:tcPr/>
          <w:p>
            <w:pPr>
              <w:pStyle w:val="Compact"/>
              <w:spacing w:after="40"/>
              <w:jc w:val="left"/>
            </w:pPr>
            <w:r>
              <w:rPr>
                <w:rFonts w:ascii="Calibri" w:hAnsi="Calibri"/>
                <w:sz w:val="17"/>
              </w:rPr>
              <w:t xml:space="preserve">No</w:t>
            </w:r>
          </w:p>
        </w:tc>
        <w:tc>
          <w:tcPr/>
          <w:p>
            <w:pPr>
              <w:pStyle w:val="Compact"/>
              <w:spacing w:after="40"/>
              <w:jc w:val="left"/>
            </w:pPr>
            <w:r>
              <w:rPr>
                <w:rFonts w:ascii="Calibri" w:hAnsi="Calibri"/>
                <w:sz w:val="17"/>
              </w:rPr>
              <w:t xml:space="preserve">No</w:t>
            </w:r>
          </w:p>
        </w:tc>
      </w:tr>
      <w:tr>
        <w:tc>
          <w:tcPr/>
          <w:p>
            <w:pPr>
              <w:pStyle w:val="Compact"/>
              <w:spacing w:after="40"/>
              <w:jc w:val="left"/>
            </w:pPr>
            <w:r>
              <w:rPr>
                <w:rFonts w:ascii="Calibri" w:hAnsi="Calibri"/>
                <w:sz w:val="17"/>
              </w:rPr>
              <w:t xml:space="preserve">AWS CAF-AI [129]</w:t>
            </w:r>
          </w:p>
        </w:tc>
        <w:tc>
          <w:tcPr/>
          <w:p>
            <w:pPr>
              <w:pStyle w:val="Compact"/>
              <w:spacing w:after="40"/>
              <w:jc w:val="left"/>
            </w:pPr>
            <w:r>
              <w:rPr>
                <w:rFonts w:ascii="Calibri" w:hAnsi="Calibri"/>
                <w:sz w:val="17"/>
              </w:rPr>
              <w:t xml:space="preserve">No numbered levels; journey phases inherited from the general AWS CAF</w:t>
            </w:r>
          </w:p>
        </w:tc>
        <w:tc>
          <w:tcPr/>
          <w:p>
            <w:pPr>
              <w:pStyle w:val="Compact"/>
              <w:spacing w:after="40"/>
              <w:jc w:val="left"/>
            </w:pPr>
            <w:r>
              <w:rPr>
                <w:rFonts w:ascii="Calibri" w:hAnsi="Calibri"/>
                <w:sz w:val="17"/>
              </w:rPr>
              <w:t xml:space="preserve">6 perspectives: Business, People, Governance, Platform, Security, Operations, plus responsible AI</w:t>
            </w:r>
          </w:p>
        </w:tc>
        <w:tc>
          <w:tcPr/>
          <w:p>
            <w:pPr>
              <w:pStyle w:val="Compact"/>
              <w:spacing w:after="40"/>
              <w:jc w:val="left"/>
            </w:pPr>
            <w:r>
              <w:rPr>
                <w:rFonts w:ascii="Calibri" w:hAnsi="Calibri"/>
                <w:sz w:val="17"/>
              </w:rPr>
              <w:t xml:space="preserve">No</w:t>
            </w:r>
          </w:p>
        </w:tc>
        <w:tc>
          <w:tcPr/>
          <w:p>
            <w:pPr>
              <w:pStyle w:val="Compact"/>
              <w:spacing w:after="40"/>
              <w:jc w:val="left"/>
            </w:pPr>
            <w:r>
              <w:rPr>
                <w:rFonts w:ascii="Calibri" w:hAnsi="Calibri"/>
                <w:sz w:val="17"/>
              </w:rPr>
              <w:t xml:space="preserve">No</w:t>
            </w:r>
          </w:p>
        </w:tc>
      </w:tr>
      <w:tr>
        <w:tc>
          <w:tcPr/>
          <w:p>
            <w:pPr>
              <w:pStyle w:val="Compact"/>
              <w:spacing w:after="40"/>
              <w:jc w:val="left"/>
            </w:pPr>
            <w:r>
              <w:rPr>
                <w:rFonts w:ascii="Calibri" w:hAnsi="Calibri"/>
                <w:sz w:val="17"/>
              </w:rPr>
              <w:t xml:space="preserve">Microsoft CAF for AI [130]</w:t>
            </w:r>
          </w:p>
        </w:tc>
        <w:tc>
          <w:tcPr/>
          <w:p>
            <w:pPr>
              <w:pStyle w:val="Compact"/>
              <w:spacing w:after="40"/>
              <w:jc w:val="left"/>
            </w:pPr>
            <w:r>
              <w:rPr>
                <w:rFonts w:ascii="Calibri" w:hAnsi="Calibri"/>
                <w:sz w:val="17"/>
              </w:rPr>
              <w:t xml:space="preserve">4 skills-and-data levels: Basic, Intermediate, Advanced, Expert</w:t>
            </w:r>
          </w:p>
        </w:tc>
        <w:tc>
          <w:tcPr/>
          <w:p>
            <w:pPr>
              <w:pStyle w:val="Compact"/>
              <w:spacing w:after="40"/>
              <w:jc w:val="left"/>
            </w:pPr>
            <w:r>
              <w:rPr>
                <w:rFonts w:ascii="Calibri" w:hAnsi="Calibri"/>
                <w:sz w:val="17"/>
              </w:rPr>
              <w:t xml:space="preserve">Skills and data readiness gating feasible use cases</w:t>
            </w:r>
          </w:p>
        </w:tc>
        <w:tc>
          <w:tcPr/>
          <w:p>
            <w:pPr>
              <w:pStyle w:val="Compact"/>
              <w:spacing w:after="40"/>
              <w:jc w:val="left"/>
            </w:pPr>
            <w:r>
              <w:rPr>
                <w:rFonts w:ascii="Calibri" w:hAnsi="Calibri"/>
                <w:sz w:val="17"/>
              </w:rPr>
              <w:t xml:space="preserve">No</w:t>
            </w:r>
          </w:p>
        </w:tc>
        <w:tc>
          <w:tcPr/>
          <w:p>
            <w:pPr>
              <w:pStyle w:val="Compact"/>
              <w:spacing w:after="40"/>
              <w:jc w:val="left"/>
            </w:pPr>
            <w:r>
              <w:rPr>
                <w:rFonts w:ascii="Calibri" w:hAnsi="Calibri"/>
                <w:sz w:val="17"/>
              </w:rPr>
              <w:t xml:space="preserve">No</w:t>
            </w:r>
          </w:p>
        </w:tc>
      </w:tr>
      <w:tr>
        <w:tc>
          <w:tcPr/>
          <w:p>
            <w:pPr>
              <w:pStyle w:val="Compact"/>
              <w:spacing w:after="40"/>
              <w:jc w:val="left"/>
            </w:pPr>
            <w:r>
              <w:rPr>
                <w:rFonts w:ascii="Calibri" w:hAnsi="Calibri"/>
                <w:sz w:val="17"/>
              </w:rPr>
              <w:t xml:space="preserve">Microsoft Agentic AI adoption maturity model [131]</w:t>
            </w:r>
          </w:p>
        </w:tc>
        <w:tc>
          <w:tcPr/>
          <w:p>
            <w:pPr>
              <w:pStyle w:val="Compact"/>
              <w:spacing w:after="40"/>
              <w:jc w:val="left"/>
            </w:pPr>
            <w:r>
              <w:rPr>
                <w:rFonts w:ascii="Calibri" w:hAnsi="Calibri"/>
                <w:sz w:val="17"/>
              </w:rPr>
              <w:t xml:space="preserve">5: Initial (100), Repeatable (200), Defined (300), Capable (400), Efficient (500)</w:t>
            </w:r>
          </w:p>
        </w:tc>
        <w:tc>
          <w:tcPr/>
          <w:p>
            <w:pPr>
              <w:pStyle w:val="Compact"/>
              <w:spacing w:after="40"/>
              <w:jc w:val="left"/>
            </w:pPr>
            <w:r>
              <w:rPr>
                <w:rFonts w:ascii="Calibri" w:hAnsi="Calibri"/>
                <w:sz w:val="17"/>
              </w:rPr>
              <w:t xml:space="preserve">5 pillars: AI strategy and experience, business strategy, governance and security, technology and data, organization and culture</w:t>
            </w:r>
          </w:p>
        </w:tc>
        <w:tc>
          <w:tcPr/>
          <w:p>
            <w:pPr>
              <w:pStyle w:val="Compact"/>
              <w:spacing w:after="40"/>
              <w:jc w:val="left"/>
            </w:pPr>
            <w:r>
              <w:rPr>
                <w:rFonts w:ascii="Calibri" w:hAnsi="Calibri"/>
                <w:sz w:val="17"/>
              </w:rPr>
              <w:t xml:space="preserve">No</w:t>
            </w:r>
          </w:p>
        </w:tc>
        <w:tc>
          <w:tcPr/>
          <w:p>
            <w:pPr>
              <w:pStyle w:val="Compact"/>
              <w:spacing w:after="40"/>
              <w:jc w:val="left"/>
            </w:pPr>
            <w:r>
              <w:rPr>
                <w:rFonts w:ascii="Calibri" w:hAnsi="Calibri"/>
                <w:sz w:val="17"/>
              </w:rPr>
              <w:t xml:space="preserve">Yes</w:t>
            </w:r>
          </w:p>
        </w:tc>
      </w:tr>
      <w:tr>
        <w:tc>
          <w:tcPr/>
          <w:p>
            <w:pPr>
              <w:pStyle w:val="Compact"/>
              <w:spacing w:after="40"/>
              <w:jc w:val="left"/>
            </w:pPr>
            <w:r>
              <w:rPr>
                <w:rFonts w:ascii="Calibri" w:hAnsi="Calibri"/>
                <w:sz w:val="17"/>
              </w:rPr>
              <w:t xml:space="preserve">Salesforce Agentic Maturity Model [132]</w:t>
            </w:r>
          </w:p>
        </w:tc>
        <w:tc>
          <w:tcPr/>
          <w:p>
            <w:pPr>
              <w:pStyle w:val="Compact"/>
              <w:spacing w:after="40"/>
              <w:jc w:val="left"/>
            </w:pPr>
            <w:r>
              <w:rPr>
                <w:rFonts w:ascii="Calibri" w:hAnsi="Calibri"/>
                <w:sz w:val="17"/>
              </w:rPr>
              <w:t xml:space="preserve">5: fixed rules (0), information-retrieval agents (1), single-domain orchestration (2), multi-domain orchestration (3), multi-agent orchestration (4)</w:t>
            </w:r>
          </w:p>
        </w:tc>
        <w:tc>
          <w:tcPr/>
          <w:p>
            <w:pPr>
              <w:pStyle w:val="Compact"/>
              <w:spacing w:after="40"/>
              <w:jc w:val="left"/>
            </w:pPr>
            <w:r>
              <w:rPr>
                <w:rFonts w:ascii="Calibri" w:hAnsi="Calibri"/>
                <w:sz w:val="17"/>
              </w:rPr>
              <w:t xml:space="preserve">Autonomy ladder; strategy, data, security, governance, workforce</w:t>
            </w:r>
          </w:p>
        </w:tc>
        <w:tc>
          <w:tcPr/>
          <w:p>
            <w:pPr>
              <w:pStyle w:val="Compact"/>
              <w:spacing w:after="40"/>
              <w:jc w:val="left"/>
            </w:pPr>
            <w:r>
              <w:rPr>
                <w:rFonts w:ascii="Calibri" w:hAnsi="Calibri"/>
                <w:sz w:val="17"/>
              </w:rPr>
              <w:t xml:space="preserve">No</w:t>
            </w:r>
          </w:p>
        </w:tc>
        <w:tc>
          <w:tcPr/>
          <w:p>
            <w:pPr>
              <w:pStyle w:val="Compact"/>
              <w:spacing w:after="40"/>
              <w:jc w:val="left"/>
            </w:pPr>
            <w:r>
              <w:rPr>
                <w:rFonts w:ascii="Calibri" w:hAnsi="Calibri"/>
                <w:sz w:val="17"/>
              </w:rPr>
              <w:t xml:space="preserve">Yes (autonomy ladder)</w:t>
            </w:r>
          </w:p>
        </w:tc>
      </w:tr>
      <w:tr>
        <w:tc>
          <w:tcPr/>
          <w:p>
            <w:pPr>
              <w:pStyle w:val="Compact"/>
              <w:spacing w:after="40"/>
              <w:jc w:val="left"/>
            </w:pPr>
            <w:r>
              <w:rPr>
                <w:rFonts w:ascii="Calibri" w:hAnsi="Calibri"/>
                <w:sz w:val="17"/>
              </w:rPr>
              <w:t xml:space="preserve">MITRE AI Maturity Model [133]</w:t>
            </w:r>
          </w:p>
        </w:tc>
        <w:tc>
          <w:tcPr/>
          <w:p>
            <w:pPr>
              <w:pStyle w:val="Compact"/>
              <w:spacing w:after="40"/>
              <w:jc w:val="left"/>
            </w:pPr>
            <w:r>
              <w:rPr>
                <w:rFonts w:ascii="Calibri" w:hAnsi="Calibri"/>
                <w:sz w:val="17"/>
              </w:rPr>
              <w:t xml:space="preserve">5: Initial, Adopted, Defined, Managed, Optimized</w:t>
            </w:r>
          </w:p>
        </w:tc>
        <w:tc>
          <w:tcPr/>
          <w:p>
            <w:pPr>
              <w:pStyle w:val="Compact"/>
              <w:spacing w:after="40"/>
              <w:jc w:val="left"/>
            </w:pPr>
            <w:r>
              <w:rPr>
                <w:rFonts w:ascii="Calibri" w:hAnsi="Calibri"/>
                <w:sz w:val="17"/>
              </w:rPr>
              <w:t xml:space="preserve">6 pillars: responsible use, strategy and resources, organization, technology enablers, data, performance and application</w:t>
            </w:r>
          </w:p>
        </w:tc>
        <w:tc>
          <w:tcPr/>
          <w:p>
            <w:pPr>
              <w:pStyle w:val="Compact"/>
              <w:spacing w:after="40"/>
              <w:jc w:val="left"/>
            </w:pPr>
            <w:r>
              <w:rPr>
                <w:rFonts w:ascii="Calibri" w:hAnsi="Calibri"/>
                <w:sz w:val="17"/>
              </w:rPr>
              <w:t xml:space="preserve">No; published questionnaire</w:t>
            </w:r>
          </w:p>
        </w:tc>
        <w:tc>
          <w:tcPr/>
          <w:p>
            <w:pPr>
              <w:pStyle w:val="Compact"/>
              <w:spacing w:after="40"/>
              <w:jc w:val="left"/>
            </w:pPr>
            <w:r>
              <w:rPr>
                <w:rFonts w:ascii="Calibri" w:hAnsi="Calibri"/>
                <w:sz w:val="17"/>
              </w:rPr>
              <w:t xml:space="preserve">No</w:t>
            </w:r>
          </w:p>
        </w:tc>
      </w:tr>
      <w:tr>
        <w:tc>
          <w:tcPr/>
          <w:p>
            <w:pPr>
              <w:pStyle w:val="Compact"/>
              <w:spacing w:after="40"/>
              <w:jc w:val="left"/>
            </w:pPr>
            <w:r>
              <w:rPr>
                <w:rFonts w:ascii="Calibri" w:hAnsi="Calibri"/>
                <w:sz w:val="17"/>
              </w:rPr>
              <w:t xml:space="preserve">Microsoft Responsible AI Maturity Model [134]</w:t>
            </w:r>
          </w:p>
        </w:tc>
        <w:tc>
          <w:tcPr/>
          <w:p>
            <w:pPr>
              <w:pStyle w:val="Compact"/>
              <w:spacing w:after="40"/>
              <w:jc w:val="left"/>
            </w:pPr>
            <w:r>
              <w:rPr>
                <w:rFonts w:ascii="Calibri" w:hAnsi="Calibri"/>
                <w:sz w:val="17"/>
              </w:rPr>
              <w:t xml:space="preserve">5: Latent to Leading</w:t>
            </w:r>
          </w:p>
        </w:tc>
        <w:tc>
          <w:tcPr/>
          <w:p>
            <w:pPr>
              <w:pStyle w:val="Compact"/>
              <w:spacing w:after="40"/>
              <w:jc w:val="left"/>
            </w:pPr>
            <w:r>
              <w:rPr>
                <w:rFonts w:ascii="Calibri" w:hAnsi="Calibri"/>
                <w:sz w:val="17"/>
              </w:rPr>
              <w:t xml:space="preserve">24 dimensions in organizational foundations, team approach, RAI practice</w:t>
            </w:r>
          </w:p>
        </w:tc>
        <w:tc>
          <w:tcPr/>
          <w:p>
            <w:pPr>
              <w:pStyle w:val="Compact"/>
              <w:spacing w:after="40"/>
              <w:jc w:val="left"/>
            </w:pPr>
            <w:r>
              <w:rPr>
                <w:rFonts w:ascii="Calibri" w:hAnsi="Calibri"/>
                <w:sz w:val="17"/>
              </w:rPr>
              <w:t xml:space="preserve">Qualitative (90+ practitioners)</w:t>
            </w:r>
          </w:p>
        </w:tc>
        <w:tc>
          <w:tcPr/>
          <w:p>
            <w:pPr>
              <w:pStyle w:val="Compact"/>
              <w:spacing w:after="40"/>
              <w:jc w:val="left"/>
            </w:pPr>
            <w:r>
              <w:rPr>
                <w:rFonts w:ascii="Calibri" w:hAnsi="Calibri"/>
                <w:sz w:val="17"/>
              </w:rPr>
              <w:t xml:space="preserve">No</w:t>
            </w:r>
          </w:p>
        </w:tc>
      </w:tr>
      <w:tr>
        <w:tc>
          <w:tcPr/>
          <w:p>
            <w:pPr>
              <w:pStyle w:val="Compact"/>
              <w:spacing w:after="40"/>
              <w:jc w:val="left"/>
            </w:pPr>
            <w:r>
              <w:rPr>
                <w:rFonts w:ascii="Calibri" w:hAnsi="Calibri"/>
                <w:sz w:val="17"/>
              </w:rPr>
              <w:t xml:space="preserve">Microsoft Work Trend Index phases [24, 135]</w:t>
            </w:r>
          </w:p>
        </w:tc>
        <w:tc>
          <w:tcPr/>
          <w:p>
            <w:pPr>
              <w:pStyle w:val="Compact"/>
              <w:spacing w:after="40"/>
              <w:jc w:val="left"/>
            </w:pPr>
            <w:r>
              <w:rPr>
                <w:rFonts w:ascii="Calibri" w:hAnsi="Calibri"/>
                <w:sz w:val="17"/>
              </w:rPr>
              <w:t xml:space="preserve">3: AI as assistant; agents as digital colleagues; humans direct agent-run processes</w:t>
            </w:r>
          </w:p>
        </w:tc>
        <w:tc>
          <w:tcPr/>
          <w:p>
            <w:pPr>
              <w:pStyle w:val="Compact"/>
              <w:spacing w:after="40"/>
              <w:jc w:val="left"/>
            </w:pPr>
            <w:r>
              <w:rPr>
                <w:rFonts w:ascii="Calibri" w:hAnsi="Calibri"/>
                <w:sz w:val="17"/>
              </w:rPr>
              <w:t xml:space="preserve">Frontier Firm traits; organizational vs individual factors</w:t>
            </w:r>
          </w:p>
        </w:tc>
        <w:tc>
          <w:tcPr/>
          <w:p>
            <w:pPr>
              <w:pStyle w:val="Compact"/>
              <w:spacing w:after="40"/>
              <w:jc w:val="left"/>
            </w:pPr>
            <w:r>
              <w:rPr>
                <w:rFonts w:ascii="Calibri" w:hAnsi="Calibri"/>
                <w:sz w:val="17"/>
              </w:rPr>
              <w:t xml:space="preserve">Survey correlations (n=20,000-31,000)</w:t>
            </w:r>
          </w:p>
        </w:tc>
        <w:tc>
          <w:tcPr/>
          <w:p>
            <w:pPr>
              <w:pStyle w:val="Compact"/>
              <w:spacing w:after="40"/>
              <w:jc w:val="left"/>
            </w:pPr>
            <w:r>
              <w:rPr>
                <w:rFonts w:ascii="Calibri" w:hAnsi="Calibri"/>
                <w:sz w:val="17"/>
              </w:rPr>
              <w:t xml:space="preserve">Yes</w:t>
            </w:r>
          </w:p>
        </w:tc>
      </w:tr>
    </w:tbl>
    <w:p>
      <w:pPr>
        <w:pStyle w:val="BodyText"/>
      </w:pPr>
      <w:r>
        <w:t xml:space="preserve">First, five levels is the modal design, inherited from CMM’s Initial, Repeatable, Defined, Managed and Optimizing [7], and Microsoft’s 2026 agentic model reuses the first three CMM level names (Initial, Repeatable, Defined) and renames the top two (Capable, Efficient). Second, dimension sets converge on strategy, data, technology, people, governance and operating model; only the newest models add explicit value measurement (Gartner’s</w:t>
      </w:r>
      <w:r>
        <w:t xml:space="preserve"> </w:t>
      </w:r>
      <w:r>
        <w:t xml:space="preserve">“</w:t>
      </w:r>
      <w:r>
        <w:t xml:space="preserve">AI product/value,</w:t>
      </w:r>
      <w:r>
        <w:t xml:space="preserve">”</w:t>
      </w:r>
      <w:r>
        <w:t xml:space="preserve"> </w:t>
      </w:r>
      <w:r>
        <w:t xml:space="preserve">MIT CISR’s effectiveness measure). Third, only three models (MIT CISR, BCG and Accenture’s 2022 index) connect stage to a financial outcome, and all three classify firms by self-reported effectiveness. Fourth, the agent-specific models that appeared in 2025-2026 are autonomy ladders or governance frameworks; none has outcome validation, and none assesses whether the estate the agents act on is ready.</w:t>
      </w:r>
    </w:p>
    <w:p>
      <w:pPr>
        <w:pStyle w:val="BodyText"/>
      </w:pPr>
      <w:r>
        <w:t xml:space="preserve">Two vendor guides are worth reading alongside the models because they are prescriptive where the models are descriptive. OpenAI’s enterprise lessons begin with</w:t>
      </w:r>
      <w:r>
        <w:t xml:space="preserve"> </w:t>
      </w:r>
      <w:r>
        <w:t xml:space="preserve">“</w:t>
      </w:r>
      <w:r>
        <w:t xml:space="preserve">start with evals,</w:t>
      </w:r>
      <w:r>
        <w:t xml:space="preserve">”</w:t>
      </w:r>
      <w:r>
        <w:t xml:space="preserve"> </w:t>
      </w:r>
      <w:r>
        <w:t xml:space="preserve">defined as</w:t>
      </w:r>
      <w:r>
        <w:t xml:space="preserve"> </w:t>
      </w:r>
      <w:r>
        <w:t xml:space="preserve">“</w:t>
      </w:r>
      <w:r>
        <w:t xml:space="preserve">a rigorous, structured process for measuring how AI models actually perform against benchmarks in a given use case,</w:t>
      </w:r>
      <w:r>
        <w:t xml:space="preserve">”</w:t>
      </w:r>
      <w:r>
        <w:t xml:space="preserve"> </w:t>
      </w:r>
      <w:r>
        <w:t xml:space="preserve">followed by</w:t>
      </w:r>
      <w:r>
        <w:t xml:space="preserve"> </w:t>
      </w:r>
      <w:r>
        <w:t xml:space="preserve">“</w:t>
      </w:r>
      <w:r>
        <w:t xml:space="preserve">unblock your developers</w:t>
      </w:r>
      <w:r>
        <w:t xml:space="preserve">”</w:t>
      </w:r>
      <w:r>
        <w:t xml:space="preserve"> </w:t>
      </w:r>
      <w:r>
        <w:t xml:space="preserve">[136]. The AI Fluency framework (Delegation, Description, Discernment, Diligence) gives the individual-level competencies that the organizational models leave implicit [137].</w:t>
      </w:r>
    </w:p>
    <w:bookmarkEnd w:id="38"/>
    <w:bookmarkStart w:id="39" w:name="engineering-specific-frameworks"/>
    <w:p>
      <w:pPr>
        <w:pStyle w:val="Heading3"/>
      </w:pPr>
      <w:r>
        <w:t xml:space="preserve">4.2 Engineering-specific frameworks</w:t>
      </w:r>
    </w:p>
    <w:p>
      <w:pPr>
        <w:pStyle w:val="FirstParagraph"/>
      </w:pPr>
      <w:r>
        <w:rPr>
          <w:bCs/>
          <w:b/>
        </w:rPr>
        <w:t xml:space="preserve">DORA AI Capabilities Model (2025).</w:t>
      </w:r>
      <w:r>
        <w:t xml:space="preserve"> </w:t>
      </w:r>
      <w:r>
        <w:t xml:space="preserve">Built from roughly 5,000 survey responses and more than 100 hours of qualitative data, DORA’s model names seven capabilities that condition whether AI adoption improves outcomes: a clear and communicated AI stance; healthy data ecosystems; AI-accessible internal data; strong version control practices; working in small batches; a user-centric focus; and quality internal platforms [38]. Two of the seven are literally</w:t>
      </w:r>
      <w:r>
        <w:t xml:space="preserve"> </w:t>
      </w:r>
      <w:r>
        <w:t xml:space="preserve">“</w:t>
      </w:r>
      <w:r>
        <w:t xml:space="preserve">context for AI,</w:t>
      </w:r>
      <w:r>
        <w:t xml:space="preserve">”</w:t>
      </w:r>
      <w:r>
        <w:t xml:space="preserve"> </w:t>
      </w:r>
      <w:r>
        <w:t xml:space="preserve">two are delivery hygiene that absorbs higher change volume, and the finding that AI</w:t>
      </w:r>
      <w:r>
        <w:t xml:space="preserve"> </w:t>
      </w:r>
      <w:r>
        <w:t xml:space="preserve">“</w:t>
      </w:r>
      <w:r>
        <w:t xml:space="preserve">amplifies what’s already there</w:t>
      </w:r>
      <w:r>
        <w:t xml:space="preserve">”</w:t>
      </w:r>
      <w:r>
        <w:t xml:space="preserve"> </w:t>
      </w:r>
      <w:r>
        <w:t xml:space="preserve">is the empirical basis for the amplifier framing used throughout this paper. DORA’s 2026 ROI report models a 500-engineer organization at 39% first-year ROI with an eight-month payback and a J-curve, with gains of 35-40% on simple tasks against roughly 10% on complex legacy code and a modelled cost of $344,000 for a one-point rise in change-failure rate (figures as summarized by InfoQ; illustrative rather than observed) [138].</w:t>
      </w:r>
    </w:p>
    <w:p>
      <w:pPr>
        <w:pStyle w:val="BodyText"/>
      </w:pPr>
      <w:r>
        <w:rPr>
          <w:bCs/>
          <w:b/>
        </w:rPr>
        <w:t xml:space="preserve">Delivery and experience metrics.</w:t>
      </w:r>
      <w:r>
        <w:t xml:space="preserve"> </w:t>
      </w:r>
      <w:r>
        <w:t xml:space="preserve">DORA’s metrics now comprise five: change lead time, deployment frequency and failed-deployment recovery time (throughput), and change-failure rate and deployment rework rate (instability) [139]. SPACE requires a handful of metrics across at least three of five dimensions (satisfaction, performance, activity, communication, efficiency and flow), at least one of them perceptual, and warns explicitly against productivity as activity or as a single number [140]. DX Core 4 (speed, effectiveness, quality, impact) and DX’s AI Measurement Framework (utilization, impact, cost) are the most widely used practitioner instruments for AI specifically; DX advises combining direct time-savings estimates with longitudinal regression measures, treating agents</w:t>
      </w:r>
      <w:r>
        <w:t xml:space="preserve"> </w:t>
      </w:r>
      <w:r>
        <w:t xml:space="preserve">“</w:t>
      </w:r>
      <w:r>
        <w:t xml:space="preserve">as extensions of the developers and teams that oversee their work,</w:t>
      </w:r>
      <w:r>
        <w:t xml:space="preserve">”</w:t>
      </w:r>
      <w:r>
        <w:t xml:space="preserve"> </w:t>
      </w:r>
      <w:r>
        <w:t xml:space="preserve">and avoiding top-down usage mandates that invite gaming [141]. The McKinsey developer-productivity framework of 2023 and the Beck-Orosz response remain the canonical exchange on why effort and output metrics change behavior rather than measure outcomes [142]. Vendor telemetry supplies the raw material: GitHub retired its Copilot metrics API in April 2026 in favour of usage-metrics endpoints [143], and Claude Code’s analytics attribute lines to merged pull requests with a deliberately conservative 21-day window and recommend pairing with DORA metrics [144]. Acceptance rate, the earliest telemetry metric, predicts perceived productivity (r=0.32) but not delivery outcomes [145].</w:t>
      </w:r>
    </w:p>
    <w:p>
      <w:pPr>
        <w:pStyle w:val="BodyText"/>
      </w:pPr>
      <w:r>
        <w:rPr>
          <w:bCs/>
          <w:b/>
        </w:rPr>
        <w:t xml:space="preserve">ML production readiness.</w:t>
      </w:r>
      <w:r>
        <w:t xml:space="preserve"> </w:t>
      </w:r>
      <w:r>
        <w:t xml:space="preserve">The previous decade produced the only scored, evidence-based readiness rubrics in this field. The ML Test Score lists 28 tests across features and data, model development, infrastructure and monitoring, scores each 0.5 (manual, documented) or 1 (automated, repeated), and takes the final score as the minimum across the four sections, so that</w:t>
      </w:r>
      <w:r>
        <w:t xml:space="preserve"> </w:t>
      </w:r>
      <w:r>
        <w:t xml:space="preserve">“</w:t>
      </w:r>
      <w:r>
        <w:t xml:space="preserve">a system must consider all in order to raise the score</w:t>
      </w:r>
      <w:r>
        <w:t xml:space="preserve">”</w:t>
      </w:r>
      <w:r>
        <w:t xml:space="preserve"> </w:t>
      </w:r>
      <w:r>
        <w:t xml:space="preserve">[55]. Amershi et al. rate each of nine ML workflow activities on six attributes (goals defined, consistent, documented, automated, measured, continuously improved) and show the resulting Activity Maturity Index correlates with self-reported effectiveness (Spearman 0.50-0.76) [56]. Google’s MLOps levels 0-2 and Microsoft’s levels 0-4 stage automation of training, deployment and operations [146, 147]. Lawrence’s Data Readiness Levels make readiness task-relative: data can be band A for one question and band B for another [6]. Sculley et al.’s catalogue of hidden technical debt (entanglement, undeclared consumers, configuration debt, pipeline jungles) and Paleyes et al.’s survey of deployment challenges remain the reference lists of what goes wrong after the model works [148, 149]. Section 5 borrows the minimum-across scoring rule, the six-attribute activity rubric and task-relative readiness directly.</w:t>
      </w:r>
    </w:p>
    <w:bookmarkEnd w:id="39"/>
    <w:bookmarkStart w:id="40" w:name="Xf50518ed5516b599ba29d1e942c306f0e899012"/>
    <w:p>
      <w:pPr>
        <w:pStyle w:val="Heading3"/>
      </w:pPr>
      <w:r>
        <w:t xml:space="preserve">4.3 Regulatory and standards frameworks as de facto maturity specifications</w:t>
      </w:r>
    </w:p>
    <w:p>
      <w:pPr>
        <w:pStyle w:val="FirstParagraph"/>
      </w:pPr>
      <w:r>
        <w:t xml:space="preserve">Regulators rarely publish</w:t>
      </w:r>
      <w:r>
        <w:t xml:space="preserve"> </w:t>
      </w:r>
      <w:r>
        <w:t xml:space="preserve">“</w:t>
      </w:r>
      <w:r>
        <w:t xml:space="preserve">maturity models,</w:t>
      </w:r>
      <w:r>
        <w:t xml:space="preserve">”</w:t>
      </w:r>
      <w:r>
        <w:t xml:space="preserve"> </w:t>
      </w:r>
      <w:r>
        <w:t xml:space="preserve">but their guidance now specifies, in detail, what an AI-mature organization must be able to evidence. Table 4.2 summarizes the frameworks that bind or guide a multinational firm in 2026; the synthesis after the table lists the evidence set they converge on.</w:t>
      </w:r>
    </w:p>
    <w:p>
      <w:pPr>
        <w:pStyle w:val="BodyText"/>
      </w:pPr>
      <w:r>
        <w:rPr>
          <w:bCs/>
          <w:b/>
        </w:rPr>
        <w:t xml:space="preserve">Table 4.2. Regulatory and standards frameworks that define AI evidence expectations (status as of September 2026)</w:t>
      </w:r>
    </w:p>
    <w:tbl>
      <w:tblPr>
        <w:tblStyle w:val="Table"/>
        <w:tblW w:type="pct" w:w="5000"/>
        <w:tblLook w:firstRow="1" w:lastRow="0" w:firstColumn="0" w:lastColumn="0" w:noHBand="0" w:noVBand="0" w:val="0020"/>
        <w:jc w:val="start"/>
        <w:tblBorders>
          <w:top w:val="single" w:sz="4" w:color="C9D1D8"/>
          <w:left w:val="single" w:sz="4" w:color="C9D1D8"/>
          <w:bottom w:val="single" w:sz="4" w:color="C9D1D8"/>
          <w:right w:val="single" w:sz="4" w:color="C9D1D8"/>
          <w:insideH w:val="single" w:sz="4" w:color="C9D1D8"/>
          <w:insideV w:val="single" w:sz="4" w:color="C9D1D8"/>
        </w:tblBorders>
      </w:tblPr>
      <w:tblGrid>
        <w:gridCol w:w="1980"/>
        <w:gridCol w:w="1980"/>
        <w:gridCol w:w="1980"/>
        <w:gridCol w:w="1980"/>
      </w:tblGrid>
      <w:tr>
        <w:trPr>
          <w:tblHeader w:val="true"/>
        </w:trPr>
        <w:tc>
          <w:tcPr>
            <w:shd w:val="clear" w:color="auto" w:fill="EEF2F6"/>
          </w:tcPr>
          <w:p>
            <w:pPr>
              <w:pStyle w:val="Compact"/>
              <w:spacing w:after="40"/>
              <w:jc w:val="left"/>
            </w:pPr>
            <w:r>
              <w:rPr>
                <w:rFonts w:ascii="Calibri" w:hAnsi="Calibri"/>
                <w:b/>
                <w:sz w:val="17"/>
              </w:rPr>
              <w:t xml:space="preserve">Jurisdiction / body</w:t>
            </w:r>
          </w:p>
        </w:tc>
        <w:tc>
          <w:tcPr>
            <w:shd w:val="clear" w:color="auto" w:fill="EEF2F6"/>
          </w:tcPr>
          <w:p>
            <w:pPr>
              <w:pStyle w:val="Compact"/>
              <w:spacing w:after="40"/>
              <w:jc w:val="left"/>
            </w:pPr>
            <w:r>
              <w:rPr>
                <w:rFonts w:ascii="Calibri" w:hAnsi="Calibri"/>
                <w:b/>
                <w:sz w:val="17"/>
              </w:rPr>
              <w:t xml:space="preserve">Instrument</w:t>
            </w:r>
          </w:p>
        </w:tc>
        <w:tc>
          <w:tcPr>
            <w:shd w:val="clear" w:color="auto" w:fill="EEF2F6"/>
          </w:tcPr>
          <w:p>
            <w:pPr>
              <w:pStyle w:val="Compact"/>
              <w:spacing w:after="40"/>
              <w:jc w:val="left"/>
            </w:pPr>
            <w:r>
              <w:rPr>
                <w:rFonts w:ascii="Calibri" w:hAnsi="Calibri"/>
                <w:b/>
                <w:sz w:val="17"/>
              </w:rPr>
              <w:t xml:space="preserve">Status</w:t>
            </w:r>
          </w:p>
        </w:tc>
        <w:tc>
          <w:tcPr>
            <w:shd w:val="clear" w:color="auto" w:fill="EEF2F6"/>
          </w:tcPr>
          <w:p>
            <w:pPr>
              <w:pStyle w:val="Compact"/>
              <w:spacing w:after="40"/>
              <w:jc w:val="left"/>
            </w:pPr>
            <w:r>
              <w:rPr>
                <w:rFonts w:ascii="Calibri" w:hAnsi="Calibri"/>
                <w:b/>
                <w:sz w:val="17"/>
              </w:rPr>
              <w:t xml:space="preserve">What it requires an organization to evidence</w:t>
            </w:r>
          </w:p>
        </w:tc>
      </w:tr>
      <w:tr>
        <w:tc>
          <w:tcPr/>
          <w:p>
            <w:pPr>
              <w:pStyle w:val="Compact"/>
              <w:spacing w:after="40"/>
              <w:jc w:val="left"/>
            </w:pPr>
            <w:r>
              <w:rPr>
                <w:rFonts w:ascii="Calibri" w:hAnsi="Calibri"/>
                <w:sz w:val="17"/>
              </w:rPr>
              <w:t xml:space="preserve">Global standard</w:t>
            </w:r>
          </w:p>
        </w:tc>
        <w:tc>
          <w:tcPr/>
          <w:p>
            <w:pPr>
              <w:pStyle w:val="Compact"/>
              <w:spacing w:after="40"/>
              <w:jc w:val="left"/>
            </w:pPr>
            <w:r>
              <w:rPr>
                <w:rFonts w:ascii="Calibri" w:hAnsi="Calibri"/>
                <w:sz w:val="17"/>
              </w:rPr>
              <w:t xml:space="preserve">ISO/IEC 42001:2023 AI management system; 42005:2025 impact assessment; 42006:2025 certification bodies [150, 151]</w:t>
            </w:r>
          </w:p>
        </w:tc>
        <w:tc>
          <w:tcPr/>
          <w:p>
            <w:pPr>
              <w:pStyle w:val="Compact"/>
              <w:spacing w:after="40"/>
              <w:jc w:val="left"/>
            </w:pPr>
            <w:r>
              <w:rPr>
                <w:rFonts w:ascii="Calibri" w:hAnsi="Calibri"/>
                <w:sz w:val="17"/>
              </w:rPr>
              <w:t xml:space="preserve">In force; certifiable; first bank certifications reported 2026</w:t>
            </w:r>
          </w:p>
        </w:tc>
        <w:tc>
          <w:tcPr/>
          <w:p>
            <w:pPr>
              <w:pStyle w:val="Compact"/>
              <w:spacing w:after="40"/>
              <w:jc w:val="left"/>
            </w:pPr>
            <w:r>
              <w:rPr>
                <w:rFonts w:ascii="Calibri" w:hAnsi="Calibri"/>
                <w:sz w:val="17"/>
              </w:rPr>
              <w:t xml:space="preserve">Policy, roles, risk and impact assessment, Annex A controls, internal audit, management review; accredited third-party certification</w:t>
            </w:r>
          </w:p>
        </w:tc>
      </w:tr>
      <w:tr>
        <w:tc>
          <w:tcPr/>
          <w:p>
            <w:pPr>
              <w:pStyle w:val="Compact"/>
              <w:spacing w:after="40"/>
              <w:jc w:val="left"/>
            </w:pPr>
            <w:r>
              <w:rPr>
                <w:rFonts w:ascii="Calibri" w:hAnsi="Calibri"/>
                <w:sz w:val="17"/>
              </w:rPr>
              <w:t xml:space="preserve">Global standard</w:t>
            </w:r>
          </w:p>
        </w:tc>
        <w:tc>
          <w:tcPr/>
          <w:p>
            <w:pPr>
              <w:pStyle w:val="Compact"/>
              <w:spacing w:after="40"/>
              <w:jc w:val="left"/>
            </w:pPr>
            <w:r>
              <w:rPr>
                <w:rFonts w:ascii="Calibri" w:hAnsi="Calibri"/>
                <w:sz w:val="17"/>
              </w:rPr>
              <w:t xml:space="preserve">ISO/IEC 23894 (risk), 5338 (life cycle), 25059 (quality model) [152]</w:t>
            </w:r>
          </w:p>
        </w:tc>
        <w:tc>
          <w:tcPr/>
          <w:p>
            <w:pPr>
              <w:pStyle w:val="Compact"/>
              <w:spacing w:after="40"/>
              <w:jc w:val="left"/>
            </w:pPr>
            <w:r>
              <w:rPr>
                <w:rFonts w:ascii="Calibri" w:hAnsi="Calibri"/>
                <w:sz w:val="17"/>
              </w:rPr>
              <w:t xml:space="preserve">In force</w:t>
            </w:r>
          </w:p>
        </w:tc>
        <w:tc>
          <w:tcPr/>
          <w:p>
            <w:pPr>
              <w:pStyle w:val="Compact"/>
              <w:spacing w:after="40"/>
              <w:jc w:val="left"/>
            </w:pPr>
            <w:r>
              <w:rPr>
                <w:rFonts w:ascii="Calibri" w:hAnsi="Calibri"/>
                <w:sz w:val="17"/>
              </w:rPr>
              <w:t xml:space="preserve">AI risk register tied to ISO 31000; lifecycle processes; measurable quality characteristics for AI systems</w:t>
            </w:r>
          </w:p>
        </w:tc>
      </w:tr>
      <w:tr>
        <w:tc>
          <w:tcPr/>
          <w:p>
            <w:pPr>
              <w:pStyle w:val="Compact"/>
              <w:spacing w:after="40"/>
              <w:jc w:val="left"/>
            </w:pPr>
            <w:r>
              <w:rPr>
                <w:rFonts w:ascii="Calibri" w:hAnsi="Calibri"/>
                <w:sz w:val="17"/>
              </w:rPr>
              <w:t xml:space="preserve">US (NIST)</w:t>
            </w:r>
          </w:p>
        </w:tc>
        <w:tc>
          <w:tcPr/>
          <w:p>
            <w:pPr>
              <w:pStyle w:val="Compact"/>
              <w:spacing w:after="40"/>
              <w:jc w:val="left"/>
            </w:pPr>
            <w:r>
              <w:rPr>
                <w:rFonts w:ascii="Calibri" w:hAnsi="Calibri"/>
                <w:sz w:val="17"/>
              </w:rPr>
              <w:t xml:space="preserve">AI RMF 1.0 and Playbook; AI 600-1 GenAI Profile; SP 800-218A [153-156]</w:t>
            </w:r>
          </w:p>
        </w:tc>
        <w:tc>
          <w:tcPr/>
          <w:p>
            <w:pPr>
              <w:pStyle w:val="Compact"/>
              <w:spacing w:after="40"/>
              <w:jc w:val="left"/>
            </w:pPr>
            <w:r>
              <w:rPr>
                <w:rFonts w:ascii="Calibri" w:hAnsi="Calibri"/>
                <w:sz w:val="17"/>
              </w:rPr>
              <w:t xml:space="preserve">Voluntary; RMF under revision; TRAIGA safe harbour for 600-1 [157]</w:t>
            </w:r>
          </w:p>
        </w:tc>
        <w:tc>
          <w:tcPr/>
          <w:p>
            <w:pPr>
              <w:pStyle w:val="Compact"/>
              <w:spacing w:after="40"/>
              <w:jc w:val="left"/>
            </w:pPr>
            <w:r>
              <w:rPr>
                <w:rFonts w:ascii="Calibri" w:hAnsi="Calibri"/>
                <w:sz w:val="17"/>
              </w:rPr>
              <w:t xml:space="preserve">Govern, Map, Measure, Manage per system; 12 GenAI risks incl. confabulation, information security, value chain; secure development for models</w:t>
            </w:r>
          </w:p>
        </w:tc>
      </w:tr>
      <w:tr>
        <w:tc>
          <w:tcPr/>
          <w:p>
            <w:pPr>
              <w:pStyle w:val="Compact"/>
              <w:spacing w:after="40"/>
              <w:jc w:val="left"/>
            </w:pPr>
            <w:r>
              <w:rPr>
                <w:rFonts w:ascii="Calibri" w:hAnsi="Calibri"/>
                <w:sz w:val="17"/>
              </w:rPr>
              <w:t xml:space="preserve">US (NIST, 2025-26)</w:t>
            </w:r>
          </w:p>
        </w:tc>
        <w:tc>
          <w:tcPr/>
          <w:p>
            <w:pPr>
              <w:pStyle w:val="Compact"/>
              <w:spacing w:after="40"/>
              <w:jc w:val="left"/>
            </w:pPr>
            <w:r>
              <w:rPr>
                <w:rFonts w:ascii="Calibri" w:hAnsi="Calibri"/>
                <w:sz w:val="17"/>
              </w:rPr>
              <w:t xml:space="preserve">COSAiS control overlays (single- and multi-agent); AI Agent Standards Initiative; AI 300-1 documentation templates [127, 158, 159]</w:t>
            </w:r>
          </w:p>
        </w:tc>
        <w:tc>
          <w:tcPr/>
          <w:p>
            <w:pPr>
              <w:pStyle w:val="Compact"/>
              <w:spacing w:after="40"/>
              <w:jc w:val="left"/>
            </w:pPr>
            <w:r>
              <w:rPr>
                <w:rFonts w:ascii="Calibri" w:hAnsi="Calibri"/>
                <w:sz w:val="17"/>
              </w:rPr>
              <w:t xml:space="preserve">Drafts and programmes</w:t>
            </w:r>
          </w:p>
        </w:tc>
        <w:tc>
          <w:tcPr/>
          <w:p>
            <w:pPr>
              <w:pStyle w:val="Compact"/>
              <w:spacing w:after="40"/>
              <w:jc w:val="left"/>
            </w:pPr>
            <w:r>
              <w:rPr>
                <w:rFonts w:ascii="Calibri" w:hAnsi="Calibri"/>
                <w:sz w:val="17"/>
              </w:rPr>
              <w:t xml:space="preserve">800-53-style controls for agents; agent identity and authorization; standard model/system documentation</w:t>
            </w:r>
          </w:p>
        </w:tc>
      </w:tr>
      <w:tr>
        <w:tc>
          <w:tcPr/>
          <w:p>
            <w:pPr>
              <w:pStyle w:val="Compact"/>
              <w:spacing w:after="40"/>
              <w:jc w:val="left"/>
            </w:pPr>
            <w:r>
              <w:rPr>
                <w:rFonts w:ascii="Calibri" w:hAnsi="Calibri"/>
                <w:sz w:val="17"/>
              </w:rPr>
              <w:t xml:space="preserve">US banking</w:t>
            </w:r>
          </w:p>
        </w:tc>
        <w:tc>
          <w:tcPr/>
          <w:p>
            <w:pPr>
              <w:pStyle w:val="Compact"/>
              <w:spacing w:after="40"/>
              <w:jc w:val="left"/>
            </w:pPr>
            <w:r>
              <w:rPr>
                <w:rFonts w:ascii="Calibri" w:hAnsi="Calibri"/>
                <w:sz w:val="17"/>
              </w:rPr>
              <w:t xml:space="preserve">SR 11-7 (2011) replaced by SR 26-2 (April 2026) [66, 67]</w:t>
            </w:r>
          </w:p>
        </w:tc>
        <w:tc>
          <w:tcPr/>
          <w:p>
            <w:pPr>
              <w:pStyle w:val="Compact"/>
              <w:spacing w:after="40"/>
              <w:jc w:val="left"/>
            </w:pPr>
            <w:r>
              <w:rPr>
                <w:rFonts w:ascii="Calibri" w:hAnsi="Calibri"/>
                <w:sz w:val="17"/>
              </w:rPr>
              <w:t xml:space="preserve">Final for banks over $30bn</w:t>
            </w:r>
          </w:p>
        </w:tc>
        <w:tc>
          <w:tcPr/>
          <w:p>
            <w:pPr>
              <w:pStyle w:val="Compact"/>
              <w:spacing w:after="40"/>
              <w:jc w:val="left"/>
            </w:pPr>
            <w:r>
              <w:rPr>
                <w:rFonts w:ascii="Calibri" w:hAnsi="Calibri"/>
                <w:sz w:val="17"/>
              </w:rPr>
              <w:t xml:space="preserve">Inventory, materiality by purpose and exposure, validation, monitoring; generative and agentic AI explicitly out of scope pending an RFI</w:t>
            </w:r>
          </w:p>
        </w:tc>
      </w:tr>
      <w:tr>
        <w:tc>
          <w:tcPr/>
          <w:p>
            <w:pPr>
              <w:pStyle w:val="Compact"/>
              <w:spacing w:after="40"/>
              <w:jc w:val="left"/>
            </w:pPr>
            <w:r>
              <w:rPr>
                <w:rFonts w:ascii="Calibri" w:hAnsi="Calibri"/>
                <w:sz w:val="17"/>
              </w:rPr>
              <w:t xml:space="preserve">US securities and Treasury</w:t>
            </w:r>
          </w:p>
        </w:tc>
        <w:tc>
          <w:tcPr/>
          <w:p>
            <w:pPr>
              <w:pStyle w:val="Compact"/>
              <w:spacing w:after="40"/>
              <w:jc w:val="left"/>
            </w:pPr>
            <w:r>
              <w:rPr>
                <w:rFonts w:ascii="Calibri" w:hAnsi="Calibri"/>
                <w:sz w:val="17"/>
              </w:rPr>
              <w:t xml:space="preserve">SEC FY2026 exam priorities; Treasury AI report [160, 161]</w:t>
            </w:r>
          </w:p>
        </w:tc>
        <w:tc>
          <w:tcPr/>
          <w:p>
            <w:pPr>
              <w:pStyle w:val="Compact"/>
              <w:spacing w:after="40"/>
              <w:jc w:val="left"/>
            </w:pPr>
            <w:r>
              <w:rPr>
                <w:rFonts w:ascii="Calibri" w:hAnsi="Calibri"/>
                <w:sz w:val="17"/>
              </w:rPr>
              <w:t xml:space="preserve">In force / report</w:t>
            </w:r>
          </w:p>
        </w:tc>
        <w:tc>
          <w:tcPr/>
          <w:p>
            <w:pPr>
              <w:pStyle w:val="Compact"/>
              <w:spacing w:after="40"/>
              <w:jc w:val="left"/>
            </w:pPr>
            <w:r>
              <w:rPr>
                <w:rFonts w:ascii="Calibri" w:hAnsi="Calibri"/>
                <w:sz w:val="17"/>
              </w:rPr>
              <w:t xml:space="preserve">Actual AI use must match representations (</w:t>
            </w:r>
            <w:r>
              <w:rPr>
                <w:rFonts w:ascii="Calibri" w:hAnsi="Calibri"/>
                <w:sz w:val="17"/>
              </w:rPr>
              <w:t xml:space="preserve">“</w:t>
            </w:r>
            <w:r>
              <w:rPr>
                <w:rFonts w:ascii="Calibri" w:hAnsi="Calibri"/>
                <w:sz w:val="17"/>
              </w:rPr>
              <w:t xml:space="preserve">AI washing</w:t>
            </w:r>
            <w:r>
              <w:rPr>
                <w:rFonts w:ascii="Calibri" w:hAnsi="Calibri"/>
                <w:sz w:val="17"/>
              </w:rPr>
              <w:t xml:space="preserve">”</w:t>
            </w:r>
            <w:r>
              <w:rPr>
                <w:rFonts w:ascii="Calibri" w:hAnsi="Calibri"/>
                <w:sz w:val="17"/>
              </w:rPr>
              <w:t xml:space="preserve">); pre-deployment compliance review per use case</w:t>
            </w:r>
          </w:p>
        </w:tc>
      </w:tr>
      <w:tr>
        <w:tc>
          <w:tcPr/>
          <w:p>
            <w:pPr>
              <w:pStyle w:val="Compact"/>
              <w:spacing w:after="40"/>
              <w:jc w:val="left"/>
            </w:pPr>
            <w:r>
              <w:rPr>
                <w:rFonts w:ascii="Calibri" w:hAnsi="Calibri"/>
                <w:sz w:val="17"/>
              </w:rPr>
              <w:t xml:space="preserve">EU</w:t>
            </w:r>
          </w:p>
        </w:tc>
        <w:tc>
          <w:tcPr/>
          <w:p>
            <w:pPr>
              <w:pStyle w:val="Compact"/>
              <w:spacing w:after="40"/>
              <w:jc w:val="left"/>
            </w:pPr>
            <w:r>
              <w:rPr>
                <w:rFonts w:ascii="Calibri" w:hAnsi="Calibri"/>
                <w:sz w:val="17"/>
              </w:rPr>
              <w:t xml:space="preserve">AI Act 2024/1689 as amended by Omnibus 2026/1744; GPAI Code of Practice; Art. 6 guidelines [69, 162-164]</w:t>
            </w:r>
          </w:p>
        </w:tc>
        <w:tc>
          <w:tcPr/>
          <w:p>
            <w:pPr>
              <w:pStyle w:val="Compact"/>
              <w:spacing w:after="40"/>
              <w:jc w:val="left"/>
            </w:pPr>
            <w:r>
              <w:rPr>
                <w:rFonts w:ascii="Calibri" w:hAnsi="Calibri"/>
                <w:sz w:val="17"/>
              </w:rPr>
              <w:t xml:space="preserve">In force; high-risk obligations 2 Dec 2027 (Annex III) and 2 Aug 2028 (Annex I)</w:t>
            </w:r>
          </w:p>
        </w:tc>
        <w:tc>
          <w:tcPr/>
          <w:p>
            <w:pPr>
              <w:pStyle w:val="Compact"/>
              <w:spacing w:after="40"/>
              <w:jc w:val="left"/>
            </w:pPr>
            <w:r>
              <w:rPr>
                <w:rFonts w:ascii="Calibri" w:hAnsi="Calibri"/>
                <w:sz w:val="17"/>
              </w:rPr>
              <w:t xml:space="preserve">Art. 4 literacy; for high-risk: risk management (Art. 9), data governance (10), technical documentation (11), logging (12), human oversight (14), QMS (17), post-market monitoring (72); provider documentation forms for GPAI</w:t>
            </w:r>
          </w:p>
        </w:tc>
      </w:tr>
      <w:tr>
        <w:tc>
          <w:tcPr/>
          <w:p>
            <w:pPr>
              <w:pStyle w:val="Compact"/>
              <w:spacing w:after="40"/>
              <w:jc w:val="left"/>
            </w:pPr>
            <w:r>
              <w:rPr>
                <w:rFonts w:ascii="Calibri" w:hAnsi="Calibri"/>
                <w:sz w:val="17"/>
              </w:rPr>
              <w:t xml:space="preserve">EU financial</w:t>
            </w:r>
          </w:p>
        </w:tc>
        <w:tc>
          <w:tcPr/>
          <w:p>
            <w:pPr>
              <w:pStyle w:val="Compact"/>
              <w:spacing w:after="40"/>
              <w:jc w:val="left"/>
            </w:pPr>
            <w:r>
              <w:rPr>
                <w:rFonts w:ascii="Calibri" w:hAnsi="Calibri"/>
                <w:sz w:val="17"/>
              </w:rPr>
              <w:t xml:space="preserve">DORA 2022/2554; ESMA and EIOPA statements; ECB priorities [165-167]</w:t>
            </w:r>
          </w:p>
        </w:tc>
        <w:tc>
          <w:tcPr/>
          <w:p>
            <w:pPr>
              <w:pStyle w:val="Compact"/>
              <w:spacing w:after="40"/>
              <w:jc w:val="left"/>
            </w:pPr>
            <w:r>
              <w:rPr>
                <w:rFonts w:ascii="Calibri" w:hAnsi="Calibri"/>
                <w:sz w:val="17"/>
              </w:rPr>
              <w:t xml:space="preserve">In force</w:t>
            </w:r>
          </w:p>
        </w:tc>
        <w:tc>
          <w:tcPr/>
          <w:p>
            <w:pPr>
              <w:pStyle w:val="Compact"/>
              <w:spacing w:after="40"/>
              <w:jc w:val="left"/>
            </w:pPr>
            <w:r>
              <w:rPr>
                <w:rFonts w:ascii="Calibri" w:hAnsi="Calibri"/>
                <w:sz w:val="17"/>
              </w:rPr>
              <w:t xml:space="preserve">ICT third-party register, contracts, exit strategies, resilience testing; management-body accountability for AI</w:t>
            </w:r>
          </w:p>
        </w:tc>
      </w:tr>
      <w:tr>
        <w:tc>
          <w:tcPr/>
          <w:p>
            <w:pPr>
              <w:pStyle w:val="Compact"/>
              <w:spacing w:after="40"/>
              <w:jc w:val="left"/>
            </w:pPr>
            <w:r>
              <w:rPr>
                <w:rFonts w:ascii="Calibri" w:hAnsi="Calibri"/>
                <w:sz w:val="17"/>
              </w:rPr>
              <w:t xml:space="preserve">Singapore (MAS)</w:t>
            </w:r>
          </w:p>
        </w:tc>
        <w:tc>
          <w:tcPr/>
          <w:p>
            <w:pPr>
              <w:pStyle w:val="Compact"/>
              <w:spacing w:after="40"/>
              <w:jc w:val="left"/>
            </w:pPr>
            <w:r>
              <w:rPr>
                <w:rFonts w:ascii="Calibri" w:hAnsi="Calibri"/>
                <w:sz w:val="17"/>
              </w:rPr>
              <w:t xml:space="preserve">FEAT (2018); Veritas toolkits; AI MRM thematic review (Dec 2024); proposed AI Risk Management Guidelines (Nov 2025); MindForge handbooks (2026) [68, 168-171]</w:t>
            </w:r>
          </w:p>
        </w:tc>
        <w:tc>
          <w:tcPr/>
          <w:p>
            <w:pPr>
              <w:pStyle w:val="Compact"/>
              <w:spacing w:after="40"/>
              <w:jc w:val="left"/>
            </w:pPr>
            <w:r>
              <w:rPr>
                <w:rFonts w:ascii="Calibri" w:hAnsi="Calibri"/>
                <w:sz w:val="17"/>
              </w:rPr>
              <w:t xml:space="preserve">Guidelines final pending, 12-month transition proposed</w:t>
            </w:r>
          </w:p>
        </w:tc>
        <w:tc>
          <w:tcPr/>
          <w:p>
            <w:pPr>
              <w:pStyle w:val="Compact"/>
              <w:spacing w:after="40"/>
              <w:jc w:val="left"/>
            </w:pPr>
            <w:r>
              <w:rPr>
                <w:rFonts w:ascii="Calibri" w:hAnsi="Calibri"/>
                <w:sz w:val="17"/>
              </w:rPr>
              <w:t xml:space="preserve">Board-approved framework and risk appetite; AI inventory; materiality by impact, complexity and reliance; lifecycle controls incl. adversarial testing, kill switches, version control of code, data and parameters; third-party and agent provisions</w:t>
            </w:r>
          </w:p>
        </w:tc>
      </w:tr>
      <w:tr>
        <w:tc>
          <w:tcPr/>
          <w:p>
            <w:pPr>
              <w:pStyle w:val="Compact"/>
              <w:spacing w:after="40"/>
              <w:jc w:val="left"/>
            </w:pPr>
            <w:r>
              <w:rPr>
                <w:rFonts w:ascii="Calibri" w:hAnsi="Calibri"/>
                <w:sz w:val="17"/>
              </w:rPr>
              <w:t xml:space="preserve">Singapore (IMDA)</w:t>
            </w:r>
          </w:p>
        </w:tc>
        <w:tc>
          <w:tcPr/>
          <w:p>
            <w:pPr>
              <w:pStyle w:val="Compact"/>
              <w:spacing w:after="40"/>
              <w:jc w:val="left"/>
            </w:pPr>
            <w:r>
              <w:rPr>
                <w:rFonts w:ascii="Calibri" w:hAnsi="Calibri"/>
                <w:sz w:val="17"/>
              </w:rPr>
              <w:t xml:space="preserve">Model AI Governance Framework (2020); GenAI framework (2024); Agentic AI framework (Jan 2026); AI Verify and assurance pilot [126, 172-174]</w:t>
            </w:r>
          </w:p>
        </w:tc>
        <w:tc>
          <w:tcPr/>
          <w:p>
            <w:pPr>
              <w:pStyle w:val="Compact"/>
              <w:spacing w:after="40"/>
              <w:jc w:val="left"/>
            </w:pPr>
            <w:r>
              <w:rPr>
                <w:rFonts w:ascii="Calibri" w:hAnsi="Calibri"/>
                <w:sz w:val="17"/>
              </w:rPr>
              <w:t xml:space="preserve">Voluntary; crosswalks to NIST and ISO 42001</w:t>
            </w:r>
          </w:p>
        </w:tc>
        <w:tc>
          <w:tcPr/>
          <w:p>
            <w:pPr>
              <w:pStyle w:val="Compact"/>
              <w:spacing w:after="40"/>
              <w:jc w:val="left"/>
            </w:pPr>
            <w:r>
              <w:rPr>
                <w:rFonts w:ascii="Calibri" w:hAnsi="Calibri"/>
                <w:sz w:val="17"/>
              </w:rPr>
              <w:t xml:space="preserve">Human involvement tiering; nine GenAI dimensions incl. incident reporting and content provenance; bounded autonomy, checkpoints, agent identity, observability; pipeline-level testing for agentic apps</w:t>
            </w:r>
          </w:p>
        </w:tc>
      </w:tr>
      <w:tr>
        <w:tc>
          <w:tcPr/>
          <w:p>
            <w:pPr>
              <w:pStyle w:val="Compact"/>
              <w:spacing w:after="40"/>
              <w:jc w:val="left"/>
            </w:pPr>
            <w:r>
              <w:rPr>
                <w:rFonts w:ascii="Calibri" w:hAnsi="Calibri"/>
                <w:sz w:val="17"/>
              </w:rPr>
              <w:t xml:space="preserve">Hong Kong, Australia</w:t>
            </w:r>
          </w:p>
        </w:tc>
        <w:tc>
          <w:tcPr/>
          <w:p>
            <w:pPr>
              <w:pStyle w:val="Compact"/>
              <w:spacing w:after="40"/>
              <w:jc w:val="left"/>
            </w:pPr>
            <w:r>
              <w:rPr>
                <w:rFonts w:ascii="Calibri" w:hAnsi="Calibri"/>
                <w:sz w:val="17"/>
              </w:rPr>
              <w:t xml:space="preserve">SFC circular on GenAI (2024); ASIC REP 798 [72, 175]</w:t>
            </w:r>
          </w:p>
        </w:tc>
        <w:tc>
          <w:tcPr/>
          <w:p>
            <w:pPr>
              <w:pStyle w:val="Compact"/>
              <w:spacing w:after="40"/>
              <w:jc w:val="left"/>
            </w:pPr>
            <w:r>
              <w:rPr>
                <w:rFonts w:ascii="Calibri" w:hAnsi="Calibri"/>
                <w:sz w:val="17"/>
              </w:rPr>
              <w:t xml:space="preserve">In force / report</w:t>
            </w:r>
          </w:p>
        </w:tc>
        <w:tc>
          <w:tcPr/>
          <w:p>
            <w:pPr>
              <w:pStyle w:val="Compact"/>
              <w:spacing w:after="40"/>
              <w:jc w:val="left"/>
            </w:pPr>
            <w:r>
              <w:rPr>
                <w:rFonts w:ascii="Calibri" w:hAnsi="Calibri"/>
                <w:sz w:val="17"/>
              </w:rPr>
              <w:t xml:space="preserve">Senior-management oversight; high-risk use-case notification; governance lagging adoption</w:t>
            </w:r>
          </w:p>
        </w:tc>
      </w:tr>
      <w:tr>
        <w:tc>
          <w:tcPr/>
          <w:p>
            <w:pPr>
              <w:pStyle w:val="Compact"/>
              <w:spacing w:after="40"/>
              <w:jc w:val="left"/>
            </w:pPr>
            <w:r>
              <w:rPr>
                <w:rFonts w:ascii="Calibri" w:hAnsi="Calibri"/>
                <w:sz w:val="17"/>
              </w:rPr>
              <w:t xml:space="preserve">UK</w:t>
            </w:r>
          </w:p>
        </w:tc>
        <w:tc>
          <w:tcPr/>
          <w:p>
            <w:pPr>
              <w:pStyle w:val="Compact"/>
              <w:spacing w:after="40"/>
              <w:jc w:val="left"/>
            </w:pPr>
            <w:r>
              <w:rPr>
                <w:rFonts w:ascii="Calibri" w:hAnsi="Calibri"/>
                <w:sz w:val="17"/>
              </w:rPr>
              <w:t xml:space="preserve">PRA SS1/23; BoE/FCA survey; FCA AI Lab; DSIT assurance roadmap [70, 176-178]</w:t>
            </w:r>
          </w:p>
        </w:tc>
        <w:tc>
          <w:tcPr/>
          <w:p>
            <w:pPr>
              <w:pStyle w:val="Compact"/>
              <w:spacing w:after="40"/>
              <w:jc w:val="left"/>
            </w:pPr>
            <w:r>
              <w:rPr>
                <w:rFonts w:ascii="Calibri" w:hAnsi="Calibri"/>
                <w:sz w:val="17"/>
              </w:rPr>
              <w:t xml:space="preserve">In force / programmes</w:t>
            </w:r>
          </w:p>
        </w:tc>
        <w:tc>
          <w:tcPr/>
          <w:p>
            <w:pPr>
              <w:pStyle w:val="Compact"/>
              <w:spacing w:after="40"/>
              <w:jc w:val="left"/>
            </w:pPr>
            <w:r>
              <w:rPr>
                <w:rFonts w:ascii="Calibri" w:hAnsi="Calibri"/>
                <w:sz w:val="17"/>
              </w:rPr>
              <w:t xml:space="preserve">Model classification and SMF accountability regardless of technology; outcomes-based supervision; assurance mechanisms</w:t>
            </w:r>
          </w:p>
        </w:tc>
      </w:tr>
      <w:tr>
        <w:tc>
          <w:tcPr/>
          <w:p>
            <w:pPr>
              <w:pStyle w:val="Compact"/>
              <w:spacing w:after="40"/>
              <w:jc w:val="left"/>
            </w:pPr>
            <w:r>
              <w:rPr>
                <w:rFonts w:ascii="Calibri" w:hAnsi="Calibri"/>
                <w:sz w:val="17"/>
              </w:rPr>
              <w:t xml:space="preserve">Global bodies</w:t>
            </w:r>
          </w:p>
        </w:tc>
        <w:tc>
          <w:tcPr/>
          <w:p>
            <w:pPr>
              <w:pStyle w:val="Compact"/>
              <w:spacing w:after="40"/>
              <w:jc w:val="left"/>
            </w:pPr>
            <w:r>
              <w:rPr>
                <w:rFonts w:ascii="Calibri" w:hAnsi="Calibri"/>
                <w:sz w:val="17"/>
              </w:rPr>
              <w:t xml:space="preserve">FSB; IOSCO toolkit (2026); BIS FSI; OECD principles [179-182]</w:t>
            </w:r>
          </w:p>
        </w:tc>
        <w:tc>
          <w:tcPr/>
          <w:p>
            <w:pPr>
              <w:pStyle w:val="Compact"/>
              <w:spacing w:after="40"/>
              <w:jc w:val="left"/>
            </w:pPr>
            <w:r>
              <w:rPr>
                <w:rFonts w:ascii="Calibri" w:hAnsi="Calibri"/>
                <w:sz w:val="17"/>
              </w:rPr>
              <w:t xml:space="preserve">Reports / toolkit</w:t>
            </w:r>
          </w:p>
        </w:tc>
        <w:tc>
          <w:tcPr/>
          <w:p>
            <w:pPr>
              <w:pStyle w:val="Compact"/>
              <w:spacing w:after="40"/>
              <w:jc w:val="left"/>
            </w:pPr>
            <w:r>
              <w:rPr>
                <w:rFonts w:ascii="Calibri" w:hAnsi="Calibri"/>
                <w:sz w:val="17"/>
              </w:rPr>
              <w:t xml:space="preserve">Third-party concentration monitoring; governance, third-party, disclosure and record-keeping for GenAI and agentic systems</w:t>
            </w:r>
          </w:p>
        </w:tc>
      </w:tr>
      <w:tr>
        <w:tc>
          <w:tcPr/>
          <w:p>
            <w:pPr>
              <w:pStyle w:val="Compact"/>
              <w:spacing w:after="40"/>
              <w:jc w:val="left"/>
            </w:pPr>
            <w:r>
              <w:rPr>
                <w:rFonts w:ascii="Calibri" w:hAnsi="Calibri"/>
                <w:sz w:val="17"/>
              </w:rPr>
              <w:t xml:space="preserve">Security</w:t>
            </w:r>
          </w:p>
        </w:tc>
        <w:tc>
          <w:tcPr/>
          <w:p>
            <w:pPr>
              <w:pStyle w:val="Compact"/>
              <w:spacing w:after="40"/>
              <w:jc w:val="left"/>
            </w:pPr>
            <w:r>
              <w:rPr>
                <w:rFonts w:ascii="Calibri" w:hAnsi="Calibri"/>
                <w:sz w:val="17"/>
              </w:rPr>
              <w:t xml:space="preserve">OWASP LLM and Agentic Top 10, Agent Control Standard; MITRE ATLAS; CSA AI Controls Matrix; NCSC/CISA secure AI development; NSA/CISA AI data security; SLSA and ML-BOM [108, 183-188]</w:t>
            </w:r>
          </w:p>
        </w:tc>
        <w:tc>
          <w:tcPr/>
          <w:p>
            <w:pPr>
              <w:pStyle w:val="Compact"/>
              <w:spacing w:after="40"/>
              <w:jc w:val="left"/>
            </w:pPr>
            <w:r>
              <w:rPr>
                <w:rFonts w:ascii="Calibri" w:hAnsi="Calibri"/>
                <w:sz w:val="17"/>
              </w:rPr>
              <w:t xml:space="preserve">Industry guidance</w:t>
            </w:r>
          </w:p>
        </w:tc>
        <w:tc>
          <w:tcPr/>
          <w:p>
            <w:pPr>
              <w:pStyle w:val="Compact"/>
              <w:spacing w:after="40"/>
              <w:jc w:val="left"/>
            </w:pPr>
            <w:r>
              <w:rPr>
                <w:rFonts w:ascii="Calibri" w:hAnsi="Calibri"/>
                <w:sz w:val="17"/>
              </w:rPr>
              <w:t xml:space="preserve">Threat models for agents; agents</w:t>
            </w:r>
            <w:r>
              <w:rPr>
                <w:rFonts w:ascii="Calibri" w:hAnsi="Calibri"/>
                <w:sz w:val="17"/>
              </w:rPr>
              <w:t xml:space="preserve"> </w:t>
            </w:r>
            <w:r>
              <w:rPr>
                <w:rFonts w:ascii="Calibri" w:hAnsi="Calibri"/>
                <w:sz w:val="17"/>
              </w:rPr>
              <w:t xml:space="preserve">“</w:t>
            </w:r>
            <w:r>
              <w:rPr>
                <w:rFonts w:ascii="Calibri" w:hAnsi="Calibri"/>
                <w:sz w:val="17"/>
              </w:rPr>
              <w:t xml:space="preserve">inspectable, traceable and instrumentable</w:t>
            </w:r>
            <w:r>
              <w:rPr>
                <w:rFonts w:ascii="Calibri" w:hAnsi="Calibri"/>
                <w:sz w:val="17"/>
              </w:rPr>
              <w:t xml:space="preserve">”</w:t>
            </w:r>
            <w:r>
              <w:rPr>
                <w:rFonts w:ascii="Calibri" w:hAnsi="Calibri"/>
                <w:sz w:val="17"/>
              </w:rPr>
              <w:t xml:space="preserve">; 243 mapped control objectives; data provenance; supply-chain attestations</w:t>
            </w:r>
          </w:p>
        </w:tc>
      </w:tr>
    </w:tbl>
    <w:p>
      <w:pPr>
        <w:pStyle w:val="BodyText"/>
      </w:pPr>
      <w:r>
        <w:t xml:space="preserve">Across these instruments the expected evidence converges on fifteen items, which Section 5 folds into the organizational layer: board-approved framework with AI in the risk appetite; independent challenge; literacy and competence; an enterprise inventory including embedded, vendor and shadow uses; materiality tiering with a documented legal classification per use case; documented development and validation proportionate to materiality, including adversarial testing for generative and agentic systems; change management including provider-pushed model updates; data provenance and fitness; lifetime logging and monitoring with kill switches; incident reporting; third-party due diligence, contracts and exit plans; defined human oversight with checkpoints for irreversible actions; secure-by-design engineering with agent identity and least privilege; supply-chain integrity for models, data and generated code; and periodic independent assurance.</w:t>
      </w:r>
    </w:p>
    <w:p>
      <w:pPr>
        <w:pStyle w:val="BodyText"/>
      </w:pPr>
      <w:r>
        <w:t xml:space="preserve">Two features of this landscape matter for coding agents specifically. First, coding assistants are generally minimal-risk under the EU AI Act unless their intended purpose crosses into an Annex III area (for example, developer telemetry used for employment decisions) [162, 164], but AI literacy, GPAI transparency and DORA third-party obligations still apply. Second, the MAS proposal treats an AI tool that is an</w:t>
      </w:r>
      <w:r>
        <w:t xml:space="preserve"> </w:t>
      </w:r>
      <w:r>
        <w:t xml:space="preserve">“</w:t>
      </w:r>
      <w:r>
        <w:t xml:space="preserve">integrated part</w:t>
      </w:r>
      <w:r>
        <w:t xml:space="preserve">”</w:t>
      </w:r>
      <w:r>
        <w:t xml:space="preserve"> </w:t>
      </w:r>
      <w:r>
        <w:t xml:space="preserve">of a business process as in scope for the full framework, distinguishing it from non-integrated individual use; a coding agent wired into CI is integrated by construction [68]. Documentation practices such as model cards and datasheets, first proposed as research norms, are now the templates these frameworks presuppose [189]. The assurance profession is forming around the same evidence set: 77% of organizations report working on AI governance, most often led from privacy or legal functions, and a quarter cite difficulty finding qualified people [190], while ISACA’s AI audit toolkit and credential give the third line a standard control library [191].</w:t>
      </w:r>
    </w:p>
    <w:bookmarkEnd w:id="40"/>
    <w:bookmarkStart w:id="41" w:name="case-studies"/>
    <w:p>
      <w:pPr>
        <w:pStyle w:val="Heading3"/>
      </w:pPr>
      <w:r>
        <w:t xml:space="preserve">4.4 Case studies</w:t>
      </w:r>
    </w:p>
    <w:p>
      <w:pPr>
        <w:pStyle w:val="FirstParagraph"/>
      </w:pPr>
      <w:r>
        <w:t xml:space="preserve">The cases below are drawn from public sources. For each we record what was deployed, how it was measured or governed, and the readiness lesson. Financial-services cases come first because they show what</w:t>
      </w:r>
      <w:r>
        <w:t xml:space="preserve"> </w:t>
      </w:r>
      <w:r>
        <w:t xml:space="preserve">“</w:t>
      </w:r>
      <w:r>
        <w:t xml:space="preserve">AI maturity</w:t>
      </w:r>
      <w:r>
        <w:t xml:space="preserve">”</w:t>
      </w:r>
      <w:r>
        <w:t xml:space="preserve"> </w:t>
      </w:r>
      <w:r>
        <w:t xml:space="preserve">looks like when regulators are watching.</w:t>
      </w:r>
    </w:p>
    <w:p>
      <w:pPr>
        <w:pStyle w:val="BodyText"/>
      </w:pPr>
      <w:r>
        <w:rPr>
          <w:bCs/>
          <w:b/>
        </w:rPr>
        <w:t xml:space="preserve">Goldman Sachs.</w:t>
      </w:r>
      <w:r>
        <w:t xml:space="preserve"> </w:t>
      </w:r>
      <w:r>
        <w:t xml:space="preserve">The firm rolled its GS AI Assistant out to about 10,000 employees in early 2025 (reported in January) and firmwide in June 2025, with models firewalled inside its systems [192]. In July 2025 it announced a pilot of Cognition’s Devin, initially</w:t>
      </w:r>
      <w:r>
        <w:t xml:space="preserve"> </w:t>
      </w:r>
      <w:r>
        <w:t xml:space="preserve">“</w:t>
      </w:r>
      <w:r>
        <w:t xml:space="preserve">hundreds</w:t>
      </w:r>
      <w:r>
        <w:t xml:space="preserve">”</w:t>
      </w:r>
      <w:r>
        <w:t xml:space="preserve"> </w:t>
      </w:r>
      <w:r>
        <w:t xml:space="preserve">of agents scaling toward thousands alongside roughly 12,000 developers, framed by CIO Marco Argenti as a</w:t>
      </w:r>
      <w:r>
        <w:t xml:space="preserve"> </w:t>
      </w:r>
      <w:r>
        <w:t xml:space="preserve">“</w:t>
      </w:r>
      <w:r>
        <w:t xml:space="preserve">hybrid workforce</w:t>
      </w:r>
      <w:r>
        <w:t xml:space="preserve">”</w:t>
      </w:r>
      <w:r>
        <w:t xml:space="preserve"> </w:t>
      </w:r>
      <w:r>
        <w:t xml:space="preserve">in which engineers describe problems, turn them into prompts and supervise agent work [193]. In October 2025 the OneGS 3.0 memo re-based operational efficiency goals to expected AI gains while limiting headcount reductions [194]; in February 2026 the firm extended Claude-based agents to reconciliation, trade accounting and client onboarding after roughly six months of embedded vendor engineering [195]. In an August 2026 Forbes profile, a secondary synthesis, Argenti describes the metric that matters as idea-to-production speed rather than AI usage; the same profile notes that Devin</w:t>
      </w:r>
      <w:r>
        <w:t xml:space="preserve"> </w:t>
      </w:r>
      <w:r>
        <w:t xml:space="preserve">“</w:t>
      </w:r>
      <w:r>
        <w:t xml:space="preserve">struggles with execution when objectives are ambiguous or lack specificity</w:t>
      </w:r>
      <w:r>
        <w:t xml:space="preserve">”</w:t>
      </w:r>
      <w:r>
        <w:t xml:space="preserve"> </w:t>
      </w:r>
      <w:r>
        <w:t xml:space="preserve">[196]. Argenti’s earlier argument that AI code</w:t>
      </w:r>
      <w:r>
        <w:t xml:space="preserve"> </w:t>
      </w:r>
      <w:r>
        <w:t xml:space="preserve">“</w:t>
      </w:r>
      <w:r>
        <w:t xml:space="preserve">can be syntactically and semantically correct but not functionally correct,</w:t>
      </w:r>
      <w:r>
        <w:t xml:space="preserve">”</w:t>
      </w:r>
      <w:r>
        <w:t xml:space="preserve"> </w:t>
      </w:r>
      <w:r>
        <w:t xml:space="preserve">and that engineers must be able to</w:t>
      </w:r>
      <w:r>
        <w:t xml:space="preserve"> </w:t>
      </w:r>
      <w:r>
        <w:t xml:space="preserve">“</w:t>
      </w:r>
      <w:r>
        <w:t xml:space="preserve">debate a stubborn AI,</w:t>
      </w:r>
      <w:r>
        <w:t xml:space="preserve">”</w:t>
      </w:r>
      <w:r>
        <w:t xml:space="preserve"> </w:t>
      </w:r>
      <w:r>
        <w:t xml:space="preserve">anticipates the specification and verification dimensions of Section 5 [197].</w:t>
      </w:r>
      <w:r>
        <w:t xml:space="preserve"> </w:t>
      </w:r>
      <w:r>
        <w:rPr>
          <w:iCs/>
          <w:i/>
        </w:rPr>
        <w:t xml:space="preserve">Readiness lesson:</w:t>
      </w:r>
      <w:r>
        <w:t xml:space="preserve"> </w:t>
      </w:r>
      <w:r>
        <w:t xml:space="preserve">staged expansion of agent scope, supervision as a defined engineering role, and outcome metrics chosen over usage metrics.</w:t>
      </w:r>
    </w:p>
    <w:p>
      <w:pPr>
        <w:pStyle w:val="BodyText"/>
      </w:pPr>
      <w:r>
        <w:rPr>
          <w:bCs/>
          <w:b/>
        </w:rPr>
        <w:t xml:space="preserve">JPMorgan Chase.</w:t>
      </w:r>
      <w:r>
        <w:t xml:space="preserve"> </w:t>
      </w:r>
      <w:r>
        <w:t xml:space="preserve">LLM Suite reached more than 200,000 employees by May 2025 and nearly 250,000 by October, without a usage mandate; the firm reports gross AI benefits growing 30-40% a year, tracked as day-to-day productivity plus domain-level value [198, 199]. Its coding assistant produced a reported 10-20% efficiency gain for tens of thousands of engineers in 2025 and a reported 10% in year-end disclosures, with methodology undisclosed [200, 201]. In 2026, according to internal documents reported by Business Insider, the firm tied engineering performance expectations to</w:t>
      </w:r>
      <w:r>
        <w:t xml:space="preserve"> </w:t>
      </w:r>
      <w:r>
        <w:t xml:space="preserve">“</w:t>
      </w:r>
      <w:r>
        <w:t xml:space="preserve">measurable improvement in code quality, speed and productivity through regular use of approved AI coding assist tools,</w:t>
      </w:r>
      <w:r>
        <w:t xml:space="preserve">”</w:t>
      </w:r>
      <w:r>
        <w:t xml:space="preserve"> </w:t>
      </w:r>
      <w:r>
        <w:t xml:space="preserve">with a dashboard classifying staff as light, heavy or non-users [202]; its chief analytics officer separately flagged agent credential handling as</w:t>
      </w:r>
      <w:r>
        <w:t xml:space="preserve"> </w:t>
      </w:r>
      <w:r>
        <w:t xml:space="preserve">“</w:t>
      </w:r>
      <w:r>
        <w:t xml:space="preserve">a real problem,</w:t>
      </w:r>
      <w:r>
        <w:t xml:space="preserve">”</w:t>
      </w:r>
      <w:r>
        <w:t xml:space="preserve"> </w:t>
      </w:r>
      <w:r>
        <w:t xml:space="preserve">and the CEO’s 2026 letter committed to redeployment plans for affected staff [199, 203].</w:t>
      </w:r>
      <w:r>
        <w:t xml:space="preserve"> </w:t>
      </w:r>
      <w:r>
        <w:rPr>
          <w:iCs/>
          <w:i/>
        </w:rPr>
        <w:t xml:space="preserve">Readiness lesson:</w:t>
      </w:r>
      <w:r>
        <w:t xml:space="preserve"> </w:t>
      </w:r>
      <w:r>
        <w:t xml:space="preserve">value tracking at two levels, but a live example of the usage-versus-outcome tension that Section 5 lists as an anti-pattern.</w:t>
      </w:r>
    </w:p>
    <w:p>
      <w:pPr>
        <w:pStyle w:val="BodyText"/>
      </w:pPr>
      <w:r>
        <w:rPr>
          <w:bCs/>
          <w:b/>
        </w:rPr>
        <w:t xml:space="preserve">Morgan Stanley.</w:t>
      </w:r>
      <w:r>
        <w:t xml:space="preserve"> </w:t>
      </w:r>
      <w:r>
        <w:t xml:space="preserve">The firm’s advisor assistant was rolled out through an evals-first process: summarization and translation evals graded by advisors and engineers, retrieval tuning, and a daily regression suite; adoption reached 98% of advisor teams and document coverage rose from 20% to 80% [204]. DevGen.AI, built in-house on OpenAI models, reviewed nine million lines of legacy code in its first months and saved a reported 280,000 developer hours across about 15,000 developers by translating legacy code into specifications that humans then reimplemented [205]. Its former head of firmwide AI later observed that what breaks at scale is infrastructure (data structuring, access controls, monitoring, autonomy levels), not models, and that most firms are stuck in a</w:t>
      </w:r>
      <w:r>
        <w:t xml:space="preserve"> </w:t>
      </w:r>
      <w:r>
        <w:t xml:space="preserve">“</w:t>
      </w:r>
      <w:r>
        <w:t xml:space="preserve">pilot trap</w:t>
      </w:r>
      <w:r>
        <w:t xml:space="preserve">”</w:t>
      </w:r>
      <w:r>
        <w:t xml:space="preserve"> </w:t>
      </w:r>
      <w:r>
        <w:t xml:space="preserve">[206].</w:t>
      </w:r>
      <w:r>
        <w:t xml:space="preserve"> </w:t>
      </w:r>
      <w:r>
        <w:rPr>
          <w:iCs/>
          <w:i/>
        </w:rPr>
        <w:t xml:space="preserve">Readiness lesson:</w:t>
      </w:r>
      <w:r>
        <w:t xml:space="preserve"> </w:t>
      </w:r>
      <w:r>
        <w:t xml:space="preserve">evals as the readiness gate, and humans retained at the point where correctness cannot yet be verified automatically.</w:t>
      </w:r>
    </w:p>
    <w:p>
      <w:pPr>
        <w:pStyle w:val="BodyText"/>
      </w:pPr>
      <w:r>
        <w:rPr>
          <w:bCs/>
          <w:b/>
        </w:rPr>
        <w:t xml:space="preserve">Citi.</w:t>
      </w:r>
      <w:r>
        <w:t xml:space="preserve"> </w:t>
      </w:r>
      <w:r>
        <w:t xml:space="preserve">Citi equipped 30,000 developers with generative coding tools by January 2025 [207] and announced Devin for about 40,000 developers in July 2025 for patches, library upgrades, language conversion, documentation and tests, under explicit guardrails: humans keep approval, agents cannot deploy code, access is limited to internal repositories via retrieval, and automated tests run before human review [208]. Its 2025 disclosures were activity metrics: 7 million tool uses, more than a million automated code reviews, roughly 100,000 hours of weekly developer capacity, and a 5,000-employee agentic pilot [209].</w:t>
      </w:r>
      <w:r>
        <w:t xml:space="preserve"> </w:t>
      </w:r>
      <w:r>
        <w:rPr>
          <w:iCs/>
          <w:i/>
        </w:rPr>
        <w:t xml:space="preserve">Readiness lesson:</w:t>
      </w:r>
      <w:r>
        <w:t xml:space="preserve"> </w:t>
      </w:r>
      <w:r>
        <w:t xml:space="preserve">guardrails specified before scale; activity metrics still standing in for outcome metrics.</w:t>
      </w:r>
    </w:p>
    <w:p>
      <w:pPr>
        <w:pStyle w:val="BodyText"/>
      </w:pPr>
      <w:r>
        <w:rPr>
          <w:bCs/>
          <w:b/>
        </w:rPr>
        <w:t xml:space="preserve">DBS Bank.</w:t>
      </w:r>
      <w:r>
        <w:t xml:space="preserve"> </w:t>
      </w:r>
      <w:r>
        <w:t xml:space="preserve">DBS built AI industrialization deliberately over a decade: an ALAN knowledge repository and protocol for model deployment, an ADA self-service data platform, PURE (purposeful, unsurprising, respectful, explainable) as the responsible-data test [210], data-chapter members embedded in every squad [211], and a Digital Value Capture framework, run with McKinsey since 2016, that attributes revenue, cost and risk-avoidance value [212, 213]. Reported AI economic value rose from SGD 180 million (2022) to SGD 1 billion (2025) across more than 430 use cases and 2,000 models, with nine operating-model transformations completed in 2025 and an agentic coding tool saving data professionals about 20% of coding time [213]. OCBC pairs a governance-first model management platform and monitoring framework with on-premises deployment [214].</w:t>
      </w:r>
      <w:r>
        <w:t xml:space="preserve"> </w:t>
      </w:r>
      <w:r>
        <w:rPr>
          <w:iCs/>
          <w:i/>
        </w:rPr>
        <w:t xml:space="preserve">Readiness lesson:</w:t>
      </w:r>
      <w:r>
        <w:t xml:space="preserve"> </w:t>
      </w:r>
      <w:r>
        <w:t xml:space="preserve">value accounting and knowledge infrastructure built before scaling, practices that MAS’s 2024 thematic review and 2025 proposed guidelines later codified [68, 170].</w:t>
      </w:r>
    </w:p>
    <w:p>
      <w:pPr>
        <w:pStyle w:val="BodyText"/>
      </w:pPr>
      <w:r>
        <w:rPr>
          <w:bCs/>
          <w:b/>
        </w:rPr>
        <w:t xml:space="preserve">Other financial institutions.</w:t>
      </w:r>
      <w:r>
        <w:t xml:space="preserve"> </w:t>
      </w:r>
      <w:r>
        <w:t xml:space="preserve">Bank of America reports a 20% efficiency gain for developers from its coding tool and 90% employee use of its internal assistant, self-reported [215]. Wells Fargo’s assistant handled 245 million interactions in 2024 with a privacy architecture that scrubs PII before any model call, and its agentic build-out is explicitly designed to conform with its internal governance and risk framework [216]. Capital One describes a risk-tiered rollout (</w:t>
      </w:r>
      <w:r>
        <w:t xml:space="preserve">“</w:t>
      </w:r>
      <w:r>
        <w:t xml:space="preserve">start off at the low end of the risk spectrum</w:t>
      </w:r>
      <w:r>
        <w:t xml:space="preserve">”</w:t>
      </w:r>
      <w:r>
        <w:t xml:space="preserve">) with human-in-the-loop validation and retrieval on proprietary data, and rejects near-term ROI projection because inference costs have fallen roughly a thousandfold [217]. The Evident AI Index, an outside-in benchmark of the 50 largest banks on talent, innovation, leadership and transparency, ranked JPMorgan Chase, Capital One, RBC, CommBank and Morgan Stanley as the top five in October 2025 [218].</w:t>
      </w:r>
    </w:p>
    <w:p>
      <w:pPr>
        <w:pStyle w:val="BodyText"/>
      </w:pPr>
      <w:r>
        <w:rPr>
          <w:bCs/>
          <w:b/>
        </w:rPr>
        <w:t xml:space="preserve">Google.</w:t>
      </w:r>
      <w:r>
        <w:t xml:space="preserve"> </w:t>
      </w:r>
      <w:r>
        <w:t xml:space="preserve">The share of new code that is AI-generated and approved rose from more than 25% (October 2024) to well over 30% (April 2025) to 75% (April 2026), and an agent-assisted migration completed six times faster than engineers alone a year earlier [4, 47]. Google’s stated headline metric is a roughly 10% increase in engineering velocity, measured as hours of capacity created per week, and its internal RCT is one of the few enterprise randomized trials published by a hyperscaler [32, 47].</w:t>
      </w:r>
      <w:r>
        <w:t xml:space="preserve"> </w:t>
      </w:r>
      <w:r>
        <w:rPr>
          <w:iCs/>
          <w:i/>
        </w:rPr>
        <w:t xml:space="preserve">Readiness lesson:</w:t>
      </w:r>
      <w:r>
        <w:t xml:space="preserve"> </w:t>
      </w:r>
      <w:r>
        <w:t xml:space="preserve">exposure metrics for external communication, a capacity metric for management, and an RCT for calibration.</w:t>
      </w:r>
    </w:p>
    <w:p>
      <w:pPr>
        <w:pStyle w:val="BodyText"/>
      </w:pPr>
      <w:r>
        <w:rPr>
          <w:bCs/>
          <w:b/>
        </w:rPr>
        <w:t xml:space="preserve">Microsoft and GitHub.</w:t>
      </w:r>
      <w:r>
        <w:t xml:space="preserve"> </w:t>
      </w:r>
      <w:r>
        <w:t xml:space="preserve">GitHub Copilot reached 50 million users by July 2026, and</w:t>
      </w:r>
      <w:r>
        <w:t xml:space="preserve"> </w:t>
      </w:r>
      <w:r>
        <w:t xml:space="preserve">“</w:t>
      </w:r>
      <w:r>
        <w:t xml:space="preserve">one in three pull requests on GitHub now involves an agent</w:t>
      </w:r>
      <w:r>
        <w:t xml:space="preserve">”</w:t>
      </w:r>
      <w:r>
        <w:t xml:space="preserve"> </w:t>
      </w:r>
      <w:r>
        <w:t xml:space="preserve">[3]. GitHub productized governance for agents: the coding agent runs inside Actions with branch protections and separate approvers [95], and Agent HQ adds a control plane for agent permissions, audit logs, a metrics dashboard and AGENTS.md-defined custom agents [219]. The three field experiments co-authored by Microsoft researchers (at Microsoft, Accenture and a Fortune 100 firm) are the strongest published productivity evidence [31], and its CEO’s stated architectural principle, keep the harness separate from the model so that</w:t>
      </w:r>
      <w:r>
        <w:t xml:space="preserve"> </w:t>
      </w:r>
      <w:r>
        <w:t xml:space="preserve">“</w:t>
      </w:r>
      <w:r>
        <w:t xml:space="preserve">any given model at any given time is swappable,</w:t>
      </w:r>
      <w:r>
        <w:t xml:space="preserve">”</w:t>
      </w:r>
      <w:r>
        <w:t xml:space="preserve"> </w:t>
      </w:r>
      <w:r>
        <w:t xml:space="preserve">is a readiness principle in itself [3].</w:t>
      </w:r>
      <w:r>
        <w:t xml:space="preserve"> </w:t>
      </w:r>
      <w:r>
        <w:rPr>
          <w:iCs/>
          <w:i/>
        </w:rPr>
        <w:t xml:space="preserve">Readiness lesson:</w:t>
      </w:r>
      <w:r>
        <w:t xml:space="preserve"> </w:t>
      </w:r>
      <w:r>
        <w:t xml:space="preserve">governance as platform capability; model-swappable harness design.</w:t>
      </w:r>
    </w:p>
    <w:p>
      <w:pPr>
        <w:pStyle w:val="BodyText"/>
      </w:pPr>
      <w:r>
        <w:rPr>
          <w:bCs/>
          <w:b/>
        </w:rPr>
        <w:t xml:space="preserve">Amazon.</w:t>
      </w:r>
      <w:r>
        <w:t xml:space="preserve"> </w:t>
      </w:r>
      <w:r>
        <w:t xml:space="preserve">Q Developer’s Java upgrade agent migrated tens of thousands of production applications from Java 8 and 11 to 17, with an estimated 4,500 developer-years saved and $260 million in annualized efficiency [220]. Kiro encodes spec-driven development with event-driven hooks for tests and security scans [109], and the CEO’s 2025 memo made AI upskilling an explicit workforce expectation while forecasting a smaller corporate workforce [221].</w:t>
      </w:r>
      <w:r>
        <w:t xml:space="preserve"> </w:t>
      </w:r>
      <w:r>
        <w:rPr>
          <w:iCs/>
          <w:i/>
        </w:rPr>
        <w:t xml:space="preserve">Readiness lesson:</w:t>
      </w:r>
      <w:r>
        <w:t xml:space="preserve"> </w:t>
      </w:r>
      <w:r>
        <w:t xml:space="preserve">agents deliver most cleanly on high-volume, well-specified toil with automated verification.</w:t>
      </w:r>
    </w:p>
    <w:p>
      <w:pPr>
        <w:pStyle w:val="BodyText"/>
      </w:pPr>
      <w:r>
        <w:rPr>
          <w:bCs/>
          <w:b/>
        </w:rPr>
        <w:t xml:space="preserve">Anthropic (internal).</w:t>
      </w:r>
      <w:r>
        <w:t xml:space="preserve"> </w:t>
      </w:r>
      <w:r>
        <w:t xml:space="preserve">An internal study of 132 engineers and researchers, 53 interviews and about 200,000 Claude Code transcripts found employees using Claude in 59% of daily work (28% a year earlier), self-reported productivity gains of about 50%, and 27% of assisted work that</w:t>
      </w:r>
      <w:r>
        <w:t xml:space="preserve"> </w:t>
      </w:r>
      <w:r>
        <w:t xml:space="preserve">“</w:t>
      </w:r>
      <w:r>
        <w:t xml:space="preserve">wouldn’t have been completed otherwise</w:t>
      </w:r>
      <w:r>
        <w:t xml:space="preserve">”</w:t>
      </w:r>
      <w:r>
        <w:t xml:space="preserve">; yet most staff could fully delegate only 0-20% of their work, and concerns about</w:t>
      </w:r>
      <w:r>
        <w:t xml:space="preserve"> </w:t>
      </w:r>
      <w:r>
        <w:t xml:space="preserve">“</w:t>
      </w:r>
      <w:r>
        <w:t xml:space="preserve">skills atrophying</w:t>
      </w:r>
      <w:r>
        <w:t xml:space="preserve">”</w:t>
      </w:r>
      <w:r>
        <w:t xml:space="preserve"> </w:t>
      </w:r>
      <w:r>
        <w:t xml:space="preserve">and lost collateral learning were explicit [222].</w:t>
      </w:r>
      <w:r>
        <w:t xml:space="preserve"> </w:t>
      </w:r>
      <w:r>
        <w:rPr>
          <w:iCs/>
          <w:i/>
        </w:rPr>
        <w:t xml:space="preserve">Readiness lesson:</w:t>
      </w:r>
      <w:r>
        <w:t xml:space="preserve"> </w:t>
      </w:r>
      <w:r>
        <w:t xml:space="preserve">delegability, not usage, is the ceiling, and skill maintenance is a readiness risk even at the frontier.</w:t>
      </w:r>
    </w:p>
    <w:p>
      <w:pPr>
        <w:pStyle w:val="BodyText"/>
      </w:pPr>
      <w:r>
        <w:rPr>
          <w:bCs/>
          <w:b/>
        </w:rPr>
        <w:t xml:space="preserve">Adoption-policy cases.</w:t>
      </w:r>
      <w:r>
        <w:t xml:space="preserve"> </w:t>
      </w:r>
      <w:r>
        <w:t xml:space="preserve">Shopify made</w:t>
      </w:r>
      <w:r>
        <w:t xml:space="preserve"> </w:t>
      </w:r>
      <w:r>
        <w:t xml:space="preserve">“</w:t>
      </w:r>
      <w:r>
        <w:t xml:space="preserve">reflexive AI usage</w:t>
      </w:r>
      <w:r>
        <w:t xml:space="preserve">”</w:t>
      </w:r>
      <w:r>
        <w:t xml:space="preserve"> </w:t>
      </w:r>
      <w:r>
        <w:t xml:space="preserve">a baseline expectation and required teams to show why AI cannot do a job before requesting headcount [223]; Coinbase mandated tool onboarding within a week, dismissed engineers who declined without reason, and paired the mandate with a repository sensitivity matrix [45]; Salesforce announced an engineering hiring freeze on a claimed 30% productivity gain and later cut support headcount from 9,000 to about 5,000 [224]; Klarna, having claimed an assistant equivalent to 700 agents, reversed toward human support when its CEO concluded that</w:t>
      </w:r>
      <w:r>
        <w:t xml:space="preserve"> </w:t>
      </w:r>
      <w:r>
        <w:t xml:space="preserve">“</w:t>
      </w:r>
      <w:r>
        <w:t xml:space="preserve">cost unfortunately seems to have been a too predominant evaluation factor,</w:t>
      </w:r>
      <w:r>
        <w:t xml:space="preserve">”</w:t>
      </w:r>
      <w:r>
        <w:t xml:space="preserve"> </w:t>
      </w:r>
      <w:r>
        <w:t xml:space="preserve">producing</w:t>
      </w:r>
      <w:r>
        <w:t xml:space="preserve"> </w:t>
      </w:r>
      <w:r>
        <w:t xml:space="preserve">“</w:t>
      </w:r>
      <w:r>
        <w:t xml:space="preserve">lower quality</w:t>
      </w:r>
      <w:r>
        <w:t xml:space="preserve">”</w:t>
      </w:r>
      <w:r>
        <w:t xml:space="preserve"> </w:t>
      </w:r>
      <w:r>
        <w:t xml:space="preserve">[225].</w:t>
      </w:r>
      <w:r>
        <w:t xml:space="preserve"> </w:t>
      </w:r>
      <w:r>
        <w:rPr>
          <w:iCs/>
          <w:i/>
        </w:rPr>
        <w:t xml:space="preserve">Readiness lesson:</w:t>
      </w:r>
      <w:r>
        <w:t xml:space="preserve"> </w:t>
      </w:r>
      <w:r>
        <w:t xml:space="preserve">usage mandates and headcount decisions announced ahead of outcome measurement are the most common public failure pattern; Klarna is the cleanest example of a cost-only metric degrading quality.</w:t>
      </w:r>
    </w:p>
    <w:bookmarkEnd w:id="41"/>
    <w:bookmarkStart w:id="42" w:name="academic-guidance"/>
    <w:p>
      <w:pPr>
        <w:pStyle w:val="Heading3"/>
      </w:pPr>
      <w:r>
        <w:t xml:space="preserve">4.5 Academic guidance</w:t>
      </w:r>
    </w:p>
    <w:p>
      <w:pPr>
        <w:pStyle w:val="FirstParagraph"/>
      </w:pPr>
      <w:r>
        <w:t xml:space="preserve">Academic work bears on four questions: how to build a maturity model, what readiness consists of, how AI creates value, and how to measure effect.</w:t>
      </w:r>
    </w:p>
    <w:p>
      <w:pPr>
        <w:pStyle w:val="BodyText"/>
      </w:pPr>
      <w:r>
        <w:rPr>
          <w:bCs/>
          <w:b/>
        </w:rPr>
        <w:t xml:space="preserve">How to build a defensible model.</w:t>
      </w:r>
      <w:r>
        <w:t xml:space="preserve"> </w:t>
      </w:r>
      <w:r>
        <w:t xml:space="preserve">de Bruin et al. set out the phases of scope, design, populate, test, deploy and maintain [226]. Becker et al.’s requirements R1-R8 (comparison with existing models, iterative procedure, evaluation, multi-methodological design, problem relevance, problem definition, targeted presentation, scientific documentation) and Pöppelbuß and Röglinger’s design principles (basic information, central constructs, assessment criteria and methodology, improvement measures, decision calculus) are the checklist against which Section 5 was written [49, 50]. Mettler’s critique that maturity models produce bureaucracy without theory is the standing warning [51].</w:t>
      </w:r>
    </w:p>
    <w:p>
      <w:pPr>
        <w:pStyle w:val="BodyText"/>
      </w:pPr>
      <w:r>
        <w:rPr>
          <w:bCs/>
          <w:b/>
        </w:rPr>
        <w:t xml:space="preserve">What readiness consists of.</w:t>
      </w:r>
      <w:r>
        <w:t xml:space="preserve"> </w:t>
      </w:r>
      <w:r>
        <w:t xml:space="preserve">Jöhnk et al.’s interview study yields five categories, 18 factors and 58 indicators: strategic alignment, resources, knowledge, culture and data, with the insight that readiness is specific to the adoption purpose [5]. Mikalef and Gupta define AI capability as the ability</w:t>
      </w:r>
      <w:r>
        <w:t xml:space="preserve"> </w:t>
      </w:r>
      <w:r>
        <w:t xml:space="preserve">“</w:t>
      </w:r>
      <w:r>
        <w:t xml:space="preserve">to select, orchestrate, and leverage</w:t>
      </w:r>
      <w:r>
        <w:t xml:space="preserve">”</w:t>
      </w:r>
      <w:r>
        <w:t xml:space="preserve"> </w:t>
      </w:r>
      <w:r>
        <w:t xml:space="preserve">eight resources (data, technology, basic resources, technical and business skills, inter-departmental coordination, change capacity, risk proclivity) and validate an instrument on 143 managers [227]. Uren and Edwards show that the lower the technology readiness level of the technology being adopted, the greater the organizational readiness required, which applies directly to agents whose reliability is still maturing [228]. Tehrani et al. find eight readiness dimensions in 52 multinationals and insist readiness is</w:t>
      </w:r>
      <w:r>
        <w:t xml:space="preserve"> </w:t>
      </w:r>
      <w:r>
        <w:t xml:space="preserve">“</w:t>
      </w:r>
      <w:r>
        <w:t xml:space="preserve">a degree,</w:t>
      </w:r>
      <w:r>
        <w:t xml:space="preserve">”</w:t>
      </w:r>
      <w:r>
        <w:t xml:space="preserve"> </w:t>
      </w:r>
      <w:r>
        <w:t xml:space="preserve">not a binary [229]. Hirtranusi et al.’s 2026 systematic review consolidates 124 readiness indicators into 35 factors across technology, organization and environment [230]. Earlier TOE-based framings and factor reviews complete the lineage [231-234].</w:t>
      </w:r>
    </w:p>
    <w:p>
      <w:pPr>
        <w:pStyle w:val="BodyText"/>
      </w:pPr>
      <w:r>
        <w:rPr>
          <w:bCs/>
          <w:b/>
        </w:rPr>
        <w:t xml:space="preserve">How AI creates value.</w:t>
      </w:r>
      <w:r>
        <w:t xml:space="preserve"> </w:t>
      </w:r>
      <w:r>
        <w:t xml:space="preserve">Enholm et al. link enablers and inhibitors to typologies of use and to first-order (process) and second-order (firm) effects, a structure that explains why adoption counts and value diverge [235]. The design-science and readiness literatures agree that validation is the weak point; Sadiq et al.’s finding that fewer than half of AI maturity models are empirically validated is the number to remember [52].</w:t>
      </w:r>
    </w:p>
    <w:p>
      <w:pPr>
        <w:pStyle w:val="BodyText"/>
      </w:pPr>
      <w:r>
        <w:rPr>
          <w:bCs/>
          <w:b/>
        </w:rPr>
        <w:t xml:space="preserve">How to measure effect.</w:t>
      </w:r>
      <w:r>
        <w:t xml:space="preserve"> </w:t>
      </w:r>
      <w:r>
        <w:t xml:space="preserve">The evidence hierarchy in software is now reasonably clear. Randomized field experiments (Cui et al.; Paradis et al.; METR) rank highest, with heterogeneity by experience, task type and codebase maturity as the consistent finding [28, 31, 32]. Large-N vendor telemetry (Faros, GitClear, Uplevel) is directionally informative but observational and self-selected [39-41]. Surveys (Stack Overflow, DORA, Atlassian) measure sentiment and trust, not throughput [38, 48, 236]. Outside software, Dell’Acqua et al.’s jagged frontier and Brynjolfsson et al.’s novice-concentrated gains are the reference results [34, 35]. METR’s task-substitution note supplies the formal caution that speedups on observed tasks bound value only loosely [36]. Usage data adds a learning-curve effect that measurement designs must control for: users with six or more months of tenure are several percentage points more likely to have a successful interaction and more likely to use AI for work tasks, subject to survivorship caveats [237].</w:t>
      </w:r>
    </w:p>
    <w:p>
      <w:pPr>
        <w:pStyle w:val="BodyText"/>
      </w:pPr>
      <w:r>
        <w:rPr>
          <w:bCs/>
          <w:b/>
        </w:rPr>
        <w:t xml:space="preserve">Where software engineering is heading.</w:t>
      </w:r>
      <w:r>
        <w:t xml:space="preserve"> </w:t>
      </w:r>
      <w:r>
        <w:t xml:space="preserve">Hassan et al.’s SE 3.0 vision (intent-first, conversation-oriented development with AI teammates, IDEs, compilers and runtimes re-designed around agents) and the agentic software engineering roadmap that followed provide the vocabulary in which readiness can be discussed: briefing, mentoring, agent command and execution environments, and merge-readiness packs [110, 238].</w:t>
      </w:r>
    </w:p>
    <w:bookmarkEnd w:id="42"/>
    <w:bookmarkStart w:id="43" w:name="gap-analysis"/>
    <w:p>
      <w:pPr>
        <w:pStyle w:val="Heading3"/>
      </w:pPr>
      <w:r>
        <w:t xml:space="preserve">4.6 Gap analysis</w:t>
      </w:r>
    </w:p>
    <w:p>
      <w:pPr>
        <w:pStyle w:val="FirstParagraph"/>
      </w:pPr>
      <w:r>
        <w:t xml:space="preserve">Setting the components against the problem statement of Section 2.5:</w:t>
      </w:r>
    </w:p>
    <w:tbl>
      <w:tblPr>
        <w:tblStyle w:val="Table"/>
        <w:tblW w:type="pct" w:w="5000"/>
        <w:tblLook w:firstRow="1" w:lastRow="0" w:firstColumn="0" w:lastColumn="0" w:noHBand="0" w:noVBand="0" w:val="0020"/>
        <w:jc w:val="start"/>
        <w:tblBorders>
          <w:top w:val="single" w:sz="4" w:color="C9D1D8"/>
          <w:left w:val="single" w:sz="4" w:color="C9D1D8"/>
          <w:bottom w:val="single" w:sz="4" w:color="C9D1D8"/>
          <w:right w:val="single" w:sz="4" w:color="C9D1D8"/>
          <w:insideH w:val="single" w:sz="4" w:color="C9D1D8"/>
          <w:insideV w:val="single" w:sz="4" w:color="C9D1D8"/>
        </w:tblBorders>
      </w:tblPr>
      <w:tblGrid>
        <w:gridCol w:w="2640"/>
        <w:gridCol w:w="2640"/>
        <w:gridCol w:w="2640"/>
      </w:tblGrid>
      <w:tr>
        <w:trPr>
          <w:tblHeader w:val="true"/>
        </w:trPr>
        <w:tc>
          <w:tcPr>
            <w:shd w:val="clear" w:color="auto" w:fill="EEF2F6"/>
          </w:tcPr>
          <w:p>
            <w:pPr>
              <w:pStyle w:val="Compact"/>
              <w:spacing w:after="40"/>
              <w:jc w:val="left"/>
            </w:pPr>
            <w:r>
              <w:rPr>
                <w:rFonts w:ascii="Calibri" w:hAnsi="Calibri"/>
                <w:b/>
                <w:sz w:val="17"/>
              </w:rPr>
              <w:t xml:space="preserve">Requirement</w:t>
            </w:r>
          </w:p>
        </w:tc>
        <w:tc>
          <w:tcPr>
            <w:shd w:val="clear" w:color="auto" w:fill="EEF2F6"/>
          </w:tcPr>
          <w:p>
            <w:pPr>
              <w:pStyle w:val="Compact"/>
              <w:spacing w:after="40"/>
              <w:jc w:val="left"/>
            </w:pPr>
            <w:r>
              <w:rPr>
                <w:rFonts w:ascii="Calibri" w:hAnsi="Calibri"/>
                <w:b/>
                <w:sz w:val="17"/>
              </w:rPr>
              <w:t xml:space="preserve">Best existing component</w:t>
            </w:r>
          </w:p>
        </w:tc>
        <w:tc>
          <w:tcPr>
            <w:shd w:val="clear" w:color="auto" w:fill="EEF2F6"/>
          </w:tcPr>
          <w:p>
            <w:pPr>
              <w:pStyle w:val="Compact"/>
              <w:spacing w:after="40"/>
              <w:jc w:val="left"/>
            </w:pPr>
            <w:r>
              <w:rPr>
                <w:rFonts w:ascii="Calibri" w:hAnsi="Calibri"/>
                <w:b/>
                <w:sz w:val="17"/>
              </w:rPr>
              <w:t xml:space="preserve">Gap</w:t>
            </w:r>
          </w:p>
        </w:tc>
      </w:tr>
      <w:tr>
        <w:tc>
          <w:tcPr/>
          <w:p>
            <w:pPr>
              <w:pStyle w:val="Compact"/>
              <w:spacing w:after="40"/>
              <w:jc w:val="left"/>
            </w:pPr>
            <w:r>
              <w:rPr>
                <w:rFonts w:ascii="Calibri" w:hAnsi="Calibri"/>
                <w:sz w:val="17"/>
              </w:rPr>
              <w:t xml:space="preserve">(a) System-level outcome measurement</w:t>
            </w:r>
          </w:p>
        </w:tc>
        <w:tc>
          <w:tcPr/>
          <w:p>
            <w:pPr>
              <w:pStyle w:val="Compact"/>
              <w:spacing w:after="40"/>
              <w:jc w:val="left"/>
            </w:pPr>
            <w:r>
              <w:rPr>
                <w:rFonts w:ascii="Calibri" w:hAnsi="Calibri"/>
                <w:sz w:val="17"/>
              </w:rPr>
              <w:t xml:space="preserve">DORA five metrics; SPACE; DX AI framework; RCT designs</w:t>
            </w:r>
          </w:p>
        </w:tc>
        <w:tc>
          <w:tcPr/>
          <w:p>
            <w:pPr>
              <w:pStyle w:val="Compact"/>
              <w:spacing w:after="40"/>
              <w:jc w:val="left"/>
            </w:pPr>
            <w:r>
              <w:rPr>
                <w:rFonts w:ascii="Calibri" w:hAnsi="Calibri"/>
                <w:sz w:val="17"/>
              </w:rPr>
              <w:t xml:space="preserve">Practitioner instruments are not linked to maturity stages; RCTs are rare outside hyperscalers</w:t>
            </w:r>
          </w:p>
        </w:tc>
      </w:tr>
      <w:tr>
        <w:tc>
          <w:tcPr/>
          <w:p>
            <w:pPr>
              <w:pStyle w:val="Compact"/>
              <w:spacing w:after="40"/>
              <w:jc w:val="left"/>
            </w:pPr>
            <w:r>
              <w:rPr>
                <w:rFonts w:ascii="Calibri" w:hAnsi="Calibri"/>
                <w:sz w:val="17"/>
              </w:rPr>
              <w:t xml:space="preserve">(b) Readiness at agent granularity</w:t>
            </w:r>
          </w:p>
        </w:tc>
        <w:tc>
          <w:tcPr/>
          <w:p>
            <w:pPr>
              <w:pStyle w:val="Compact"/>
              <w:spacing w:after="40"/>
              <w:jc w:val="left"/>
            </w:pPr>
            <w:r>
              <w:rPr>
                <w:rFonts w:ascii="Calibri" w:hAnsi="Calibri"/>
                <w:sz w:val="17"/>
              </w:rPr>
              <w:t xml:space="preserve">DORA AI Capabilities Model; ML Test Score; benchmark-construction evidence (Verified, SWE-Bench+, infrastructure noise); context-file study</w:t>
            </w:r>
          </w:p>
        </w:tc>
        <w:tc>
          <w:tcPr/>
          <w:p>
            <w:pPr>
              <w:pStyle w:val="Compact"/>
              <w:spacing w:after="40"/>
              <w:jc w:val="left"/>
            </w:pPr>
            <w:r>
              <w:rPr>
                <w:rFonts w:ascii="Calibri" w:hAnsi="Calibri"/>
                <w:sz w:val="17"/>
              </w:rPr>
              <w:t xml:space="preserve">No published repository- or workflow-level readiness index; evidence scattered across vendors and benchmarks</w:t>
            </w:r>
          </w:p>
        </w:tc>
      </w:tr>
      <w:tr>
        <w:tc>
          <w:tcPr/>
          <w:p>
            <w:pPr>
              <w:pStyle w:val="Compact"/>
              <w:spacing w:after="40"/>
              <w:jc w:val="left"/>
            </w:pPr>
            <w:r>
              <w:rPr>
                <w:rFonts w:ascii="Calibri" w:hAnsi="Calibri"/>
                <w:sz w:val="17"/>
              </w:rPr>
              <w:t xml:space="preserve">(c) Regulator-grade evidence</w:t>
            </w:r>
          </w:p>
        </w:tc>
        <w:tc>
          <w:tcPr/>
          <w:p>
            <w:pPr>
              <w:pStyle w:val="Compact"/>
              <w:spacing w:after="40"/>
              <w:jc w:val="left"/>
            </w:pPr>
            <w:r>
              <w:rPr>
                <w:rFonts w:ascii="Calibri" w:hAnsi="Calibri"/>
                <w:sz w:val="17"/>
              </w:rPr>
              <w:t xml:space="preserve">MAS proposed guidelines; ISO/IEC 42001; EU AI Act evidence set; IMDA agentic framework; NIST agent work</w:t>
            </w:r>
          </w:p>
        </w:tc>
        <w:tc>
          <w:tcPr/>
          <w:p>
            <w:pPr>
              <w:pStyle w:val="Compact"/>
              <w:spacing w:after="40"/>
              <w:jc w:val="left"/>
            </w:pPr>
            <w:r>
              <w:rPr>
                <w:rFonts w:ascii="Calibri" w:hAnsi="Calibri"/>
                <w:sz w:val="17"/>
              </w:rPr>
              <w:t xml:space="preserve">Frameworks specify evidence, not stages; US MRM currently excludes generative and agentic AI</w:t>
            </w:r>
          </w:p>
        </w:tc>
      </w:tr>
      <w:tr>
        <w:tc>
          <w:tcPr/>
          <w:p>
            <w:pPr>
              <w:pStyle w:val="Compact"/>
              <w:spacing w:after="40"/>
              <w:jc w:val="left"/>
            </w:pPr>
            <w:r>
              <w:rPr>
                <w:rFonts w:ascii="Calibri" w:hAnsi="Calibri"/>
                <w:sz w:val="17"/>
              </w:rPr>
              <w:t xml:space="preserve">(d) Defensible model design</w:t>
            </w:r>
          </w:p>
        </w:tc>
        <w:tc>
          <w:tcPr/>
          <w:p>
            <w:pPr>
              <w:pStyle w:val="Compact"/>
              <w:spacing w:after="40"/>
              <w:jc w:val="left"/>
            </w:pPr>
            <w:r>
              <w:rPr>
                <w:rFonts w:ascii="Calibri" w:hAnsi="Calibri"/>
                <w:sz w:val="17"/>
              </w:rPr>
              <w:t xml:space="preserve">Becker R1-R8; Pöppelbuß and Röglinger principles; MIT CISR and BCG outcome linkage</w:t>
            </w:r>
          </w:p>
        </w:tc>
        <w:tc>
          <w:tcPr/>
          <w:p>
            <w:pPr>
              <w:pStyle w:val="Compact"/>
              <w:spacing w:after="40"/>
              <w:jc w:val="left"/>
            </w:pPr>
            <w:r>
              <w:rPr>
                <w:rFonts w:ascii="Calibri" w:hAnsi="Calibri"/>
                <w:sz w:val="17"/>
              </w:rPr>
              <w:t xml:space="preserve">Industry models are descriptive and self-report staged; agentic models have no outcome validation</w:t>
            </w:r>
          </w:p>
        </w:tc>
      </w:tr>
    </w:tbl>
    <w:p>
      <w:pPr>
        <w:pStyle w:val="BodyText"/>
      </w:pPr>
      <w:r>
        <w:t xml:space="preserve">Section 5 assembles a model from these components rather than inventing new dimensions.</w:t>
      </w:r>
    </w:p>
    <w:bookmarkEnd w:id="43"/>
    <w:bookmarkEnd w:id="44"/>
    <w:bookmarkStart w:id="53" w:name="Xb4fed4a7ecf4ac537be528b6fa4a39279c325d7"/>
    <w:p>
      <w:pPr>
        <w:pStyle w:val="Heading2"/>
      </w:pPr>
      <w:r>
        <w:t xml:space="preserve">5. What a regular company can do: the AIMM framework</w:t>
      </w:r>
    </w:p>
    <w:p>
      <w:pPr>
        <w:pStyle w:val="FirstParagraph"/>
      </w:pPr>
      <w:r>
        <w:t xml:space="preserve">“</w:t>
      </w:r>
      <w:r>
        <w:t xml:space="preserve">Regular company</w:t>
      </w:r>
      <w:r>
        <w:t xml:space="preserve">”</w:t>
      </w:r>
      <w:r>
        <w:t xml:space="preserve"> </w:t>
      </w:r>
      <w:r>
        <w:t xml:space="preserve">here means an organization that is not a hyperscaler or a frontier lab: it buys or licenses models, runs one or more commercial harnesses, has hundreds to a few thousand engineers, a mixed estate of modern and legacy repositories, and at least one regulator or auditor who will ask for evidence. The framework below is built to be run by such an organization with the telemetry it already collects or can collect in a quarter.</w:t>
      </w:r>
    </w:p>
    <w:bookmarkStart w:id="45" w:name="design-principles"/>
    <w:p>
      <w:pPr>
        <w:pStyle w:val="Heading3"/>
      </w:pPr>
      <w:r>
        <w:t xml:space="preserve">5.1 Design principles</w:t>
      </w:r>
    </w:p>
    <w:p>
      <w:pPr>
        <w:pStyle w:val="FirstParagraph"/>
      </w:pPr>
      <w:r>
        <w:t xml:space="preserve">Six principles follow from Sections 2-4 and from the design-science requirements for maturity models [49, 50].</w:t>
      </w:r>
    </w:p>
    <w:p>
      <w:pPr>
        <w:numPr>
          <w:ilvl w:val="0"/>
          <w:numId w:val="1005"/>
        </w:numPr>
        <w:pStyle w:val="Compact"/>
      </w:pPr>
      <w:r>
        <w:rPr>
          <w:bCs/>
          <w:b/>
        </w:rPr>
        <w:t xml:space="preserve">Two layers, one instrument.</w:t>
      </w:r>
      <w:r>
        <w:t xml:space="preserve"> </w:t>
      </w:r>
      <w:r>
        <w:t xml:space="preserve">Organizational maturity and estate readiness are assessed separately and reported together, because a mature organization with an unready estate will not realize value, and a ready repository in an ungoverned organization will not be allowed to.</w:t>
      </w:r>
    </w:p>
    <w:p>
      <w:pPr>
        <w:numPr>
          <w:ilvl w:val="0"/>
          <w:numId w:val="1005"/>
        </w:numPr>
        <w:pStyle w:val="Compact"/>
      </w:pPr>
      <w:r>
        <w:rPr>
          <w:bCs/>
          <w:b/>
        </w:rPr>
        <w:t xml:space="preserve">Outcome over usage.</w:t>
      </w:r>
      <w:r>
        <w:t xml:space="preserve"> </w:t>
      </w:r>
      <w:r>
        <w:t xml:space="preserve">Usage (active users, share of AI-generated code, acceptance rate) is an input metric. Effectiveness is measured with delivery, quality, cost and risk outcomes, following DORA, SPACE and DX [139-141], and Google’s and Goldman Sachs’s own shift toward capacity and idea-to-production metrics [47, 196].</w:t>
      </w:r>
    </w:p>
    <w:p>
      <w:pPr>
        <w:numPr>
          <w:ilvl w:val="0"/>
          <w:numId w:val="1005"/>
        </w:numPr>
        <w:pStyle w:val="Compact"/>
      </w:pPr>
      <w:r>
        <w:rPr>
          <w:bCs/>
          <w:b/>
        </w:rPr>
        <w:t xml:space="preserve">Telemetry over self-report, and experiments where stakes justify them.</w:t>
      </w:r>
      <w:r>
        <w:t xml:space="preserve"> </w:t>
      </w:r>
      <w:r>
        <w:t xml:space="preserve">The evidence hierarchy of Section 4.5 governs which sources may support which claims; self-report may support satisfaction and trust findings, not ROI.</w:t>
      </w:r>
    </w:p>
    <w:p>
      <w:pPr>
        <w:numPr>
          <w:ilvl w:val="0"/>
          <w:numId w:val="1005"/>
        </w:numPr>
        <w:pStyle w:val="Compact"/>
      </w:pPr>
      <w:r>
        <w:rPr>
          <w:bCs/>
          <w:b/>
        </w:rPr>
        <w:t xml:space="preserve">Minimum-across scoring for readiness.</w:t>
      </w:r>
      <w:r>
        <w:t xml:space="preserve"> </w:t>
      </w:r>
      <w:r>
        <w:t xml:space="preserve">As in the ML Test Score, an estate’s agent-readiness score is the minimum across dimensions, because a single missing precondition (no reproducible build, no tests, no guardrails) invalidates the rest [55].</w:t>
      </w:r>
    </w:p>
    <w:p>
      <w:pPr>
        <w:numPr>
          <w:ilvl w:val="0"/>
          <w:numId w:val="1005"/>
        </w:numPr>
        <w:pStyle w:val="Compact"/>
      </w:pPr>
      <w:r>
        <w:rPr>
          <w:bCs/>
          <w:b/>
        </w:rPr>
        <w:t xml:space="preserve">Task-relative readiness.</w:t>
      </w:r>
      <w:r>
        <w:t xml:space="preserve"> </w:t>
      </w:r>
      <w:r>
        <w:t xml:space="preserve">A repository can be ready for dependency upgrades and unready for feature work; readiness is assessed per task class, following Lawrence’s data readiness levels and Jöhnk et al.’s purpose-specific readiness [5, 6].</w:t>
      </w:r>
    </w:p>
    <w:p>
      <w:pPr>
        <w:numPr>
          <w:ilvl w:val="0"/>
          <w:numId w:val="1005"/>
        </w:numPr>
        <w:pStyle w:val="Compact"/>
      </w:pPr>
      <w:r>
        <w:rPr>
          <w:bCs/>
          <w:b/>
        </w:rPr>
        <w:t xml:space="preserve">Evidence in the regulator’s shape.</w:t>
      </w:r>
      <w:r>
        <w:t xml:space="preserve"> </w:t>
      </w:r>
      <w:r>
        <w:t xml:space="preserve">Every organizational-layer criterion maps to at least one item in the fifteen-item regulatory evidence set of Section 4.3, so that the assessment doubles as the inventory-and-controls evidence MAS, ISO/IEC 42001, the EU AI Act and NIST expect [68, 150, 153, 162].</w:t>
      </w:r>
    </w:p>
    <w:bookmarkEnd w:id="45"/>
    <w:bookmarkStart w:id="46" w:name="layer-1-organizational-ai-maturity"/>
    <w:p>
      <w:pPr>
        <w:pStyle w:val="Heading3"/>
      </w:pPr>
      <w:r>
        <w:t xml:space="preserve">5.2 Layer 1: organizational AI maturity</w:t>
      </w:r>
    </w:p>
    <w:p>
      <w:pPr>
        <w:pStyle w:val="FirstParagraph"/>
      </w:pPr>
      <w:r>
        <w:t xml:space="preserve">Layer 1 uses six dimensions and five levels. The dimensions are the union of the recurring dimensions in Table 4.1, with</w:t>
      </w:r>
      <w:r>
        <w:t xml:space="preserve"> </w:t>
      </w:r>
      <w:r>
        <w:t xml:space="preserve">“</w:t>
      </w:r>
      <w:r>
        <w:t xml:space="preserve">data</w:t>
      </w:r>
      <w:r>
        <w:t xml:space="preserve">”</w:t>
      </w:r>
      <w:r>
        <w:t xml:space="preserve"> </w:t>
      </w:r>
      <w:r>
        <w:t xml:space="preserve">widened to</w:t>
      </w:r>
      <w:r>
        <w:t xml:space="preserve"> </w:t>
      </w:r>
      <w:r>
        <w:t xml:space="preserve">“</w:t>
      </w:r>
      <w:r>
        <w:t xml:space="preserve">data and knowledge</w:t>
      </w:r>
      <w:r>
        <w:t xml:space="preserve">”</w:t>
      </w:r>
      <w:r>
        <w:t xml:space="preserve"> </w:t>
      </w:r>
      <w:r>
        <w:t xml:space="preserve">because for agents the relevant asset is organizational knowledge as much as tabular data, and with measurement made a dimension in its own right. The level names follow CMM and the Microsoft agentic model, with level 1 renamed Exploratory, so that existing assessments can be mapped [7, 131].</w:t>
      </w:r>
    </w:p>
    <w:p>
      <w:pPr>
        <w:pStyle w:val="BodyText"/>
      </w:pPr>
      <w:r>
        <w:rPr>
          <w:bCs/>
          <w:b/>
        </w:rPr>
        <w:t xml:space="preserve">Table 5.1. Layer 1 dimensions, with evidence expected at each level</w:t>
      </w:r>
    </w:p>
    <w:tbl>
      <w:tblPr>
        <w:tblStyle w:val="Table"/>
        <w:tblW w:type="pct" w:w="5000"/>
        <w:tblLook w:firstRow="1" w:lastRow="0" w:firstColumn="0" w:lastColumn="0" w:noHBand="0" w:noVBand="0" w:val="0020"/>
        <w:jc w:val="start"/>
        <w:tblBorders>
          <w:top w:val="single" w:sz="4" w:color="C9D1D8"/>
          <w:left w:val="single" w:sz="4" w:color="C9D1D8"/>
          <w:bottom w:val="single" w:sz="4" w:color="C9D1D8"/>
          <w:right w:val="single" w:sz="4" w:color="C9D1D8"/>
          <w:insideH w:val="single" w:sz="4" w:color="C9D1D8"/>
          <w:insideV w:val="single" w:sz="4" w:color="C9D1D8"/>
        </w:tblBorders>
      </w:tblPr>
      <w:tblGrid>
        <w:gridCol w:w="1320"/>
        <w:gridCol w:w="1320"/>
        <w:gridCol w:w="1320"/>
        <w:gridCol w:w="1320"/>
        <w:gridCol w:w="1320"/>
        <w:gridCol w:w="1320"/>
      </w:tblGrid>
      <w:tr>
        <w:trPr>
          <w:tblHeader w:val="true"/>
        </w:trPr>
        <w:tc>
          <w:tcPr>
            <w:shd w:val="clear" w:color="auto" w:fill="EEF2F6"/>
          </w:tcPr>
          <w:p>
            <w:pPr>
              <w:pStyle w:val="Compact"/>
              <w:spacing w:after="40"/>
              <w:jc w:val="left"/>
            </w:pPr>
            <w:r>
              <w:rPr>
                <w:rFonts w:ascii="Calibri" w:hAnsi="Calibri"/>
                <w:b/>
                <w:sz w:val="17"/>
              </w:rPr>
              <w:t xml:space="preserve">Dimension</w:t>
            </w:r>
          </w:p>
        </w:tc>
        <w:tc>
          <w:tcPr>
            <w:shd w:val="clear" w:color="auto" w:fill="EEF2F6"/>
          </w:tcPr>
          <w:p>
            <w:pPr>
              <w:pStyle w:val="Compact"/>
              <w:spacing w:after="40"/>
              <w:jc w:val="left"/>
            </w:pPr>
            <w:r>
              <w:rPr>
                <w:rFonts w:ascii="Calibri" w:hAnsi="Calibri"/>
                <w:b/>
                <w:sz w:val="17"/>
              </w:rPr>
              <w:t xml:space="preserve">Level 1 Exploratory</w:t>
            </w:r>
          </w:p>
        </w:tc>
        <w:tc>
          <w:tcPr>
            <w:shd w:val="clear" w:color="auto" w:fill="EEF2F6"/>
          </w:tcPr>
          <w:p>
            <w:pPr>
              <w:pStyle w:val="Compact"/>
              <w:spacing w:after="40"/>
              <w:jc w:val="left"/>
            </w:pPr>
            <w:r>
              <w:rPr>
                <w:rFonts w:ascii="Calibri" w:hAnsi="Calibri"/>
                <w:b/>
                <w:sz w:val="17"/>
              </w:rPr>
              <w:t xml:space="preserve">Level 2 Repeatable</w:t>
            </w:r>
          </w:p>
        </w:tc>
        <w:tc>
          <w:tcPr>
            <w:shd w:val="clear" w:color="auto" w:fill="EEF2F6"/>
          </w:tcPr>
          <w:p>
            <w:pPr>
              <w:pStyle w:val="Compact"/>
              <w:spacing w:after="40"/>
              <w:jc w:val="left"/>
            </w:pPr>
            <w:r>
              <w:rPr>
                <w:rFonts w:ascii="Calibri" w:hAnsi="Calibri"/>
                <w:b/>
                <w:sz w:val="17"/>
              </w:rPr>
              <w:t xml:space="preserve">Level 3 Defined</w:t>
            </w:r>
          </w:p>
        </w:tc>
        <w:tc>
          <w:tcPr>
            <w:shd w:val="clear" w:color="auto" w:fill="EEF2F6"/>
          </w:tcPr>
          <w:p>
            <w:pPr>
              <w:pStyle w:val="Compact"/>
              <w:spacing w:after="40"/>
              <w:jc w:val="left"/>
            </w:pPr>
            <w:r>
              <w:rPr>
                <w:rFonts w:ascii="Calibri" w:hAnsi="Calibri"/>
                <w:b/>
                <w:sz w:val="17"/>
              </w:rPr>
              <w:t xml:space="preserve">Level 4 Managed</w:t>
            </w:r>
          </w:p>
        </w:tc>
        <w:tc>
          <w:tcPr>
            <w:shd w:val="clear" w:color="auto" w:fill="EEF2F6"/>
          </w:tcPr>
          <w:p>
            <w:pPr>
              <w:pStyle w:val="Compact"/>
              <w:spacing w:after="40"/>
              <w:jc w:val="left"/>
            </w:pPr>
            <w:r>
              <w:rPr>
                <w:rFonts w:ascii="Calibri" w:hAnsi="Calibri"/>
                <w:b/>
                <w:sz w:val="17"/>
              </w:rPr>
              <w:t xml:space="preserve">Level 5 Optimizing</w:t>
            </w:r>
          </w:p>
        </w:tc>
      </w:tr>
      <w:tr>
        <w:tc>
          <w:tcPr/>
          <w:p>
            <w:pPr>
              <w:pStyle w:val="Compact"/>
              <w:spacing w:after="40"/>
              <w:jc w:val="left"/>
            </w:pPr>
            <w:r>
              <w:rPr>
                <w:bCs/>
                <w:rFonts w:ascii="Calibri" w:hAnsi="Calibri"/>
                <w:b/>
                <w:sz w:val="17"/>
              </w:rPr>
              <w:t xml:space="preserve">Strategy and operating model</w:t>
            </w:r>
          </w:p>
        </w:tc>
        <w:tc>
          <w:tcPr/>
          <w:p>
            <w:pPr>
              <w:pStyle w:val="Compact"/>
              <w:spacing w:after="40"/>
              <w:jc w:val="left"/>
            </w:pPr>
            <w:r>
              <w:rPr>
                <w:rFonts w:ascii="Calibri" w:hAnsi="Calibri"/>
                <w:sz w:val="17"/>
              </w:rPr>
              <w:t xml:space="preserve">Individual experiments; no AI stance</w:t>
            </w:r>
          </w:p>
        </w:tc>
        <w:tc>
          <w:tcPr/>
          <w:p>
            <w:pPr>
              <w:pStyle w:val="Compact"/>
              <w:spacing w:after="40"/>
              <w:jc w:val="left"/>
            </w:pPr>
            <w:r>
              <w:rPr>
                <w:rFonts w:ascii="Calibri" w:hAnsi="Calibri"/>
                <w:sz w:val="17"/>
              </w:rPr>
              <w:t xml:space="preserve">Team-level use cases; informal patterns</w:t>
            </w:r>
          </w:p>
        </w:tc>
        <w:tc>
          <w:tcPr/>
          <w:p>
            <w:pPr>
              <w:pStyle w:val="Compact"/>
              <w:spacing w:after="40"/>
              <w:jc w:val="left"/>
            </w:pPr>
            <w:r>
              <w:rPr>
                <w:rFonts w:ascii="Calibri" w:hAnsi="Calibri"/>
                <w:sz w:val="17"/>
              </w:rPr>
              <w:t xml:space="preserve">Published AI stance and policy (DORA capability 1); use-case prioritization; workflow redesign in pilot</w:t>
            </w:r>
          </w:p>
        </w:tc>
        <w:tc>
          <w:tcPr/>
          <w:p>
            <w:pPr>
              <w:pStyle w:val="Compact"/>
              <w:spacing w:after="40"/>
              <w:jc w:val="left"/>
            </w:pPr>
            <w:r>
              <w:rPr>
                <w:rFonts w:ascii="Calibri" w:hAnsi="Calibri"/>
                <w:sz w:val="17"/>
              </w:rPr>
              <w:t xml:space="preserve">AI in business plans and risk appetite; workflows redesigned end to end for priority processes</w:t>
            </w:r>
          </w:p>
        </w:tc>
        <w:tc>
          <w:tcPr/>
          <w:p>
            <w:pPr>
              <w:pStyle w:val="Compact"/>
              <w:spacing w:after="40"/>
              <w:jc w:val="left"/>
            </w:pPr>
            <w:r>
              <w:rPr>
                <w:rFonts w:ascii="Calibri" w:hAnsi="Calibri"/>
                <w:sz w:val="17"/>
              </w:rPr>
              <w:t xml:space="preserve">AI-first operating model; continuous portfolio rebalancing on measured value</w:t>
            </w:r>
          </w:p>
        </w:tc>
      </w:tr>
      <w:tr>
        <w:tc>
          <w:tcPr/>
          <w:p>
            <w:pPr>
              <w:pStyle w:val="Compact"/>
              <w:spacing w:after="40"/>
              <w:jc w:val="left"/>
            </w:pPr>
            <w:r>
              <w:rPr>
                <w:bCs/>
                <w:rFonts w:ascii="Calibri" w:hAnsi="Calibri"/>
                <w:b/>
                <w:sz w:val="17"/>
              </w:rPr>
              <w:t xml:space="preserve">Data and knowledge</w:t>
            </w:r>
          </w:p>
        </w:tc>
        <w:tc>
          <w:tcPr/>
          <w:p>
            <w:pPr>
              <w:pStyle w:val="Compact"/>
              <w:spacing w:after="40"/>
              <w:jc w:val="left"/>
            </w:pPr>
            <w:r>
              <w:rPr>
                <w:rFonts w:ascii="Calibri" w:hAnsi="Calibri"/>
                <w:sz w:val="17"/>
              </w:rPr>
              <w:t xml:space="preserve">Knowledge in heads and chat channels</w:t>
            </w:r>
          </w:p>
        </w:tc>
        <w:tc>
          <w:tcPr/>
          <w:p>
            <w:pPr>
              <w:pStyle w:val="Compact"/>
              <w:spacing w:after="40"/>
              <w:jc w:val="left"/>
            </w:pPr>
            <w:r>
              <w:rPr>
                <w:rFonts w:ascii="Calibri" w:hAnsi="Calibri"/>
                <w:sz w:val="17"/>
              </w:rPr>
              <w:t xml:space="preserve">Some documentation; ad hoc retrieval</w:t>
            </w:r>
          </w:p>
        </w:tc>
        <w:tc>
          <w:tcPr/>
          <w:p>
            <w:pPr>
              <w:pStyle w:val="Compact"/>
              <w:spacing w:after="40"/>
              <w:jc w:val="left"/>
            </w:pPr>
            <w:r>
              <w:rPr>
                <w:rFonts w:ascii="Calibri" w:hAnsi="Calibri"/>
                <w:sz w:val="17"/>
              </w:rPr>
              <w:t xml:space="preserve">Inventory of knowledge sources; certified sources for constraints, conventions, estate facts, decisions, procedures; AI-accessible internal data (DORA capability 3)</w:t>
            </w:r>
          </w:p>
        </w:tc>
        <w:tc>
          <w:tcPr/>
          <w:p>
            <w:pPr>
              <w:pStyle w:val="Compact"/>
              <w:spacing w:after="40"/>
              <w:jc w:val="left"/>
            </w:pPr>
            <w:r>
              <w:rPr>
                <w:rFonts w:ascii="Calibri" w:hAnsi="Calibri"/>
                <w:sz w:val="17"/>
              </w:rPr>
              <w:t xml:space="preserve">Knowledge reachable through a harness-independent transport (MCP or equivalent) with permissions; staleness measured</w:t>
            </w:r>
          </w:p>
        </w:tc>
        <w:tc>
          <w:tcPr/>
          <w:p>
            <w:pPr>
              <w:pStyle w:val="Compact"/>
              <w:spacing w:after="40"/>
              <w:jc w:val="left"/>
            </w:pPr>
            <w:r>
              <w:rPr>
                <w:rFonts w:ascii="Calibri" w:hAnsi="Calibri"/>
                <w:sz w:val="17"/>
              </w:rPr>
              <w:t xml:space="preserve">Knowledge supply chain telemetry drives curation; AI-ready data standards enforced</w:t>
            </w:r>
          </w:p>
        </w:tc>
      </w:tr>
      <w:tr>
        <w:tc>
          <w:tcPr/>
          <w:p>
            <w:pPr>
              <w:pStyle w:val="Compact"/>
              <w:spacing w:after="40"/>
              <w:jc w:val="left"/>
            </w:pPr>
            <w:r>
              <w:rPr>
                <w:bCs/>
                <w:rFonts w:ascii="Calibri" w:hAnsi="Calibri"/>
                <w:b/>
                <w:sz w:val="17"/>
              </w:rPr>
              <w:t xml:space="preserve">Platform and engineering</w:t>
            </w:r>
          </w:p>
        </w:tc>
        <w:tc>
          <w:tcPr/>
          <w:p>
            <w:pPr>
              <w:pStyle w:val="Compact"/>
              <w:spacing w:after="40"/>
              <w:jc w:val="left"/>
            </w:pPr>
            <w:r>
              <w:rPr>
                <w:rFonts w:ascii="Calibri" w:hAnsi="Calibri"/>
                <w:sz w:val="17"/>
              </w:rPr>
              <w:t xml:space="preserve">Consumer tools; no gateway</w:t>
            </w:r>
          </w:p>
        </w:tc>
        <w:tc>
          <w:tcPr/>
          <w:p>
            <w:pPr>
              <w:pStyle w:val="Compact"/>
              <w:spacing w:after="40"/>
              <w:jc w:val="left"/>
            </w:pPr>
            <w:r>
              <w:rPr>
                <w:rFonts w:ascii="Calibri" w:hAnsi="Calibri"/>
                <w:sz w:val="17"/>
              </w:rPr>
              <w:t xml:space="preserve">Licensed assistants; basic SSO</w:t>
            </w:r>
          </w:p>
        </w:tc>
        <w:tc>
          <w:tcPr/>
          <w:p>
            <w:pPr>
              <w:pStyle w:val="Compact"/>
              <w:spacing w:after="40"/>
              <w:jc w:val="left"/>
            </w:pPr>
            <w:r>
              <w:rPr>
                <w:rFonts w:ascii="Calibri" w:hAnsi="Calibri"/>
                <w:sz w:val="17"/>
              </w:rPr>
              <w:t xml:space="preserve">LLM gateway with approved models; sandboxed agent execution; version control and small batches enforced (DORA capabilities 4-5); internal platform (capability 7)</w:t>
            </w:r>
          </w:p>
        </w:tc>
        <w:tc>
          <w:tcPr/>
          <w:p>
            <w:pPr>
              <w:pStyle w:val="Compact"/>
              <w:spacing w:after="40"/>
              <w:jc w:val="left"/>
            </w:pPr>
            <w:r>
              <w:rPr>
                <w:rFonts w:ascii="Calibri" w:hAnsi="Calibri"/>
                <w:sz w:val="17"/>
              </w:rPr>
              <w:t xml:space="preserve">Harness separated from model (swappable); evaluation harness with private task suite; agent identity and least-privilege tooling</w:t>
            </w:r>
          </w:p>
        </w:tc>
        <w:tc>
          <w:tcPr/>
          <w:p>
            <w:pPr>
              <w:pStyle w:val="Compact"/>
              <w:spacing w:after="40"/>
              <w:jc w:val="left"/>
            </w:pPr>
            <w:r>
              <w:rPr>
                <w:rFonts w:ascii="Calibri" w:hAnsi="Calibri"/>
                <w:sz w:val="17"/>
              </w:rPr>
              <w:t xml:space="preserve">Platform SLOs for agents; automated regression evals on model or harness change</w:t>
            </w:r>
          </w:p>
        </w:tc>
      </w:tr>
      <w:tr>
        <w:tc>
          <w:tcPr/>
          <w:p>
            <w:pPr>
              <w:pStyle w:val="Compact"/>
              <w:spacing w:after="40"/>
              <w:jc w:val="left"/>
            </w:pPr>
            <w:r>
              <w:rPr>
                <w:bCs/>
                <w:rFonts w:ascii="Calibri" w:hAnsi="Calibri"/>
                <w:b/>
                <w:sz w:val="17"/>
              </w:rPr>
              <w:t xml:space="preserve">Governance, risk and compliance</w:t>
            </w:r>
          </w:p>
        </w:tc>
        <w:tc>
          <w:tcPr/>
          <w:p>
            <w:pPr>
              <w:pStyle w:val="Compact"/>
              <w:spacing w:after="40"/>
              <w:jc w:val="left"/>
            </w:pPr>
            <w:r>
              <w:rPr>
                <w:rFonts w:ascii="Calibri" w:hAnsi="Calibri"/>
                <w:sz w:val="17"/>
              </w:rPr>
              <w:t xml:space="preserve">No inventory; shadow use</w:t>
            </w:r>
          </w:p>
        </w:tc>
        <w:tc>
          <w:tcPr/>
          <w:p>
            <w:pPr>
              <w:pStyle w:val="Compact"/>
              <w:spacing w:after="40"/>
              <w:jc w:val="left"/>
            </w:pPr>
            <w:r>
              <w:rPr>
                <w:rFonts w:ascii="Calibri" w:hAnsi="Calibri"/>
                <w:sz w:val="17"/>
              </w:rPr>
              <w:t xml:space="preserve">Use-case register; ad hoc approvals</w:t>
            </w:r>
          </w:p>
        </w:tc>
        <w:tc>
          <w:tcPr/>
          <w:p>
            <w:pPr>
              <w:pStyle w:val="Compact"/>
              <w:spacing w:after="40"/>
              <w:jc w:val="left"/>
            </w:pPr>
            <w:r>
              <w:rPr>
                <w:rFonts w:ascii="Calibri" w:hAnsi="Calibri"/>
                <w:sz w:val="17"/>
              </w:rPr>
              <w:t xml:space="preserve">Enterprise AI inventory incl. agents and vendor tools; materiality tiering; lifecycle controls; third-party due diligence; human-oversight checkpoints defined</w:t>
            </w:r>
          </w:p>
        </w:tc>
        <w:tc>
          <w:tcPr/>
          <w:p>
            <w:pPr>
              <w:pStyle w:val="Compact"/>
              <w:spacing w:after="40"/>
              <w:jc w:val="left"/>
            </w:pPr>
            <w:r>
              <w:rPr>
                <w:rFonts w:ascii="Calibri" w:hAnsi="Calibri"/>
                <w:sz w:val="17"/>
              </w:rPr>
              <w:t xml:space="preserve">Independent validation for high-materiality systems; lifetime logging and monitoring with kill switches; incident reporting; internal-audit coverage</w:t>
            </w:r>
          </w:p>
        </w:tc>
        <w:tc>
          <w:tcPr/>
          <w:p>
            <w:pPr>
              <w:pStyle w:val="Compact"/>
              <w:spacing w:after="40"/>
              <w:jc w:val="left"/>
            </w:pPr>
            <w:r>
              <w:rPr>
                <w:rFonts w:ascii="Calibri" w:hAnsi="Calibri"/>
                <w:sz w:val="17"/>
              </w:rPr>
              <w:t xml:space="preserve">Runtime policy enforcement; continuous control monitoring; external assurance (ISO/IEC 42001 or equivalent)</w:t>
            </w:r>
          </w:p>
        </w:tc>
      </w:tr>
      <w:tr>
        <w:tc>
          <w:tcPr/>
          <w:p>
            <w:pPr>
              <w:pStyle w:val="Compact"/>
              <w:spacing w:after="40"/>
              <w:jc w:val="left"/>
            </w:pPr>
            <w:r>
              <w:rPr>
                <w:bCs/>
                <w:rFonts w:ascii="Calibri" w:hAnsi="Calibri"/>
                <w:b/>
                <w:sz w:val="17"/>
              </w:rPr>
              <w:t xml:space="preserve">People and fluency</w:t>
            </w:r>
          </w:p>
        </w:tc>
        <w:tc>
          <w:tcPr/>
          <w:p>
            <w:pPr>
              <w:pStyle w:val="Compact"/>
              <w:spacing w:after="40"/>
              <w:jc w:val="left"/>
            </w:pPr>
            <w:r>
              <w:rPr>
                <w:rFonts w:ascii="Calibri" w:hAnsi="Calibri"/>
                <w:sz w:val="17"/>
              </w:rPr>
              <w:t xml:space="preserve">Enthusiasts; no training</w:t>
            </w:r>
          </w:p>
        </w:tc>
        <w:tc>
          <w:tcPr/>
          <w:p>
            <w:pPr>
              <w:pStyle w:val="Compact"/>
              <w:spacing w:after="40"/>
              <w:jc w:val="left"/>
            </w:pPr>
            <w:r>
              <w:rPr>
                <w:rFonts w:ascii="Calibri" w:hAnsi="Calibri"/>
                <w:sz w:val="17"/>
              </w:rPr>
              <w:t xml:space="preserve">Tool training</w:t>
            </w:r>
          </w:p>
        </w:tc>
        <w:tc>
          <w:tcPr/>
          <w:p>
            <w:pPr>
              <w:pStyle w:val="Compact"/>
              <w:spacing w:after="40"/>
              <w:jc w:val="left"/>
            </w:pPr>
            <w:r>
              <w:rPr>
                <w:rFonts w:ascii="Calibri" w:hAnsi="Calibri"/>
                <w:sz w:val="17"/>
              </w:rPr>
              <w:t xml:space="preserve">Role-based fluency curriculum (delegation, description, discernment, diligence); supervision of agents defined as an engineering responsibility</w:t>
            </w:r>
          </w:p>
        </w:tc>
        <w:tc>
          <w:tcPr/>
          <w:p>
            <w:pPr>
              <w:pStyle w:val="Compact"/>
              <w:spacing w:after="40"/>
              <w:jc w:val="left"/>
            </w:pPr>
            <w:r>
              <w:rPr>
                <w:rFonts w:ascii="Calibri" w:hAnsi="Calibri"/>
                <w:sz w:val="17"/>
              </w:rPr>
              <w:t xml:space="preserve">Fluency assessed; junior pipeline and skill-maintenance plan; redeployment plans where roles change</w:t>
            </w:r>
          </w:p>
        </w:tc>
        <w:tc>
          <w:tcPr/>
          <w:p>
            <w:pPr>
              <w:pStyle w:val="Compact"/>
              <w:spacing w:after="40"/>
              <w:jc w:val="left"/>
            </w:pPr>
            <w:r>
              <w:rPr>
                <w:rFonts w:ascii="Calibri" w:hAnsi="Calibri"/>
                <w:sz w:val="17"/>
              </w:rPr>
              <w:t xml:space="preserve">Continuous learning loop from telemetry to curriculum</w:t>
            </w:r>
          </w:p>
        </w:tc>
      </w:tr>
      <w:tr>
        <w:tc>
          <w:tcPr/>
          <w:p>
            <w:pPr>
              <w:pStyle w:val="Compact"/>
              <w:spacing w:after="40"/>
              <w:jc w:val="left"/>
            </w:pPr>
            <w:r>
              <w:rPr>
                <w:bCs/>
                <w:rFonts w:ascii="Calibri" w:hAnsi="Calibri"/>
                <w:b/>
                <w:sz w:val="17"/>
              </w:rPr>
              <w:t xml:space="preserve">Measurement and value</w:t>
            </w:r>
          </w:p>
        </w:tc>
        <w:tc>
          <w:tcPr/>
          <w:p>
            <w:pPr>
              <w:pStyle w:val="Compact"/>
              <w:spacing w:after="40"/>
              <w:jc w:val="left"/>
            </w:pPr>
            <w:r>
              <w:rPr>
                <w:rFonts w:ascii="Calibri" w:hAnsi="Calibri"/>
                <w:sz w:val="17"/>
              </w:rPr>
              <w:t xml:space="preserve">Anecdotes</w:t>
            </w:r>
          </w:p>
        </w:tc>
        <w:tc>
          <w:tcPr/>
          <w:p>
            <w:pPr>
              <w:pStyle w:val="Compact"/>
              <w:spacing w:after="40"/>
              <w:jc w:val="left"/>
            </w:pPr>
            <w:r>
              <w:rPr>
                <w:rFonts w:ascii="Calibri" w:hAnsi="Calibri"/>
                <w:sz w:val="17"/>
              </w:rPr>
              <w:t xml:space="preserve">Usage dashboards</w:t>
            </w:r>
          </w:p>
        </w:tc>
        <w:tc>
          <w:tcPr/>
          <w:p>
            <w:pPr>
              <w:pStyle w:val="Compact"/>
              <w:spacing w:after="40"/>
              <w:jc w:val="left"/>
            </w:pPr>
            <w:r>
              <w:rPr>
                <w:rFonts w:ascii="Calibri" w:hAnsi="Calibri"/>
                <w:sz w:val="17"/>
              </w:rPr>
              <w:t xml:space="preserve">Outcome metrics (DORA five, quality, cost per change) baselined per team; value accounting method agreed with finance</w:t>
            </w:r>
          </w:p>
        </w:tc>
        <w:tc>
          <w:tcPr/>
          <w:p>
            <w:pPr>
              <w:pStyle w:val="Compact"/>
              <w:spacing w:after="40"/>
              <w:jc w:val="left"/>
            </w:pPr>
            <w:r>
              <w:rPr>
                <w:rFonts w:ascii="Calibri" w:hAnsi="Calibri"/>
                <w:sz w:val="17"/>
              </w:rPr>
              <w:t xml:space="preserve">Attribution by use case; experiments for high-stakes decisions; review-load, rework and security-finding monitoring</w:t>
            </w:r>
          </w:p>
        </w:tc>
        <w:tc>
          <w:tcPr/>
          <w:p>
            <w:pPr>
              <w:pStyle w:val="Compact"/>
              <w:spacing w:after="40"/>
              <w:jc w:val="left"/>
            </w:pPr>
            <w:r>
              <w:rPr>
                <w:rFonts w:ascii="Calibri" w:hAnsi="Calibri"/>
                <w:sz w:val="17"/>
              </w:rPr>
              <w:t xml:space="preserve">Portfolio-level ROI with confidence intervals; metrics audited for gaming</w:t>
            </w:r>
          </w:p>
        </w:tc>
      </w:tr>
    </w:tbl>
    <w:p>
      <w:pPr>
        <w:pStyle w:val="BodyText"/>
      </w:pPr>
      <w:r>
        <w:t xml:space="preserve">Scoring is per dimension on a 1-5 scale with evidence required for each cell (documents, telemetry, or audit findings, never interview assertion alone). A dimension cannot score above 3 without telemetry evidence, or above 4 without independent validation of that evidence. The organizational score is reported as a profile, not an average, because the surveys consistently show that organizational rather than technical factors discriminate performers, and a strong average can hide a disqualifying weakness.</w:t>
      </w:r>
    </w:p>
    <w:bookmarkEnd w:id="46"/>
    <w:bookmarkStart w:id="47" w:name="X82bf92fc09f20aa8830dc45f8c216b06d6e1374"/>
    <w:p>
      <w:pPr>
        <w:pStyle w:val="Heading3"/>
      </w:pPr>
      <w:r>
        <w:t xml:space="preserve">5.3 Layer 2: the Agent Readiness Index for repositories and workflows</w:t>
      </w:r>
    </w:p>
    <w:p>
      <w:pPr>
        <w:pStyle w:val="FirstParagraph"/>
      </w:pPr>
      <w:r>
        <w:t xml:space="preserve">Layer 2 is scored per repository (or per service, in a monorepo) and per task class. It has eight dimensions, one for each context class in Table 3.1, each scored 0-4 with concrete indicators that can be computed from version control, CI and harness telemetry. Table 5.2 gives the indicators; the score for a repository is the minimum across dimensions, with the mean reported alongside for improvement planning.</w:t>
      </w:r>
    </w:p>
    <w:p>
      <w:pPr>
        <w:pStyle w:val="BodyText"/>
      </w:pPr>
      <w:r>
        <w:rPr>
          <w:bCs/>
          <w:b/>
        </w:rPr>
        <w:t xml:space="preserve">Table 5.2. Layer 2 dimensions and indicators</w:t>
      </w:r>
    </w:p>
    <w:tbl>
      <w:tblPr>
        <w:tblStyle w:val="Table"/>
        <w:tblW w:type="pct" w:w="5000"/>
        <w:tblLook w:firstRow="1" w:lastRow="0" w:firstColumn="0" w:lastColumn="0" w:noHBand="0" w:noVBand="0" w:val="0020"/>
        <w:jc w:val="start"/>
        <w:tblBorders>
          <w:top w:val="single" w:sz="4" w:color="C9D1D8"/>
          <w:left w:val="single" w:sz="4" w:color="C9D1D8"/>
          <w:bottom w:val="single" w:sz="4" w:color="C9D1D8"/>
          <w:right w:val="single" w:sz="4" w:color="C9D1D8"/>
          <w:insideH w:val="single" w:sz="4" w:color="C9D1D8"/>
          <w:insideV w:val="single" w:sz="4" w:color="C9D1D8"/>
        </w:tblBorders>
      </w:tblPr>
      <w:tblGrid>
        <w:gridCol w:w="1584"/>
        <w:gridCol w:w="1584"/>
        <w:gridCol w:w="1584"/>
        <w:gridCol w:w="1584"/>
        <w:gridCol w:w="1584"/>
      </w:tblGrid>
      <w:tr>
        <w:trPr>
          <w:tblHeader w:val="true"/>
        </w:trPr>
        <w:tc>
          <w:tcPr>
            <w:shd w:val="clear" w:color="auto" w:fill="EEF2F6"/>
          </w:tcPr>
          <w:p>
            <w:pPr>
              <w:pStyle w:val="Compact"/>
              <w:spacing w:after="40"/>
              <w:jc w:val="left"/>
            </w:pPr>
            <w:r>
              <w:rPr>
                <w:rFonts w:ascii="Calibri" w:hAnsi="Calibri"/>
                <w:b/>
                <w:sz w:val="17"/>
              </w:rPr>
              <w:t xml:space="preserve">Dimension (context class)</w:t>
            </w:r>
          </w:p>
        </w:tc>
        <w:tc>
          <w:tcPr>
            <w:shd w:val="clear" w:color="auto" w:fill="EEF2F6"/>
          </w:tcPr>
          <w:p>
            <w:pPr>
              <w:pStyle w:val="Compact"/>
              <w:spacing w:after="40"/>
              <w:jc w:val="left"/>
            </w:pPr>
            <w:r>
              <w:rPr>
                <w:rFonts w:ascii="Calibri" w:hAnsi="Calibri"/>
                <w:b/>
                <w:sz w:val="17"/>
              </w:rPr>
              <w:t xml:space="preserve">Score 0</w:t>
            </w:r>
          </w:p>
        </w:tc>
        <w:tc>
          <w:tcPr>
            <w:shd w:val="clear" w:color="auto" w:fill="EEF2F6"/>
          </w:tcPr>
          <w:p>
            <w:pPr>
              <w:pStyle w:val="Compact"/>
              <w:spacing w:after="40"/>
              <w:jc w:val="left"/>
            </w:pPr>
            <w:r>
              <w:rPr>
                <w:rFonts w:ascii="Calibri" w:hAnsi="Calibri"/>
                <w:b/>
                <w:sz w:val="17"/>
              </w:rPr>
              <w:t xml:space="preserve">Score 2</w:t>
            </w:r>
          </w:p>
        </w:tc>
        <w:tc>
          <w:tcPr>
            <w:shd w:val="clear" w:color="auto" w:fill="EEF2F6"/>
          </w:tcPr>
          <w:p>
            <w:pPr>
              <w:pStyle w:val="Compact"/>
              <w:spacing w:after="40"/>
              <w:jc w:val="left"/>
            </w:pPr>
            <w:r>
              <w:rPr>
                <w:rFonts w:ascii="Calibri" w:hAnsi="Calibri"/>
                <w:b/>
                <w:sz w:val="17"/>
              </w:rPr>
              <w:t xml:space="preserve">Score 4</w:t>
            </w:r>
          </w:p>
        </w:tc>
        <w:tc>
          <w:tcPr>
            <w:shd w:val="clear" w:color="auto" w:fill="EEF2F6"/>
          </w:tcPr>
          <w:p>
            <w:pPr>
              <w:pStyle w:val="Compact"/>
              <w:spacing w:after="40"/>
              <w:jc w:val="left"/>
            </w:pPr>
            <w:r>
              <w:rPr>
                <w:rFonts w:ascii="Calibri" w:hAnsi="Calibri"/>
                <w:b/>
                <w:sz w:val="17"/>
              </w:rPr>
              <w:t xml:space="preserve">Computable indicators</w:t>
            </w:r>
          </w:p>
        </w:tc>
      </w:tr>
      <w:tr>
        <w:tc>
          <w:tcPr/>
          <w:p>
            <w:pPr>
              <w:pStyle w:val="Compact"/>
              <w:spacing w:after="40"/>
              <w:jc w:val="left"/>
            </w:pPr>
            <w:r>
              <w:rPr>
                <w:bCs/>
                <w:rFonts w:ascii="Calibri" w:hAnsi="Calibri"/>
                <w:b/>
                <w:sz w:val="17"/>
              </w:rPr>
              <w:t xml:space="preserve">R1 Build and environment determinism</w:t>
            </w:r>
            <w:r>
              <w:rPr>
                <w:rFonts w:ascii="Calibri" w:hAnsi="Calibri"/>
                <w:sz w:val="17"/>
              </w:rPr>
              <w:t xml:space="preserve"> </w:t>
            </w:r>
            <w:r>
              <w:rPr>
                <w:rFonts w:ascii="Calibri" w:hAnsi="Calibri"/>
                <w:sz w:val="17"/>
              </w:rPr>
              <w:t xml:space="preserve">(W2)</w:t>
            </w:r>
          </w:p>
        </w:tc>
        <w:tc>
          <w:tcPr/>
          <w:p>
            <w:pPr>
              <w:pStyle w:val="Compact"/>
              <w:spacing w:after="40"/>
              <w:jc w:val="left"/>
            </w:pPr>
            <w:r>
              <w:rPr>
                <w:rFonts w:ascii="Calibri" w:hAnsi="Calibri"/>
                <w:sz w:val="17"/>
              </w:rPr>
              <w:t xml:space="preserve">Build depends on developer machine state</w:t>
            </w:r>
          </w:p>
        </w:tc>
        <w:tc>
          <w:tcPr/>
          <w:p>
            <w:pPr>
              <w:pStyle w:val="Compact"/>
              <w:spacing w:after="40"/>
              <w:jc w:val="left"/>
            </w:pPr>
            <w:r>
              <w:rPr>
                <w:rFonts w:ascii="Calibri" w:hAnsi="Calibri"/>
                <w:sz w:val="17"/>
              </w:rPr>
              <w:t xml:space="preserve">Containerized dev environment; build reproducible most of the time</w:t>
            </w:r>
          </w:p>
        </w:tc>
        <w:tc>
          <w:tcPr/>
          <w:p>
            <w:pPr>
              <w:pStyle w:val="Compact"/>
              <w:spacing w:after="40"/>
              <w:jc w:val="left"/>
            </w:pPr>
            <w:r>
              <w:rPr>
                <w:rFonts w:ascii="Calibri" w:hAnsi="Calibri"/>
                <w:sz w:val="17"/>
              </w:rPr>
              <w:t xml:space="preserve">Hermetic build; dev container or equivalent; setup under 10 minutes; agent sandbox with egress policy</w:t>
            </w:r>
          </w:p>
        </w:tc>
        <w:tc>
          <w:tcPr/>
          <w:p>
            <w:pPr>
              <w:pStyle w:val="Compact"/>
              <w:spacing w:after="40"/>
              <w:jc w:val="left"/>
            </w:pPr>
            <w:r>
              <w:rPr>
                <w:rFonts w:ascii="Calibri" w:hAnsi="Calibri"/>
                <w:sz w:val="17"/>
              </w:rPr>
              <w:t xml:space="preserve">Reproducible-build rate; environment-setup success rate; flaky-test rate; median setup time</w:t>
            </w:r>
          </w:p>
        </w:tc>
      </w:tr>
      <w:tr>
        <w:tc>
          <w:tcPr/>
          <w:p>
            <w:pPr>
              <w:pStyle w:val="Compact"/>
              <w:spacing w:after="40"/>
              <w:jc w:val="left"/>
            </w:pPr>
            <w:r>
              <w:rPr>
                <w:bCs/>
                <w:rFonts w:ascii="Calibri" w:hAnsi="Calibri"/>
                <w:b/>
                <w:sz w:val="17"/>
              </w:rPr>
              <w:t xml:space="preserve">R2 Verification signal quality</w:t>
            </w:r>
            <w:r>
              <w:rPr>
                <w:rFonts w:ascii="Calibri" w:hAnsi="Calibri"/>
                <w:sz w:val="17"/>
              </w:rPr>
              <w:t xml:space="preserve"> </w:t>
            </w:r>
            <w:r>
              <w:rPr>
                <w:rFonts w:ascii="Calibri" w:hAnsi="Calibri"/>
                <w:sz w:val="17"/>
              </w:rPr>
              <w:t xml:space="preserve">(W3)</w:t>
            </w:r>
          </w:p>
        </w:tc>
        <w:tc>
          <w:tcPr/>
          <w:p>
            <w:pPr>
              <w:pStyle w:val="Compact"/>
              <w:spacing w:after="40"/>
              <w:jc w:val="left"/>
            </w:pPr>
            <w:r>
              <w:rPr>
                <w:rFonts w:ascii="Calibri" w:hAnsi="Calibri"/>
                <w:sz w:val="17"/>
              </w:rPr>
              <w:t xml:space="preserve">No automated tests or tests routinely skipped</w:t>
            </w:r>
          </w:p>
        </w:tc>
        <w:tc>
          <w:tcPr/>
          <w:p>
            <w:pPr>
              <w:pStyle w:val="Compact"/>
              <w:spacing w:after="40"/>
              <w:jc w:val="left"/>
            </w:pPr>
            <w:r>
              <w:rPr>
                <w:rFonts w:ascii="Calibri" w:hAnsi="Calibri"/>
                <w:sz w:val="17"/>
              </w:rPr>
              <w:t xml:space="preserve">Unit tests on core paths; linting in CI</w:t>
            </w:r>
          </w:p>
        </w:tc>
        <w:tc>
          <w:tcPr/>
          <w:p>
            <w:pPr>
              <w:pStyle w:val="Compact"/>
              <w:spacing w:after="40"/>
              <w:jc w:val="left"/>
            </w:pPr>
            <w:r>
              <w:rPr>
                <w:rFonts w:ascii="Calibri" w:hAnsi="Calibri"/>
                <w:sz w:val="17"/>
              </w:rPr>
              <w:t xml:space="preserve">Tests cover changed code; type checks, static and security analysis in CI with results machine-readable; mutation or contract tests where risk warrants</w:t>
            </w:r>
          </w:p>
        </w:tc>
        <w:tc>
          <w:tcPr/>
          <w:p>
            <w:pPr>
              <w:pStyle w:val="Compact"/>
              <w:spacing w:after="40"/>
              <w:jc w:val="left"/>
            </w:pPr>
            <w:r>
              <w:rPr>
                <w:rFonts w:ascii="Calibri" w:hAnsi="Calibri"/>
                <w:sz w:val="17"/>
              </w:rPr>
              <w:t xml:space="preserve">Coverage on changed lines; CI feedback latency; static-analysis findings fed back to agent; share of merges with green verification</w:t>
            </w:r>
          </w:p>
        </w:tc>
      </w:tr>
      <w:tr>
        <w:tc>
          <w:tcPr/>
          <w:p>
            <w:pPr>
              <w:pStyle w:val="Compact"/>
              <w:spacing w:after="40"/>
              <w:jc w:val="left"/>
            </w:pPr>
            <w:r>
              <w:rPr>
                <w:bCs/>
                <w:rFonts w:ascii="Calibri" w:hAnsi="Calibri"/>
                <w:b/>
                <w:sz w:val="17"/>
              </w:rPr>
              <w:t xml:space="preserve">R3 Task specification quality</w:t>
            </w:r>
            <w:r>
              <w:rPr>
                <w:rFonts w:ascii="Calibri" w:hAnsi="Calibri"/>
                <w:sz w:val="17"/>
              </w:rPr>
              <w:t xml:space="preserve"> </w:t>
            </w:r>
            <w:r>
              <w:rPr>
                <w:rFonts w:ascii="Calibri" w:hAnsi="Calibri"/>
                <w:sz w:val="17"/>
              </w:rPr>
              <w:t xml:space="preserve">(W1)</w:t>
            </w:r>
          </w:p>
        </w:tc>
        <w:tc>
          <w:tcPr/>
          <w:p>
            <w:pPr>
              <w:pStyle w:val="Compact"/>
              <w:spacing w:after="40"/>
              <w:jc w:val="left"/>
            </w:pPr>
            <w:r>
              <w:rPr>
                <w:rFonts w:ascii="Calibri" w:hAnsi="Calibri"/>
                <w:sz w:val="17"/>
              </w:rPr>
              <w:t xml:space="preserve">Tickets are one-line requests</w:t>
            </w:r>
          </w:p>
        </w:tc>
        <w:tc>
          <w:tcPr/>
          <w:p>
            <w:pPr>
              <w:pStyle w:val="Compact"/>
              <w:spacing w:after="40"/>
              <w:jc w:val="left"/>
            </w:pPr>
            <w:r>
              <w:rPr>
                <w:rFonts w:ascii="Calibri" w:hAnsi="Calibri"/>
                <w:sz w:val="17"/>
              </w:rPr>
              <w:t xml:space="preserve">Templates exist; acceptance criteria sometimes</w:t>
            </w:r>
          </w:p>
        </w:tc>
        <w:tc>
          <w:tcPr/>
          <w:p>
            <w:pPr>
              <w:pStyle w:val="Compact"/>
              <w:spacing w:after="40"/>
              <w:jc w:val="left"/>
            </w:pPr>
            <w:r>
              <w:rPr>
                <w:rFonts w:ascii="Calibri" w:hAnsi="Calibri"/>
                <w:sz w:val="17"/>
              </w:rPr>
              <w:t xml:space="preserve">Issues carry acceptance criteria, scope and non-goals; specs for non-trivial work; verified-style task hygiene</w:t>
            </w:r>
          </w:p>
        </w:tc>
        <w:tc>
          <w:tcPr/>
          <w:p>
            <w:pPr>
              <w:pStyle w:val="Compact"/>
              <w:spacing w:after="40"/>
              <w:jc w:val="left"/>
            </w:pPr>
            <w:r>
              <w:rPr>
                <w:rFonts w:ascii="Calibri" w:hAnsi="Calibri"/>
                <w:sz w:val="17"/>
              </w:rPr>
              <w:t xml:space="preserve">Share of agent tasks with acceptance tests;</w:t>
            </w:r>
            <w:r>
              <w:rPr>
                <w:rFonts w:ascii="Calibri" w:hAnsi="Calibri"/>
                <w:sz w:val="17"/>
              </w:rPr>
              <w:t xml:space="preserve"> </w:t>
            </w:r>
            <w:r>
              <w:rPr>
                <w:rFonts w:ascii="Calibri" w:hAnsi="Calibri"/>
                <w:sz w:val="17"/>
              </w:rPr>
              <w:t xml:space="preserve">“</w:t>
            </w:r>
            <w:r>
              <w:rPr>
                <w:rFonts w:ascii="Calibri" w:hAnsi="Calibri"/>
                <w:sz w:val="17"/>
              </w:rPr>
              <w:t xml:space="preserve">wrong solution</w:t>
            </w:r>
            <w:r>
              <w:rPr>
                <w:rFonts w:ascii="Calibri" w:hAnsi="Calibri"/>
                <w:sz w:val="17"/>
              </w:rPr>
              <w:t xml:space="preserve">”</w:t>
            </w:r>
            <w:r>
              <w:rPr>
                <w:rFonts w:ascii="Calibri" w:hAnsi="Calibri"/>
                <w:sz w:val="17"/>
              </w:rPr>
              <w:t xml:space="preserve"> </w:t>
            </w:r>
            <w:r>
              <w:rPr>
                <w:rFonts w:ascii="Calibri" w:hAnsi="Calibri"/>
                <w:sz w:val="17"/>
              </w:rPr>
              <w:t xml:space="preserve">share in failure analysis</w:t>
            </w:r>
          </w:p>
        </w:tc>
      </w:tr>
      <w:tr>
        <w:tc>
          <w:tcPr/>
          <w:p>
            <w:pPr>
              <w:pStyle w:val="Compact"/>
              <w:spacing w:after="40"/>
              <w:jc w:val="left"/>
            </w:pPr>
            <w:r>
              <w:rPr>
                <w:bCs/>
                <w:rFonts w:ascii="Calibri" w:hAnsi="Calibri"/>
                <w:b/>
                <w:sz w:val="17"/>
              </w:rPr>
              <w:t xml:space="preserve">R4 Repository navigability</w:t>
            </w:r>
            <w:r>
              <w:rPr>
                <w:rFonts w:ascii="Calibri" w:hAnsi="Calibri"/>
                <w:sz w:val="17"/>
              </w:rPr>
              <w:t xml:space="preserve"> </w:t>
            </w:r>
            <w:r>
              <w:rPr>
                <w:rFonts w:ascii="Calibri" w:hAnsi="Calibri"/>
                <w:sz w:val="17"/>
              </w:rPr>
              <w:t xml:space="preserve">(K1)</w:t>
            </w:r>
          </w:p>
        </w:tc>
        <w:tc>
          <w:tcPr/>
          <w:p>
            <w:pPr>
              <w:pStyle w:val="Compact"/>
              <w:spacing w:after="40"/>
              <w:jc w:val="left"/>
            </w:pPr>
            <w:r>
              <w:rPr>
                <w:rFonts w:ascii="Calibri" w:hAnsi="Calibri"/>
                <w:sz w:val="17"/>
              </w:rPr>
              <w:t xml:space="preserve">Large, tangled, undocumented</w:t>
            </w:r>
          </w:p>
        </w:tc>
        <w:tc>
          <w:tcPr/>
          <w:p>
            <w:pPr>
              <w:pStyle w:val="Compact"/>
              <w:spacing w:after="40"/>
              <w:jc w:val="left"/>
            </w:pPr>
            <w:r>
              <w:rPr>
                <w:rFonts w:ascii="Calibri" w:hAnsi="Calibri"/>
                <w:sz w:val="17"/>
              </w:rPr>
              <w:t xml:space="preserve">README and architecture notes; some modularity</w:t>
            </w:r>
          </w:p>
        </w:tc>
        <w:tc>
          <w:tcPr/>
          <w:p>
            <w:pPr>
              <w:pStyle w:val="Compact"/>
              <w:spacing w:after="40"/>
              <w:jc w:val="left"/>
            </w:pPr>
            <w:r>
              <w:rPr>
                <w:rFonts w:ascii="Calibri" w:hAnsi="Calibri"/>
                <w:sz w:val="17"/>
              </w:rPr>
              <w:t xml:space="preserve">Modular structure; current architecture docs and decision records; code index or graph available to harnesses</w:t>
            </w:r>
          </w:p>
        </w:tc>
        <w:tc>
          <w:tcPr/>
          <w:p>
            <w:pPr>
              <w:pStyle w:val="Compact"/>
              <w:spacing w:after="40"/>
              <w:jc w:val="left"/>
            </w:pPr>
            <w:r>
              <w:rPr>
                <w:rFonts w:ascii="Calibri" w:hAnsi="Calibri"/>
                <w:sz w:val="17"/>
              </w:rPr>
              <w:t xml:space="preserve">Doc currency (last verified date); module coupling metrics; index freshness; cross-file failure share</w:t>
            </w:r>
          </w:p>
        </w:tc>
      </w:tr>
      <w:tr>
        <w:tc>
          <w:tcPr/>
          <w:p>
            <w:pPr>
              <w:pStyle w:val="Compact"/>
              <w:spacing w:after="40"/>
              <w:jc w:val="left"/>
            </w:pPr>
            <w:r>
              <w:rPr>
                <w:bCs/>
                <w:rFonts w:ascii="Calibri" w:hAnsi="Calibri"/>
                <w:b/>
                <w:sz w:val="17"/>
              </w:rPr>
              <w:t xml:space="preserve">R5 Context files and procedural knowledge</w:t>
            </w:r>
            <w:r>
              <w:rPr>
                <w:rFonts w:ascii="Calibri" w:hAnsi="Calibri"/>
                <w:sz w:val="17"/>
              </w:rPr>
              <w:t xml:space="preserve"> </w:t>
            </w:r>
            <w:r>
              <w:rPr>
                <w:rFonts w:ascii="Calibri" w:hAnsi="Calibri"/>
                <w:sz w:val="17"/>
              </w:rPr>
              <w:t xml:space="preserve">(K2)</w:t>
            </w:r>
          </w:p>
        </w:tc>
        <w:tc>
          <w:tcPr/>
          <w:p>
            <w:pPr>
              <w:pStyle w:val="Compact"/>
              <w:spacing w:after="40"/>
              <w:jc w:val="left"/>
            </w:pPr>
            <w:r>
              <w:rPr>
                <w:rFonts w:ascii="Calibri" w:hAnsi="Calibri"/>
                <w:sz w:val="17"/>
              </w:rPr>
              <w:t xml:space="preserve">None, or generated boilerplate</w:t>
            </w:r>
          </w:p>
        </w:tc>
        <w:tc>
          <w:tcPr/>
          <w:p>
            <w:pPr>
              <w:pStyle w:val="Compact"/>
              <w:spacing w:after="40"/>
              <w:jc w:val="left"/>
            </w:pPr>
            <w:r>
              <w:rPr>
                <w:rFonts w:ascii="Calibri" w:hAnsi="Calibri"/>
                <w:sz w:val="17"/>
              </w:rPr>
              <w:t xml:space="preserve">Context file present, unmaintained</w:t>
            </w:r>
          </w:p>
        </w:tc>
        <w:tc>
          <w:tcPr/>
          <w:p>
            <w:pPr>
              <w:pStyle w:val="Compact"/>
              <w:spacing w:after="40"/>
              <w:jc w:val="left"/>
            </w:pPr>
            <w:r>
              <w:rPr>
                <w:rFonts w:ascii="Calibri" w:hAnsi="Calibri"/>
                <w:sz w:val="17"/>
              </w:rPr>
              <w:t xml:space="preserve">Short, prescriptive, non-derivable context file owned by the team; procedures delivered as on-demand skills or playbooks; staleness reviewed</w:t>
            </w:r>
          </w:p>
        </w:tc>
        <w:tc>
          <w:tcPr/>
          <w:p>
            <w:pPr>
              <w:pStyle w:val="Compact"/>
              <w:spacing w:after="40"/>
              <w:jc w:val="left"/>
            </w:pPr>
            <w:r>
              <w:rPr>
                <w:rFonts w:ascii="Calibri" w:hAnsi="Calibri"/>
                <w:sz w:val="17"/>
              </w:rPr>
              <w:t xml:space="preserve">Context-file size and age; instruction-follow rate; incremental token cost per task; owner assigned</w:t>
            </w:r>
          </w:p>
        </w:tc>
      </w:tr>
      <w:tr>
        <w:tc>
          <w:tcPr/>
          <w:p>
            <w:pPr>
              <w:pStyle w:val="Compact"/>
              <w:spacing w:after="40"/>
              <w:jc w:val="left"/>
            </w:pPr>
            <w:r>
              <w:rPr>
                <w:bCs/>
                <w:rFonts w:ascii="Calibri" w:hAnsi="Calibri"/>
                <w:b/>
                <w:sz w:val="17"/>
              </w:rPr>
              <w:t xml:space="preserve">R6 Knowledge source reachability</w:t>
            </w:r>
            <w:r>
              <w:rPr>
                <w:rFonts w:ascii="Calibri" w:hAnsi="Calibri"/>
                <w:sz w:val="17"/>
              </w:rPr>
              <w:t xml:space="preserve"> </w:t>
            </w:r>
            <w:r>
              <w:rPr>
                <w:rFonts w:ascii="Calibri" w:hAnsi="Calibri"/>
                <w:sz w:val="17"/>
              </w:rPr>
              <w:t xml:space="preserve">(K2)</w:t>
            </w:r>
          </w:p>
        </w:tc>
        <w:tc>
          <w:tcPr/>
          <w:p>
            <w:pPr>
              <w:pStyle w:val="Compact"/>
              <w:spacing w:after="40"/>
              <w:jc w:val="left"/>
            </w:pPr>
            <w:r>
              <w:rPr>
                <w:rFonts w:ascii="Calibri" w:hAnsi="Calibri"/>
                <w:sz w:val="17"/>
              </w:rPr>
              <w:t xml:space="preserve">Agents cannot reach docs, tickets or runbooks</w:t>
            </w:r>
          </w:p>
        </w:tc>
        <w:tc>
          <w:tcPr/>
          <w:p>
            <w:pPr>
              <w:pStyle w:val="Compact"/>
              <w:spacing w:after="40"/>
              <w:jc w:val="left"/>
            </w:pPr>
            <w:r>
              <w:rPr>
                <w:rFonts w:ascii="Calibri" w:hAnsi="Calibri"/>
                <w:sz w:val="17"/>
              </w:rPr>
              <w:t xml:space="preserve">Manual copy-paste of knowledge</w:t>
            </w:r>
          </w:p>
        </w:tc>
        <w:tc>
          <w:tcPr/>
          <w:p>
            <w:pPr>
              <w:pStyle w:val="Compact"/>
              <w:spacing w:after="40"/>
              <w:jc w:val="left"/>
            </w:pPr>
            <w:r>
              <w:rPr>
                <w:rFonts w:ascii="Calibri" w:hAnsi="Calibri"/>
                <w:sz w:val="17"/>
              </w:rPr>
              <w:t xml:space="preserve">Certified sources reachable through the harness (MCP or equivalent) with permissions; source provenance recorded</w:t>
            </w:r>
          </w:p>
        </w:tc>
        <w:tc>
          <w:tcPr/>
          <w:p>
            <w:pPr>
              <w:pStyle w:val="Compact"/>
              <w:spacing w:after="40"/>
              <w:jc w:val="left"/>
            </w:pPr>
            <w:r>
              <w:rPr>
                <w:rFonts w:ascii="Calibri" w:hAnsi="Calibri"/>
                <w:sz w:val="17"/>
              </w:rPr>
              <w:t xml:space="preserve">Share of tasks retrieving certified sources; retrieval precision on eval suite; permission-denied rate</w:t>
            </w:r>
          </w:p>
        </w:tc>
      </w:tr>
      <w:tr>
        <w:tc>
          <w:tcPr/>
          <w:p>
            <w:pPr>
              <w:pStyle w:val="Compact"/>
              <w:spacing w:after="40"/>
              <w:jc w:val="left"/>
            </w:pPr>
            <w:r>
              <w:rPr>
                <w:bCs/>
                <w:rFonts w:ascii="Calibri" w:hAnsi="Calibri"/>
                <w:b/>
                <w:sz w:val="17"/>
              </w:rPr>
              <w:t xml:space="preserve">R7 Workflow integration and guardrails</w:t>
            </w:r>
            <w:r>
              <w:rPr>
                <w:rFonts w:ascii="Calibri" w:hAnsi="Calibri"/>
                <w:sz w:val="17"/>
              </w:rPr>
              <w:t xml:space="preserve"> </w:t>
            </w:r>
            <w:r>
              <w:rPr>
                <w:rFonts w:ascii="Calibri" w:hAnsi="Calibri"/>
                <w:sz w:val="17"/>
              </w:rPr>
              <w:t xml:space="preserve">(W4, W5)</w:t>
            </w:r>
          </w:p>
        </w:tc>
        <w:tc>
          <w:tcPr/>
          <w:p>
            <w:pPr>
              <w:pStyle w:val="Compact"/>
              <w:spacing w:after="40"/>
              <w:jc w:val="left"/>
            </w:pPr>
            <w:r>
              <w:rPr>
                <w:rFonts w:ascii="Calibri" w:hAnsi="Calibri"/>
                <w:sz w:val="17"/>
              </w:rPr>
              <w:t xml:space="preserve">Agent output pasted manually; no audit trail</w:t>
            </w:r>
          </w:p>
        </w:tc>
        <w:tc>
          <w:tcPr/>
          <w:p>
            <w:pPr>
              <w:pStyle w:val="Compact"/>
              <w:spacing w:after="40"/>
              <w:jc w:val="left"/>
            </w:pPr>
            <w:r>
              <w:rPr>
                <w:rFonts w:ascii="Calibri" w:hAnsi="Calibri"/>
                <w:sz w:val="17"/>
              </w:rPr>
              <w:t xml:space="preserve">Agent opens PRs; human review</w:t>
            </w:r>
          </w:p>
        </w:tc>
        <w:tc>
          <w:tcPr/>
          <w:p>
            <w:pPr>
              <w:pStyle w:val="Compact"/>
              <w:spacing w:after="40"/>
              <w:jc w:val="left"/>
            </w:pPr>
            <w:r>
              <w:rPr>
                <w:rFonts w:ascii="Calibri" w:hAnsi="Calibri"/>
                <w:sz w:val="17"/>
              </w:rPr>
              <w:t xml:space="preserve">Agent runs in CI/PR flow under branch protections, separate approvers, scoped identity and credentials, audit logs, defined checkpoints for irreversible actions; state persisted outside the context window</w:t>
            </w:r>
          </w:p>
        </w:tc>
        <w:tc>
          <w:tcPr/>
          <w:p>
            <w:pPr>
              <w:pStyle w:val="Compact"/>
              <w:spacing w:after="40"/>
              <w:jc w:val="left"/>
            </w:pPr>
            <w:r>
              <w:rPr>
                <w:rFonts w:ascii="Calibri" w:hAnsi="Calibri"/>
                <w:sz w:val="17"/>
              </w:rPr>
              <w:t xml:space="preserve">Share of agent changes through governed flow; permission exceptions; checkpoint compliance; resumable-session rate</w:t>
            </w:r>
          </w:p>
        </w:tc>
      </w:tr>
      <w:tr>
        <w:tc>
          <w:tcPr/>
          <w:p>
            <w:pPr>
              <w:pStyle w:val="Compact"/>
              <w:spacing w:after="40"/>
              <w:jc w:val="left"/>
            </w:pPr>
            <w:r>
              <w:rPr>
                <w:bCs/>
                <w:rFonts w:ascii="Calibri" w:hAnsi="Calibri"/>
                <w:b/>
                <w:sz w:val="17"/>
              </w:rPr>
              <w:t xml:space="preserve">R8 Evaluation and telemetry</w:t>
            </w:r>
            <w:r>
              <w:rPr>
                <w:rFonts w:ascii="Calibri" w:hAnsi="Calibri"/>
                <w:sz w:val="17"/>
              </w:rPr>
              <w:t xml:space="preserve"> </w:t>
            </w:r>
            <w:r>
              <w:rPr>
                <w:rFonts w:ascii="Calibri" w:hAnsi="Calibri"/>
                <w:sz w:val="17"/>
              </w:rPr>
              <w:t xml:space="preserve">(all)</w:t>
            </w:r>
          </w:p>
        </w:tc>
        <w:tc>
          <w:tcPr/>
          <w:p>
            <w:pPr>
              <w:pStyle w:val="Compact"/>
              <w:spacing w:after="40"/>
              <w:jc w:val="left"/>
            </w:pPr>
            <w:r>
              <w:rPr>
                <w:rFonts w:ascii="Calibri" w:hAnsi="Calibri"/>
                <w:sz w:val="17"/>
              </w:rPr>
              <w:t xml:space="preserve">No measurement</w:t>
            </w:r>
          </w:p>
        </w:tc>
        <w:tc>
          <w:tcPr/>
          <w:p>
            <w:pPr>
              <w:pStyle w:val="Compact"/>
              <w:spacing w:after="40"/>
              <w:jc w:val="left"/>
            </w:pPr>
            <w:r>
              <w:rPr>
                <w:rFonts w:ascii="Calibri" w:hAnsi="Calibri"/>
                <w:sz w:val="17"/>
              </w:rPr>
              <w:t xml:space="preserve">Usage counts</w:t>
            </w:r>
          </w:p>
        </w:tc>
        <w:tc>
          <w:tcPr/>
          <w:p>
            <w:pPr>
              <w:pStyle w:val="Compact"/>
              <w:spacing w:after="40"/>
              <w:jc w:val="left"/>
            </w:pPr>
            <w:r>
              <w:rPr>
                <w:rFonts w:ascii="Calibri" w:hAnsi="Calibri"/>
                <w:sz w:val="17"/>
              </w:rPr>
              <w:t xml:space="preserve">Private eval suite of 20-50 real tasks per task class with pass^k tracked; cost per merged change; review load, rework and security findings attributed to agent-assisted changes</w:t>
            </w:r>
          </w:p>
        </w:tc>
        <w:tc>
          <w:tcPr/>
          <w:p>
            <w:pPr>
              <w:pStyle w:val="Compact"/>
              <w:spacing w:after="40"/>
              <w:jc w:val="left"/>
            </w:pPr>
            <w:r>
              <w:rPr>
                <w:rFonts w:ascii="Calibri" w:hAnsi="Calibri"/>
                <w:sz w:val="17"/>
              </w:rPr>
              <w:t xml:space="preserve">pass^k by task class; cost per merged change; review time per PR; defects and vulnerabilities per agent-assisted change</w:t>
            </w:r>
          </w:p>
        </w:tc>
      </w:tr>
    </w:tbl>
    <w:p>
      <w:pPr>
        <w:pStyle w:val="BodyText"/>
      </w:pPr>
      <w:r>
        <w:t xml:space="preserve">The index yields four readiness tiers per task class:</w:t>
      </w:r>
      <w:r>
        <w:t xml:space="preserve"> </w:t>
      </w:r>
      <w:r>
        <w:rPr>
          <w:bCs/>
          <w:b/>
        </w:rPr>
        <w:t xml:space="preserve">Not ready</w:t>
      </w:r>
      <w:r>
        <w:t xml:space="preserve"> </w:t>
      </w:r>
      <w:r>
        <w:t xml:space="preserve">(minimum score 0-1: assistants only, no autonomous changes);</w:t>
      </w:r>
      <w:r>
        <w:t xml:space="preserve"> </w:t>
      </w:r>
      <w:r>
        <w:rPr>
          <w:bCs/>
          <w:b/>
        </w:rPr>
        <w:t xml:space="preserve">Assisted</w:t>
      </w:r>
      <w:r>
        <w:t xml:space="preserve"> </w:t>
      </w:r>
      <w:r>
        <w:t xml:space="preserve">(minimum 2: agents propose, humans verify everything);</w:t>
      </w:r>
      <w:r>
        <w:t xml:space="preserve"> </w:t>
      </w:r>
      <w:r>
        <w:rPr>
          <w:bCs/>
          <w:b/>
        </w:rPr>
        <w:t xml:space="preserve">Delegable with checkpoints</w:t>
      </w:r>
      <w:r>
        <w:t xml:space="preserve"> </w:t>
      </w:r>
      <w:r>
        <w:t xml:space="preserve">(minimum 3: bounded autonomous tasks with defined checkpoints and pass^k above an agreed threshold on the private suite);</w:t>
      </w:r>
      <w:r>
        <w:t xml:space="preserve"> </w:t>
      </w:r>
      <w:r>
        <w:rPr>
          <w:bCs/>
          <w:b/>
        </w:rPr>
        <w:t xml:space="preserve">Autonomous with oversight</w:t>
      </w:r>
      <w:r>
        <w:t xml:space="preserve"> </w:t>
      </w:r>
      <w:r>
        <w:t xml:space="preserve">(minimum 4: long-running or scheduled agent work with monitoring, kill switches and periodic audit). The tiers correspond to the human-in-, over- and out-of-the-loop taxonomy of Singapore’s governance frameworks and to the checkpoint requirements of the agentic framework [126, 172], so a Layer 2 tier is also a governance classification.</w:t>
      </w:r>
    </w:p>
    <w:p>
      <w:pPr>
        <w:pStyle w:val="BodyText"/>
      </w:pPr>
      <w:r>
        <w:t xml:space="preserve">Two design choices deserve explanation. The minimum-across rule is harsh by intention: a repository with excellent context files and no reproducible build will produce confident, unverifiable output, which is the failure mode the evidence in Section 3 documents most clearly. And the private eval suite in R8 is non-negotiable above tier 2, because public benchmarks are saturating, are contaminated, and are sensitive to infrastructure in ways that make vendor-reported numbers unreliable as a basis for delegation decisions [83-85].</w:t>
      </w:r>
    </w:p>
    <w:bookmarkEnd w:id="47"/>
    <w:bookmarkStart w:id="48" w:name="measuring-effectiveness"/>
    <w:p>
      <w:pPr>
        <w:pStyle w:val="Heading3"/>
      </w:pPr>
      <w:r>
        <w:t xml:space="preserve">5.4 Measuring effectiveness</w:t>
      </w:r>
    </w:p>
    <w:p>
      <w:pPr>
        <w:pStyle w:val="FirstParagraph"/>
      </w:pPr>
      <w:r>
        <w:t xml:space="preserve">Table 5.3 lists the metric set, grouped by what it can and cannot support. The set is small on purpose: SPACE’s rule is a handful of metrics across at least three dimensions, at least one perceptual [140].</w:t>
      </w:r>
    </w:p>
    <w:p>
      <w:pPr>
        <w:pStyle w:val="BodyText"/>
      </w:pPr>
      <w:r>
        <w:rPr>
          <w:bCs/>
          <w:b/>
        </w:rPr>
        <w:t xml:space="preserve">Table 5.3. Effectiveness metrics and permitted inferences</w:t>
      </w:r>
    </w:p>
    <w:tbl>
      <w:tblPr>
        <w:tblStyle w:val="Table"/>
        <w:tblW w:type="pct" w:w="5000"/>
        <w:tblLook w:firstRow="1" w:lastRow="0" w:firstColumn="0" w:lastColumn="0" w:noHBand="0" w:noVBand="0" w:val="0020"/>
        <w:jc w:val="start"/>
        <w:tblBorders>
          <w:top w:val="single" w:sz="4" w:color="C9D1D8"/>
          <w:left w:val="single" w:sz="4" w:color="C9D1D8"/>
          <w:bottom w:val="single" w:sz="4" w:color="C9D1D8"/>
          <w:right w:val="single" w:sz="4" w:color="C9D1D8"/>
          <w:insideH w:val="single" w:sz="4" w:color="C9D1D8"/>
          <w:insideV w:val="single" w:sz="4" w:color="C9D1D8"/>
        </w:tblBorders>
      </w:tblPr>
      <w:tblGrid>
        <w:gridCol w:w="1584"/>
        <w:gridCol w:w="1584"/>
        <w:gridCol w:w="1584"/>
        <w:gridCol w:w="1584"/>
        <w:gridCol w:w="1584"/>
      </w:tblGrid>
      <w:tr>
        <w:trPr>
          <w:tblHeader w:val="true"/>
        </w:trPr>
        <w:tc>
          <w:tcPr>
            <w:shd w:val="clear" w:color="auto" w:fill="EEF2F6"/>
          </w:tcPr>
          <w:p>
            <w:pPr>
              <w:pStyle w:val="Compact"/>
              <w:spacing w:after="40"/>
              <w:jc w:val="left"/>
            </w:pPr>
            <w:r>
              <w:rPr>
                <w:rFonts w:ascii="Calibri" w:hAnsi="Calibri"/>
                <w:b/>
                <w:sz w:val="17"/>
              </w:rPr>
              <w:t xml:space="preserve">Group</w:t>
            </w:r>
          </w:p>
        </w:tc>
        <w:tc>
          <w:tcPr>
            <w:shd w:val="clear" w:color="auto" w:fill="EEF2F6"/>
          </w:tcPr>
          <w:p>
            <w:pPr>
              <w:pStyle w:val="Compact"/>
              <w:spacing w:after="40"/>
              <w:jc w:val="left"/>
            </w:pPr>
            <w:r>
              <w:rPr>
                <w:rFonts w:ascii="Calibri" w:hAnsi="Calibri"/>
                <w:b/>
                <w:sz w:val="17"/>
              </w:rPr>
              <w:t xml:space="preserve">Metrics</w:t>
            </w:r>
          </w:p>
        </w:tc>
        <w:tc>
          <w:tcPr>
            <w:shd w:val="clear" w:color="auto" w:fill="EEF2F6"/>
          </w:tcPr>
          <w:p>
            <w:pPr>
              <w:pStyle w:val="Compact"/>
              <w:spacing w:after="40"/>
              <w:jc w:val="left"/>
            </w:pPr>
            <w:r>
              <w:rPr>
                <w:rFonts w:ascii="Calibri" w:hAnsi="Calibri"/>
                <w:b/>
                <w:sz w:val="17"/>
              </w:rPr>
              <w:t xml:space="preserve">Source</w:t>
            </w:r>
          </w:p>
        </w:tc>
        <w:tc>
          <w:tcPr>
            <w:shd w:val="clear" w:color="auto" w:fill="EEF2F6"/>
          </w:tcPr>
          <w:p>
            <w:pPr>
              <w:pStyle w:val="Compact"/>
              <w:spacing w:after="40"/>
              <w:jc w:val="left"/>
            </w:pPr>
            <w:r>
              <w:rPr>
                <w:rFonts w:ascii="Calibri" w:hAnsi="Calibri"/>
                <w:b/>
                <w:sz w:val="17"/>
              </w:rPr>
              <w:t xml:space="preserve">May support</w:t>
            </w:r>
          </w:p>
        </w:tc>
        <w:tc>
          <w:tcPr>
            <w:shd w:val="clear" w:color="auto" w:fill="EEF2F6"/>
          </w:tcPr>
          <w:p>
            <w:pPr>
              <w:pStyle w:val="Compact"/>
              <w:spacing w:after="40"/>
              <w:jc w:val="left"/>
            </w:pPr>
            <w:r>
              <w:rPr>
                <w:rFonts w:ascii="Calibri" w:hAnsi="Calibri"/>
                <w:b/>
                <w:sz w:val="17"/>
              </w:rPr>
              <w:t xml:space="preserve">May not support</w:t>
            </w:r>
          </w:p>
        </w:tc>
      </w:tr>
      <w:tr>
        <w:tc>
          <w:tcPr/>
          <w:p>
            <w:pPr>
              <w:pStyle w:val="Compact"/>
              <w:spacing w:after="40"/>
              <w:jc w:val="left"/>
            </w:pPr>
            <w:r>
              <w:rPr>
                <w:rFonts w:ascii="Calibri" w:hAnsi="Calibri"/>
                <w:sz w:val="17"/>
              </w:rPr>
              <w:t xml:space="preserve">Utilization (input)</w:t>
            </w:r>
          </w:p>
        </w:tc>
        <w:tc>
          <w:tcPr/>
          <w:p>
            <w:pPr>
              <w:pStyle w:val="Compact"/>
              <w:spacing w:after="40"/>
              <w:jc w:val="left"/>
            </w:pPr>
            <w:r>
              <w:rPr>
                <w:rFonts w:ascii="Calibri" w:hAnsi="Calibri"/>
                <w:sz w:val="17"/>
              </w:rPr>
              <w:t xml:space="preserve">Weekly active users of harnesses; share of PRs agent-assisted; tasks per class</w:t>
            </w:r>
          </w:p>
        </w:tc>
        <w:tc>
          <w:tcPr/>
          <w:p>
            <w:pPr>
              <w:pStyle w:val="Compact"/>
              <w:spacing w:after="40"/>
              <w:jc w:val="left"/>
            </w:pPr>
            <w:r>
              <w:rPr>
                <w:rFonts w:ascii="Calibri" w:hAnsi="Calibri"/>
                <w:sz w:val="17"/>
              </w:rPr>
              <w:t xml:space="preserve">Harness and VCS telemetry [143, 144]</w:t>
            </w:r>
          </w:p>
        </w:tc>
        <w:tc>
          <w:tcPr/>
          <w:p>
            <w:pPr>
              <w:pStyle w:val="Compact"/>
              <w:spacing w:after="40"/>
              <w:jc w:val="left"/>
            </w:pPr>
            <w:r>
              <w:rPr>
                <w:rFonts w:ascii="Calibri" w:hAnsi="Calibri"/>
                <w:sz w:val="17"/>
              </w:rPr>
              <w:t xml:space="preserve">Adoption tracking, cohort definition</w:t>
            </w:r>
          </w:p>
        </w:tc>
        <w:tc>
          <w:tcPr/>
          <w:p>
            <w:pPr>
              <w:pStyle w:val="Compact"/>
              <w:spacing w:after="40"/>
              <w:jc w:val="left"/>
            </w:pPr>
            <w:r>
              <w:rPr>
                <w:rFonts w:ascii="Calibri" w:hAnsi="Calibri"/>
                <w:sz w:val="17"/>
              </w:rPr>
              <w:t xml:space="preserve">Any productivity or ROI claim</w:t>
            </w:r>
          </w:p>
        </w:tc>
      </w:tr>
      <w:tr>
        <w:tc>
          <w:tcPr/>
          <w:p>
            <w:pPr>
              <w:pStyle w:val="Compact"/>
              <w:spacing w:after="40"/>
              <w:jc w:val="left"/>
            </w:pPr>
            <w:r>
              <w:rPr>
                <w:rFonts w:ascii="Calibri" w:hAnsi="Calibri"/>
                <w:sz w:val="17"/>
              </w:rPr>
              <w:t xml:space="preserve">Delivery (outcome)</w:t>
            </w:r>
          </w:p>
        </w:tc>
        <w:tc>
          <w:tcPr/>
          <w:p>
            <w:pPr>
              <w:pStyle w:val="Compact"/>
              <w:spacing w:after="40"/>
              <w:jc w:val="left"/>
            </w:pPr>
            <w:r>
              <w:rPr>
                <w:rFonts w:ascii="Calibri" w:hAnsi="Calibri"/>
                <w:sz w:val="17"/>
              </w:rPr>
              <w:t xml:space="preserve">Change lead time; deployment frequency; failed-deployment recovery time; change-failure rate; rework rate [139]</w:t>
            </w:r>
          </w:p>
        </w:tc>
        <w:tc>
          <w:tcPr/>
          <w:p>
            <w:pPr>
              <w:pStyle w:val="Compact"/>
              <w:spacing w:after="40"/>
              <w:jc w:val="left"/>
            </w:pPr>
            <w:r>
              <w:rPr>
                <w:rFonts w:ascii="Calibri" w:hAnsi="Calibri"/>
                <w:sz w:val="17"/>
              </w:rPr>
              <w:t xml:space="preserve">CI/CD, incident systems</w:t>
            </w:r>
          </w:p>
        </w:tc>
        <w:tc>
          <w:tcPr/>
          <w:p>
            <w:pPr>
              <w:pStyle w:val="Compact"/>
              <w:spacing w:after="40"/>
              <w:jc w:val="left"/>
            </w:pPr>
            <w:r>
              <w:rPr>
                <w:rFonts w:ascii="Calibri" w:hAnsi="Calibri"/>
                <w:sz w:val="17"/>
              </w:rPr>
              <w:t xml:space="preserve">System-level throughput and stability claims, per team over time</w:t>
            </w:r>
          </w:p>
        </w:tc>
        <w:tc>
          <w:tcPr/>
          <w:p>
            <w:pPr>
              <w:pStyle w:val="Compact"/>
              <w:spacing w:after="40"/>
              <w:jc w:val="left"/>
            </w:pPr>
            <w:r>
              <w:rPr>
                <w:rFonts w:ascii="Calibri" w:hAnsi="Calibri"/>
                <w:sz w:val="17"/>
              </w:rPr>
              <w:t xml:space="preserve">Attribution to a single tool without a comparison design</w:t>
            </w:r>
          </w:p>
        </w:tc>
      </w:tr>
      <w:tr>
        <w:tc>
          <w:tcPr/>
          <w:p>
            <w:pPr>
              <w:pStyle w:val="Compact"/>
              <w:spacing w:after="40"/>
              <w:jc w:val="left"/>
            </w:pPr>
            <w:r>
              <w:rPr>
                <w:rFonts w:ascii="Calibri" w:hAnsi="Calibri"/>
                <w:sz w:val="17"/>
              </w:rPr>
              <w:t xml:space="preserve">Quality and maintainability</w:t>
            </w:r>
          </w:p>
        </w:tc>
        <w:tc>
          <w:tcPr/>
          <w:p>
            <w:pPr>
              <w:pStyle w:val="Compact"/>
              <w:spacing w:after="40"/>
              <w:jc w:val="left"/>
            </w:pPr>
            <w:r>
              <w:rPr>
                <w:rFonts w:ascii="Calibri" w:hAnsi="Calibri"/>
                <w:sz w:val="17"/>
              </w:rPr>
              <w:t xml:space="preserve">Defect escape rate; vulnerabilities per agent-assisted change; duplication and churn trend; review time per PR; PR size</w:t>
            </w:r>
          </w:p>
        </w:tc>
        <w:tc>
          <w:tcPr/>
          <w:p>
            <w:pPr>
              <w:pStyle w:val="Compact"/>
              <w:spacing w:after="40"/>
              <w:jc w:val="left"/>
            </w:pPr>
            <w:r>
              <w:rPr>
                <w:rFonts w:ascii="Calibri" w:hAnsi="Calibri"/>
                <w:sz w:val="17"/>
              </w:rPr>
              <w:t xml:space="preserve">SAST/DAST, code analytics [39, 40, 42]</w:t>
            </w:r>
          </w:p>
        </w:tc>
        <w:tc>
          <w:tcPr/>
          <w:p>
            <w:pPr>
              <w:pStyle w:val="Compact"/>
              <w:spacing w:after="40"/>
              <w:jc w:val="left"/>
            </w:pPr>
            <w:r>
              <w:rPr>
                <w:rFonts w:ascii="Calibri" w:hAnsi="Calibri"/>
                <w:sz w:val="17"/>
              </w:rPr>
              <w:t xml:space="preserve">Early warning of the debt and review-load patterns seen in telemetry studies</w:t>
            </w:r>
          </w:p>
        </w:tc>
        <w:tc>
          <w:tcPr/>
          <w:p>
            <w:pPr>
              <w:pStyle w:val="Compact"/>
              <w:spacing w:after="40"/>
              <w:jc w:val="left"/>
            </w:pPr>
            <w:r>
              <w:rPr>
                <w:rFonts w:ascii="Calibri" w:hAnsi="Calibri"/>
                <w:sz w:val="17"/>
              </w:rPr>
              <w:t xml:space="preserve">Cross-company comparison</w:t>
            </w:r>
          </w:p>
        </w:tc>
      </w:tr>
      <w:tr>
        <w:tc>
          <w:tcPr/>
          <w:p>
            <w:pPr>
              <w:pStyle w:val="Compact"/>
              <w:spacing w:after="40"/>
              <w:jc w:val="left"/>
            </w:pPr>
            <w:r>
              <w:rPr>
                <w:rFonts w:ascii="Calibri" w:hAnsi="Calibri"/>
                <w:sz w:val="17"/>
              </w:rPr>
              <w:t xml:space="preserve">Reliability of delegation</w:t>
            </w:r>
          </w:p>
        </w:tc>
        <w:tc>
          <w:tcPr/>
          <w:p>
            <w:pPr>
              <w:pStyle w:val="Compact"/>
              <w:spacing w:after="40"/>
              <w:jc w:val="left"/>
            </w:pPr>
            <w:r>
              <w:rPr>
                <w:rFonts w:ascii="Calibri" w:hAnsi="Calibri"/>
                <w:sz w:val="17"/>
              </w:rPr>
              <w:t xml:space="preserve">pass^k on the private task suite by task class; wrong-solution share; cost per merged change</w:t>
            </w:r>
          </w:p>
        </w:tc>
        <w:tc>
          <w:tcPr/>
          <w:p>
            <w:pPr>
              <w:pStyle w:val="Compact"/>
              <w:spacing w:after="40"/>
              <w:jc w:val="left"/>
            </w:pPr>
            <w:r>
              <w:rPr>
                <w:rFonts w:ascii="Calibri" w:hAnsi="Calibri"/>
                <w:sz w:val="17"/>
              </w:rPr>
              <w:t xml:space="preserve">Eval harness [120, 121]</w:t>
            </w:r>
          </w:p>
        </w:tc>
        <w:tc>
          <w:tcPr/>
          <w:p>
            <w:pPr>
              <w:pStyle w:val="Compact"/>
              <w:spacing w:after="40"/>
              <w:jc w:val="left"/>
            </w:pPr>
            <w:r>
              <w:rPr>
                <w:rFonts w:ascii="Calibri" w:hAnsi="Calibri"/>
                <w:sz w:val="17"/>
              </w:rPr>
              <w:t xml:space="preserve">Delegation tier decisions; model or harness change control</w:t>
            </w:r>
          </w:p>
        </w:tc>
        <w:tc>
          <w:tcPr/>
          <w:p>
            <w:pPr>
              <w:pStyle w:val="Compact"/>
              <w:spacing w:after="40"/>
              <w:jc w:val="left"/>
            </w:pPr>
            <w:r>
              <w:rPr>
                <w:rFonts w:ascii="Calibri" w:hAnsi="Calibri"/>
                <w:sz w:val="17"/>
              </w:rPr>
              <w:t xml:space="preserve">Public benchmark comparisons</w:t>
            </w:r>
          </w:p>
        </w:tc>
      </w:tr>
      <w:tr>
        <w:tc>
          <w:tcPr/>
          <w:p>
            <w:pPr>
              <w:pStyle w:val="Compact"/>
              <w:spacing w:after="40"/>
              <w:jc w:val="left"/>
            </w:pPr>
            <w:r>
              <w:rPr>
                <w:rFonts w:ascii="Calibri" w:hAnsi="Calibri"/>
                <w:sz w:val="17"/>
              </w:rPr>
              <w:t xml:space="preserve">Business and capacity</w:t>
            </w:r>
          </w:p>
        </w:tc>
        <w:tc>
          <w:tcPr/>
          <w:p>
            <w:pPr>
              <w:pStyle w:val="Compact"/>
              <w:spacing w:after="40"/>
              <w:jc w:val="left"/>
            </w:pPr>
            <w:r>
              <w:rPr>
                <w:rFonts w:ascii="Calibri" w:hAnsi="Calibri"/>
                <w:sz w:val="17"/>
              </w:rPr>
              <w:t xml:space="preserve">Idea-to-production time for priority workflows; share of engineering time on new capabilities; use-case value with agreed accounting [141, 213]</w:t>
            </w:r>
          </w:p>
        </w:tc>
        <w:tc>
          <w:tcPr/>
          <w:p>
            <w:pPr>
              <w:pStyle w:val="Compact"/>
              <w:spacing w:after="40"/>
              <w:jc w:val="left"/>
            </w:pPr>
            <w:r>
              <w:rPr>
                <w:rFonts w:ascii="Calibri" w:hAnsi="Calibri"/>
                <w:sz w:val="17"/>
              </w:rPr>
              <w:t xml:space="preserve">Portfolio and finance systems</w:t>
            </w:r>
          </w:p>
        </w:tc>
        <w:tc>
          <w:tcPr/>
          <w:p>
            <w:pPr>
              <w:pStyle w:val="Compact"/>
              <w:spacing w:after="40"/>
              <w:jc w:val="left"/>
            </w:pPr>
            <w:r>
              <w:rPr>
                <w:rFonts w:ascii="Calibri" w:hAnsi="Calibri"/>
                <w:sz w:val="17"/>
              </w:rPr>
              <w:t xml:space="preserve">ROI by use case; investment decisions</w:t>
            </w:r>
          </w:p>
        </w:tc>
        <w:tc>
          <w:tcPr/>
          <w:p>
            <w:pPr>
              <w:pStyle w:val="Compact"/>
              <w:spacing w:after="40"/>
              <w:jc w:val="left"/>
            </w:pPr>
            <w:r>
              <w:rPr>
                <w:rFonts w:ascii="Calibri" w:hAnsi="Calibri"/>
                <w:sz w:val="17"/>
              </w:rPr>
              <w:t xml:space="preserve">Enterprise-level EBIT attribution without finance sign-off</w:t>
            </w:r>
          </w:p>
        </w:tc>
      </w:tr>
      <w:tr>
        <w:tc>
          <w:tcPr/>
          <w:p>
            <w:pPr>
              <w:pStyle w:val="Compact"/>
              <w:spacing w:after="40"/>
              <w:jc w:val="left"/>
            </w:pPr>
            <w:r>
              <w:rPr>
                <w:rFonts w:ascii="Calibri" w:hAnsi="Calibri"/>
                <w:sz w:val="17"/>
              </w:rPr>
              <w:t xml:space="preserve">Experience and trust</w:t>
            </w:r>
          </w:p>
        </w:tc>
        <w:tc>
          <w:tcPr/>
          <w:p>
            <w:pPr>
              <w:pStyle w:val="Compact"/>
              <w:spacing w:after="40"/>
              <w:jc w:val="left"/>
            </w:pPr>
            <w:r>
              <w:rPr>
                <w:rFonts w:ascii="Calibri" w:hAnsi="Calibri"/>
                <w:sz w:val="17"/>
              </w:rPr>
              <w:t xml:space="preserve">Developer experience index or equivalent survey; trust in AI output; skill-maintenance signals</w:t>
            </w:r>
          </w:p>
        </w:tc>
        <w:tc>
          <w:tcPr/>
          <w:p>
            <w:pPr>
              <w:pStyle w:val="Compact"/>
              <w:spacing w:after="40"/>
              <w:jc w:val="left"/>
            </w:pPr>
            <w:r>
              <w:rPr>
                <w:rFonts w:ascii="Calibri" w:hAnsi="Calibri"/>
                <w:sz w:val="17"/>
              </w:rPr>
              <w:t xml:space="preserve">Quarterly survey [48, 140]</w:t>
            </w:r>
          </w:p>
        </w:tc>
        <w:tc>
          <w:tcPr/>
          <w:p>
            <w:pPr>
              <w:pStyle w:val="Compact"/>
              <w:spacing w:after="40"/>
              <w:jc w:val="left"/>
            </w:pPr>
            <w:r>
              <w:rPr>
                <w:rFonts w:ascii="Calibri" w:hAnsi="Calibri"/>
                <w:sz w:val="17"/>
              </w:rPr>
              <w:t xml:space="preserve">Satisfaction, trust and retention findings</w:t>
            </w:r>
          </w:p>
        </w:tc>
        <w:tc>
          <w:tcPr/>
          <w:p>
            <w:pPr>
              <w:pStyle w:val="Compact"/>
              <w:spacing w:after="40"/>
              <w:jc w:val="left"/>
            </w:pPr>
            <w:r>
              <w:rPr>
                <w:rFonts w:ascii="Calibri" w:hAnsi="Calibri"/>
                <w:sz w:val="17"/>
              </w:rPr>
              <w:t xml:space="preserve">Time-savings or ROI claims</w:t>
            </w:r>
          </w:p>
        </w:tc>
      </w:tr>
      <w:tr>
        <w:tc>
          <w:tcPr/>
          <w:p>
            <w:pPr>
              <w:pStyle w:val="Compact"/>
              <w:spacing w:after="40"/>
              <w:jc w:val="left"/>
            </w:pPr>
            <w:r>
              <w:rPr>
                <w:rFonts w:ascii="Calibri" w:hAnsi="Calibri"/>
                <w:sz w:val="17"/>
              </w:rPr>
              <w:t xml:space="preserve">Risk</w:t>
            </w:r>
          </w:p>
        </w:tc>
        <w:tc>
          <w:tcPr/>
          <w:p>
            <w:pPr>
              <w:pStyle w:val="Compact"/>
              <w:spacing w:after="40"/>
              <w:jc w:val="left"/>
            </w:pPr>
            <w:r>
              <w:rPr>
                <w:rFonts w:ascii="Calibri" w:hAnsi="Calibri"/>
                <w:sz w:val="17"/>
              </w:rPr>
              <w:t xml:space="preserve">Agent incidents; policy violations; blocked injection attempts; permission exceptions; inventory coverage</w:t>
            </w:r>
          </w:p>
        </w:tc>
        <w:tc>
          <w:tcPr/>
          <w:p>
            <w:pPr>
              <w:pStyle w:val="Compact"/>
              <w:spacing w:after="40"/>
              <w:jc w:val="left"/>
            </w:pPr>
            <w:r>
              <w:rPr>
                <w:rFonts w:ascii="Calibri" w:hAnsi="Calibri"/>
                <w:sz w:val="17"/>
              </w:rPr>
              <w:t xml:space="preserve">Gateway, sandbox and audit logs [108, 114]</w:t>
            </w:r>
          </w:p>
        </w:tc>
        <w:tc>
          <w:tcPr/>
          <w:p>
            <w:pPr>
              <w:pStyle w:val="Compact"/>
              <w:spacing w:after="40"/>
              <w:jc w:val="left"/>
            </w:pPr>
            <w:r>
              <w:rPr>
                <w:rFonts w:ascii="Calibri" w:hAnsi="Calibri"/>
                <w:sz w:val="17"/>
              </w:rPr>
              <w:t xml:space="preserve">Governance-effectiveness claims; regulatory evidence</w:t>
            </w:r>
          </w:p>
        </w:tc>
        <w:tc>
          <w:tcPr/>
          <w:p>
            <w:pPr>
              <w:pStyle w:val="Compact"/>
              <w:spacing w:after="40"/>
              <w:jc w:val="left"/>
            </w:pPr>
            <w:r>
              <w:rPr>
                <w:rFonts w:ascii="Calibri" w:hAnsi="Calibri"/>
                <w:sz w:val="17"/>
              </w:rPr>
              <w:t xml:space="preserve">Absence-of-risk claims</w:t>
            </w:r>
          </w:p>
        </w:tc>
      </w:tr>
    </w:tbl>
    <w:p>
      <w:pPr>
        <w:pStyle w:val="BodyText"/>
      </w:pPr>
      <w:r>
        <w:t xml:space="preserve">Where a decision is large (an enterprise-wide rollout, a headcount plan, a build-versus-buy choice), the organization should run a comparison design: a staggered rollout with matched teams, or a within-team randomized assignment of tasks, following the published field experiments [31, 32, 35]. METR’s experience is a warning about design validity when participants can self-select or substitute tasks [29]; the DORA ROI model is a useful template for framing expected J-curves and instability costs before the fact [138].</w:t>
      </w:r>
    </w:p>
    <w:bookmarkEnd w:id="48"/>
    <w:bookmarkStart w:id="49" w:name="assessment-procedure"/>
    <w:p>
      <w:pPr>
        <w:pStyle w:val="Heading3"/>
      </w:pPr>
      <w:r>
        <w:t xml:space="preserve">5.5 Assessment procedure</w:t>
      </w:r>
    </w:p>
    <w:p>
      <w:pPr>
        <w:pStyle w:val="FirstParagraph"/>
      </w:pPr>
      <w:r>
        <w:t xml:space="preserve">The procedure follows the phases of maturity-model development and application [49, 226] and can be completed for a first cut in one quarter.</w:t>
      </w:r>
    </w:p>
    <w:p>
      <w:pPr>
        <w:numPr>
          <w:ilvl w:val="0"/>
          <w:numId w:val="1006"/>
        </w:numPr>
        <w:pStyle w:val="Compact"/>
      </w:pPr>
      <w:r>
        <w:rPr>
          <w:bCs/>
          <w:b/>
        </w:rPr>
        <w:t xml:space="preserve">Scope.</w:t>
      </w:r>
      <w:r>
        <w:t xml:space="preserve"> </w:t>
      </w:r>
      <w:r>
        <w:t xml:space="preserve">Define the unit of assessment (organization, division, platform) and the task classes for Layer 2 (for example: dependency upgrades, test generation, bug fixes with reproduction, feature work, migrations). Record the legal classification of each AI use case per applicable regime (EU Art. 6 rationale; MAS materiality; SR 26-2 scope status) [67, 68, 164].</w:t>
      </w:r>
    </w:p>
    <w:p>
      <w:pPr>
        <w:numPr>
          <w:ilvl w:val="0"/>
          <w:numId w:val="1006"/>
        </w:numPr>
        <w:pStyle w:val="Compact"/>
      </w:pPr>
      <w:r>
        <w:rPr>
          <w:bCs/>
          <w:b/>
        </w:rPr>
        <w:t xml:space="preserve">Inventory.</w:t>
      </w:r>
      <w:r>
        <w:t xml:space="preserve"> </w:t>
      </w:r>
      <w:r>
        <w:t xml:space="preserve">Build or update the enterprise AI inventory to include harnesses, models, MCP servers, context files, skills and agents, with owners, purpose, data access and lifecycle status. This is a regulatory expectation in its own right [68, 150, 153].</w:t>
      </w:r>
    </w:p>
    <w:p>
      <w:pPr>
        <w:numPr>
          <w:ilvl w:val="0"/>
          <w:numId w:val="1006"/>
        </w:numPr>
        <w:pStyle w:val="Compact"/>
      </w:pPr>
      <w:r>
        <w:rPr>
          <w:bCs/>
          <w:b/>
        </w:rPr>
        <w:t xml:space="preserve">Instrument.</w:t>
      </w:r>
      <w:r>
        <w:t xml:space="preserve"> </w:t>
      </w:r>
      <w:r>
        <w:t xml:space="preserve">Connect harness telemetry, version control, CI, incident and security tooling to a measurement store; agree the value-accounting method with finance before any number is published (the DBS Digital Value Capture practice) [213].</w:t>
      </w:r>
    </w:p>
    <w:p>
      <w:pPr>
        <w:numPr>
          <w:ilvl w:val="0"/>
          <w:numId w:val="1006"/>
        </w:numPr>
        <w:pStyle w:val="Compact"/>
      </w:pPr>
      <w:r>
        <w:rPr>
          <w:bCs/>
          <w:b/>
        </w:rPr>
        <w:t xml:space="preserve">Baseline.</w:t>
      </w:r>
      <w:r>
        <w:t xml:space="preserve"> </w:t>
      </w:r>
      <w:r>
        <w:t xml:space="preserve">Compute Layer 2 indicators for the repositories that carry the most agent traffic and the most risk; run the initial private eval suite (20-50 real tasks per class, sourced from recent tickets and failures) [120].</w:t>
      </w:r>
    </w:p>
    <w:p>
      <w:pPr>
        <w:numPr>
          <w:ilvl w:val="0"/>
          <w:numId w:val="1006"/>
        </w:numPr>
        <w:pStyle w:val="Compact"/>
      </w:pPr>
      <w:r>
        <w:rPr>
          <w:bCs/>
          <w:b/>
        </w:rPr>
        <w:t xml:space="preserve">Score and calibrate.</w:t>
      </w:r>
      <w:r>
        <w:t xml:space="preserve"> </w:t>
      </w:r>
      <w:r>
        <w:t xml:space="preserve">Score both layers with evidence attached to each cell; have a second assessor or internal audit re-score a sample; publish the profile, not an average.</w:t>
      </w:r>
    </w:p>
    <w:p>
      <w:pPr>
        <w:numPr>
          <w:ilvl w:val="0"/>
          <w:numId w:val="1006"/>
        </w:numPr>
        <w:pStyle w:val="Compact"/>
      </w:pPr>
      <w:r>
        <w:rPr>
          <w:bCs/>
          <w:b/>
        </w:rPr>
        <w:t xml:space="preserve">Act.</w:t>
      </w:r>
      <w:r>
        <w:t xml:space="preserve"> </w:t>
      </w:r>
      <w:r>
        <w:t xml:space="preserve">For each repository, the improvement measure is whatever lifts the minimum dimension; for the organization, the improvement measure is whatever lifts the weakest of the six. This is the prescriptive half that most models lack [50].</w:t>
      </w:r>
    </w:p>
    <w:p>
      <w:pPr>
        <w:numPr>
          <w:ilvl w:val="0"/>
          <w:numId w:val="1006"/>
        </w:numPr>
        <w:pStyle w:val="Compact"/>
      </w:pPr>
      <w:r>
        <w:rPr>
          <w:bCs/>
          <w:b/>
        </w:rPr>
        <w:t xml:space="preserve">Re-assess.</w:t>
      </w:r>
      <w:r>
        <w:t xml:space="preserve"> </w:t>
      </w:r>
      <w:r>
        <w:t xml:space="preserve">Quarterly for Layer 2 (models, harnesses and repositories change fast), semi-annually for Layer 1, and on any model or harness change for the eval suite.</w:t>
      </w:r>
    </w:p>
    <w:bookmarkEnd w:id="49"/>
    <w:bookmarkStart w:id="50" w:name="a-12-month-path"/>
    <w:p>
      <w:pPr>
        <w:pStyle w:val="Heading3"/>
      </w:pPr>
      <w:r>
        <w:t xml:space="preserve">5.6 A 12-month path</w:t>
      </w:r>
    </w:p>
    <w:p>
      <w:pPr>
        <w:pStyle w:val="FirstParagraph"/>
      </w:pPr>
      <w:r>
        <w:rPr>
          <w:bCs/>
          <w:b/>
        </w:rPr>
        <w:t xml:space="preserve">Days 0-90: foundations.</w:t>
      </w:r>
      <w:r>
        <w:t xml:space="preserve"> </w:t>
      </w:r>
      <w:r>
        <w:t xml:space="preserve">Publish an AI stance and acceptable-use policy (DORA capability 1). Stand up an LLM gateway with approved models and a sandboxed execution path for agents. Create the inventory. Pick three to five repositories with high agent traffic and compute Layer 2 baselines. Fix the minimum dimension in each: usually reproducible builds, flaky tests and missing acceptance criteria rather than context files. Write short, team-owned context files where none exist and delete generated overviews [10, 80]. Start the private eval suite with real tasks. Baseline DORA metrics per team.</w:t>
      </w:r>
    </w:p>
    <w:p>
      <w:pPr>
        <w:pStyle w:val="BodyText"/>
      </w:pPr>
      <w:r>
        <w:rPr>
          <w:bCs/>
          <w:b/>
        </w:rPr>
        <w:t xml:space="preserve">Days 90-180: delegation with checkpoints.</w:t>
      </w:r>
      <w:r>
        <w:t xml:space="preserve"> </w:t>
      </w:r>
      <w:r>
        <w:t xml:space="preserve">Expose certified knowledge sources through a harness-independent transport with permissions; retire per-team copy-paste supply chains. Move agent changes into the governed PR flow with branch protections, separate approvers, scoped agent identities and audit logs [95, 126]. Define checkpoints for irreversible actions. Promote task classes to</w:t>
      </w:r>
      <w:r>
        <w:t xml:space="preserve"> </w:t>
      </w:r>
      <w:r>
        <w:t xml:space="preserve">“</w:t>
      </w:r>
      <w:r>
        <w:t xml:space="preserve">delegable with checkpoints</w:t>
      </w:r>
      <w:r>
        <w:t xml:space="preserve">”</w:t>
      </w:r>
      <w:r>
        <w:t xml:space="preserve"> </w:t>
      </w:r>
      <w:r>
        <w:t xml:space="preserve">only when pass^k on the private suite clears the agreed threshold. Begin review-load, duplication and vulnerability monitoring on agent-assisted changes. Launch role-based fluency training, including supervision of agents as an explicit engineering skill [137, 193].</w:t>
      </w:r>
    </w:p>
    <w:p>
      <w:pPr>
        <w:pStyle w:val="BodyText"/>
      </w:pPr>
      <w:r>
        <w:rPr>
          <w:bCs/>
          <w:b/>
        </w:rPr>
        <w:t xml:space="preserve">Days 180-365: scale on evidence.</w:t>
      </w:r>
      <w:r>
        <w:t xml:space="preserve"> </w:t>
      </w:r>
      <w:r>
        <w:t xml:space="preserve">Run one comparison design on a decision that matters. Extend Layer 2 to the long tail of repositories using automated indicators. Bring high-materiality agent systems under independent validation, lifetime logging and kill-switch controls; map the evidence to the regulatory set (Section 4.3) and, if useful for external assurance, to ISO/IEC 42001 [68, 150]. Re-base efficiency targets only on measured outcomes, and publish redeployment plans before headcount decisions [194, 203]. Institute regression evals on every model and harness change; keep the harness swappable [3].</w:t>
      </w:r>
    </w:p>
    <w:bookmarkEnd w:id="50"/>
    <w:bookmarkStart w:id="51" w:name="regulated-industry-overlay"/>
    <w:p>
      <w:pPr>
        <w:pStyle w:val="Heading3"/>
      </w:pPr>
      <w:r>
        <w:t xml:space="preserve">5.7 Regulated-industry overlay</w:t>
      </w:r>
    </w:p>
    <w:p>
      <w:pPr>
        <w:pStyle w:val="FirstParagraph"/>
      </w:pPr>
      <w:r>
        <w:t xml:space="preserve">For a financial institution the framework’s cells map onto supervisory expectations as follows. Layer 1 governance criteria at level 3 correspond to the board framework, inventory and materiality requirements of the MAS proposal (sections 2-3), PRA SS1/23 model classification and SMF accountability, and ISO/IEC 42001 clauses on roles and impact assessment [68, 150, 176]. Level 4 corresponds to MAS lifecycle sections on independent validation, monitoring with kill switches and version control of code, data and parameters, to EU AI Act Articles 12, 14 and 72 for any high-risk use, and to DORA’s third-party register and exit planning for model and platform providers [68, 162, 165]. Layer 2 dimensions R7 and R8 produce the agent-specific evidence that IMDA’s agentic framework, OWASP’s Agent Control Standard, NIST’s agent-identity work and IOSCO’s 2026 toolkit describe: bounded autonomy, checkpoints, identity and least privilege, traceability, and pipeline-level testing [108, 126, 127, 180]. In the United States the SR 26-2 carve-out means a bank’s coding-agent program currently sits under enterprise risk, third-party and cyber frameworks rather than model risk management; the assessment record should say so explicitly and be ready for the interagency request for information [67]. Supply-chain evidence (provenance for agent-generated changes, model and dataset bills of materials, provider documentation forms under the GPAI Code of Practice) closes the loop [163, 187, 188].</w:t>
      </w:r>
    </w:p>
    <w:bookmarkEnd w:id="51"/>
    <w:bookmarkStart w:id="52" w:name="anti-patterns"/>
    <w:p>
      <w:pPr>
        <w:pStyle w:val="Heading3"/>
      </w:pPr>
      <w:r>
        <w:t xml:space="preserve">5.8 Anti-patterns</w:t>
      </w:r>
    </w:p>
    <w:p>
      <w:pPr>
        <w:pStyle w:val="FirstParagraph"/>
      </w:pPr>
      <w:r>
        <w:t xml:space="preserve">The public record supplies a short list of practices that look like maturity and are not.</w:t>
      </w:r>
    </w:p>
    <w:p>
      <w:pPr>
        <w:numPr>
          <w:ilvl w:val="0"/>
          <w:numId w:val="1007"/>
        </w:numPr>
        <w:pStyle w:val="Compact"/>
      </w:pPr>
      <w:r>
        <w:rPr>
          <w:bCs/>
          <w:b/>
        </w:rPr>
        <w:t xml:space="preserve">Usage mandates as maturity.</w:t>
      </w:r>
      <w:r>
        <w:t xml:space="preserve"> </w:t>
      </w:r>
      <w:r>
        <w:t xml:space="preserve">Tying performance reviews to tool usage, or setting AI-generated-code targets, optimizes the input metric and invites gaming; DX and the Beck-Orosz critique predicted it, and the JPMorgan and Coinbase reports show it in practice [45, 141, 142, 202].</w:t>
      </w:r>
    </w:p>
    <w:p>
      <w:pPr>
        <w:numPr>
          <w:ilvl w:val="0"/>
          <w:numId w:val="1007"/>
        </w:numPr>
        <w:pStyle w:val="Compact"/>
      </w:pPr>
      <w:r>
        <w:rPr>
          <w:bCs/>
          <w:b/>
        </w:rPr>
        <w:t xml:space="preserve">Self-reported time savings as ROI.</w:t>
      </w:r>
      <w:r>
        <w:t xml:space="preserve"> </w:t>
      </w:r>
      <w:r>
        <w:t xml:space="preserve">The 40-point overestimation in METR’s data and the 19% slowdown against a 24% forecast are the reference numbers [28, 30].</w:t>
      </w:r>
    </w:p>
    <w:p>
      <w:pPr>
        <w:numPr>
          <w:ilvl w:val="0"/>
          <w:numId w:val="1007"/>
        </w:numPr>
        <w:pStyle w:val="Compact"/>
      </w:pPr>
      <w:r>
        <w:rPr>
          <w:bCs/>
          <w:b/>
        </w:rPr>
        <w:t xml:space="preserve">Cost-only evaluation.</w:t>
      </w:r>
      <w:r>
        <w:t xml:space="preserve"> </w:t>
      </w:r>
      <w:r>
        <w:t xml:space="preserve">Klarna’s reversal is the canonical case [225].</w:t>
      </w:r>
    </w:p>
    <w:p>
      <w:pPr>
        <w:numPr>
          <w:ilvl w:val="0"/>
          <w:numId w:val="1007"/>
        </w:numPr>
        <w:pStyle w:val="Compact"/>
      </w:pPr>
      <w:r>
        <w:rPr>
          <w:bCs/>
          <w:b/>
        </w:rPr>
        <w:t xml:space="preserve">Front-loaded context.</w:t>
      </w:r>
      <w:r>
        <w:t xml:space="preserve"> </w:t>
      </w:r>
      <w:r>
        <w:t xml:space="preserve">Generated repository overviews and long instruction files raise cost and do not raise success [80].</w:t>
      </w:r>
    </w:p>
    <w:p>
      <w:pPr>
        <w:numPr>
          <w:ilvl w:val="0"/>
          <w:numId w:val="1007"/>
        </w:numPr>
        <w:pStyle w:val="Compact"/>
      </w:pPr>
      <w:r>
        <w:rPr>
          <w:bCs/>
          <w:b/>
        </w:rPr>
        <w:t xml:space="preserve">Public benchmarks as delegation evidence.</w:t>
      </w:r>
      <w:r>
        <w:t xml:space="preserve"> </w:t>
      </w:r>
      <w:r>
        <w:t xml:space="preserve">Contamination, weak tests and infrastructure noise make them unfit for that purpose [84, 85].</w:t>
      </w:r>
    </w:p>
    <w:p>
      <w:pPr>
        <w:numPr>
          <w:ilvl w:val="0"/>
          <w:numId w:val="1007"/>
        </w:numPr>
        <w:pStyle w:val="Compact"/>
      </w:pPr>
      <w:r>
        <w:rPr>
          <w:bCs/>
          <w:b/>
        </w:rPr>
        <w:t xml:space="preserve">Local optimization.</w:t>
      </w:r>
      <w:r>
        <w:t xml:space="preserve"> </w:t>
      </w:r>
      <w:r>
        <w:t xml:space="preserve">Team-level throughput gains that arrive as review load, PR size and instability at the system level [37, 39].</w:t>
      </w:r>
    </w:p>
    <w:p>
      <w:pPr>
        <w:numPr>
          <w:ilvl w:val="0"/>
          <w:numId w:val="1007"/>
        </w:numPr>
        <w:pStyle w:val="Compact"/>
      </w:pPr>
      <w:r>
        <w:rPr>
          <w:bCs/>
          <w:b/>
        </w:rPr>
        <w:t xml:space="preserve">Shadow agents and permission creep.</w:t>
      </w:r>
      <w:r>
        <w:t xml:space="preserve"> </w:t>
      </w:r>
      <w:r>
        <w:t xml:space="preserve">Agents outside the inventory, sharing credentials, or accumulating scopes; the sprawl taxonomy and the credential concern raised by JPMorgan’s chief analytics officer name the risk [64, 199].</w:t>
      </w:r>
    </w:p>
    <w:p>
      <w:pPr>
        <w:numPr>
          <w:ilvl w:val="0"/>
          <w:numId w:val="1007"/>
        </w:numPr>
        <w:pStyle w:val="Compact"/>
      </w:pPr>
      <w:r>
        <w:rPr>
          <w:bCs/>
          <w:b/>
        </w:rPr>
        <w:t xml:space="preserve">Skill atrophy unmonitored.</w:t>
      </w:r>
      <w:r>
        <w:t xml:space="preserve"> </w:t>
      </w:r>
      <w:r>
        <w:t xml:space="preserve">Anthropic’s internal study and Argenti’s argument for problem-definition skills point to the same long-run readiness risk [197, 222].</w:t>
      </w:r>
    </w:p>
    <w:bookmarkEnd w:id="52"/>
    <w:bookmarkEnd w:id="53"/>
    <w:bookmarkStart w:id="54" w:name="limitations-and-threats-to-validity"/>
    <w:p>
      <w:pPr>
        <w:pStyle w:val="Heading2"/>
      </w:pPr>
      <w:r>
        <w:t xml:space="preserve">6. Limitations and threats to validity</w:t>
      </w:r>
    </w:p>
    <w:p>
      <w:pPr>
        <w:pStyle w:val="FirstParagraph"/>
      </w:pPr>
      <w:r>
        <w:rPr>
          <w:bCs/>
          <w:b/>
        </w:rPr>
        <w:t xml:space="preserve">Evidence base.</w:t>
      </w:r>
      <w:r>
        <w:t xml:space="preserve"> </w:t>
      </w:r>
      <w:r>
        <w:t xml:space="preserve">Much of the quantitative material in Sections 2 and 4 is survey-based and self-reported (McKinsey, BCG, IBM, Deloitte, Stack Overflow, DORA) or vendor telemetry from self-selected customer bases (Faros, GitClear, Uplevel, Veracode). We have used such sources for direction and for the existence of patterns, not for magnitudes, and have ranked them below randomized field experiments throughout. The randomized evidence itself is thin: a handful of studies, mostly on bounded tasks, mostly with tools from 2023-2025, and in METR’s case with a design the authors themselves judge compromised by selection and task substitution [29]. The most-cited</w:t>
      </w:r>
      <w:r>
        <w:t xml:space="preserve"> </w:t>
      </w:r>
      <w:r>
        <w:t xml:space="preserve">“</w:t>
      </w:r>
      <w:r>
        <w:t xml:space="preserve">failure</w:t>
      </w:r>
      <w:r>
        <w:t xml:space="preserve">”</w:t>
      </w:r>
      <w:r>
        <w:t xml:space="preserve"> </w:t>
      </w:r>
      <w:r>
        <w:t xml:space="preserve">statistic in the field (95%) does not survive scrutiny and is reported here only with its caveats [22, 23].</w:t>
      </w:r>
    </w:p>
    <w:p>
      <w:pPr>
        <w:pStyle w:val="BodyText"/>
      </w:pPr>
      <w:r>
        <w:rPr>
          <w:bCs/>
          <w:b/>
        </w:rPr>
        <w:t xml:space="preserve">Recency and volatility.</w:t>
      </w:r>
      <w:r>
        <w:t xml:space="preserve"> </w:t>
      </w:r>
      <w:r>
        <w:t xml:space="preserve">Model capability, harness design and protocol specifications changed materially during the months this paper covers (MCP’s stateless revision in July 2026, new frontier models in July and September 2026, the EU Omnibus in July 2026, SR 26-2 in April 2026). Several figures will be stale within a year; the framework is designed so that the indicators, not the numbers, carry the weight. Two anticipated sources were not yet available at the time of writing: DORA’s 2026 State of AI-assisted Software Development report and MAS’s final AI risk management guidelines.</w:t>
      </w:r>
    </w:p>
    <w:p>
      <w:pPr>
        <w:pStyle w:val="BodyText"/>
      </w:pPr>
      <w:r>
        <w:rPr>
          <w:bCs/>
          <w:b/>
        </w:rPr>
        <w:t xml:space="preserve">Case studies.</w:t>
      </w:r>
      <w:r>
        <w:t xml:space="preserve"> </w:t>
      </w:r>
      <w:r>
        <w:t xml:space="preserve">Company case material comes from press releases, earnings calls, memos reported in the press and executive interviews. Almost none of it is independently audited, productivity figures are rarely defined, and the incentives to overstate are obvious. Where a primary outlet was inaccessible, the syndicated version is cited; where a figure is secondary (for example, the Forbes syntheses of Goldman Sachs and JPMorgan practice), the text says so.</w:t>
      </w:r>
    </w:p>
    <w:p>
      <w:pPr>
        <w:pStyle w:val="BodyText"/>
      </w:pPr>
      <w:r>
        <w:rPr>
          <w:bCs/>
          <w:b/>
        </w:rPr>
        <w:t xml:space="preserve">Framework validation.</w:t>
      </w:r>
      <w:r>
        <w:t xml:space="preserve"> </w:t>
      </w:r>
      <w:r>
        <w:t xml:space="preserve">AIMM has not been empirically validated against outcomes. It satisfies the design requirements of comparison with existing models, problem definition and documented construction, and it is prescriptive rather than only descriptive, but it lacks the iterative evaluation that Becker et al. require and that Sadiq et al. found missing in most AI maturity models [49, 52]. Its Layer 2 indicators are computable but their thresholds are provisional; the minimum-across rule and the pass^k gate are borrowed from adjacent domains rather than fitted to data. Validation would require a panel of organizations scoring both layers and tracking DORA, quality and value outcomes over at least a year, ideally with staggered adoption, and we would welcome collaborators.</w:t>
      </w:r>
    </w:p>
    <w:p>
      <w:pPr>
        <w:pStyle w:val="BodyText"/>
      </w:pPr>
      <w:r>
        <w:rPr>
          <w:bCs/>
          <w:b/>
        </w:rPr>
        <w:t xml:space="preserve">Scope.</w:t>
      </w:r>
      <w:r>
        <w:t xml:space="preserve"> </w:t>
      </w:r>
      <w:r>
        <w:t xml:space="preserve">The agent-readiness layer is written for software engineering because that is where agents are most scaled and best measured. Enterprise agents in operations, finance and customer service share the same eight context classes, but their verification signals and environments differ, and the indicators in Table 5.2 would need re-specification.</w:t>
      </w:r>
    </w:p>
    <w:p>
      <w:pPr>
        <w:pStyle w:val="BodyText"/>
      </w:pPr>
      <w:r>
        <w:rPr>
          <w:bCs/>
          <w:b/>
        </w:rPr>
        <w:t xml:space="preserve">Author standpoint.</w:t>
      </w:r>
      <w:r>
        <w:t xml:space="preserve"> </w:t>
      </w:r>
      <w:r>
        <w:t xml:space="preserve">The author works inside a large, regulated organization and is not neutral about the importance of governance evidence. Readers in less regulated settings may reasonably weight the Layer 1 governance dimension lower than this paper does.</w:t>
      </w:r>
    </w:p>
    <w:bookmarkEnd w:id="54"/>
    <w:bookmarkStart w:id="55" w:name="conclusion"/>
    <w:p>
      <w:pPr>
        <w:pStyle w:val="Heading2"/>
      </w:pPr>
      <w:r>
        <w:t xml:space="preserve">7. Conclusion</w:t>
      </w:r>
    </w:p>
    <w:p>
      <w:pPr>
        <w:pStyle w:val="FirstParagraph"/>
      </w:pPr>
      <w:r>
        <w:t xml:space="preserve">The industry’s AI maturity problem is not that organizations lack models to assess themselves with; it is that the models measure the wrong things at the wrong altitude. Adoption and usage are high and rising, value is concentrated in a stable few percent of organizations, and the discriminating variables are workflow redesign, organizational capability and, for agents, the readiness of the estate they act on. The evidence on what agents need as context is now good enough to be prescriptive: executable and well-tested environments, cross-file repository context, short and prescriptive organizational knowledge reachable on demand, precise task specifications, machine-readable verification, state outside the context window, and tools with identities and checkpoints. Regulators, especially in Singapore and the EU, have converged on an evidence set that an assessment should produce as a by-product rather than as a separate exercise, while the US banking agencies have, for now, left generative and agentic systems outside model risk management and thereby raised the value of a firm’s own evidence.</w:t>
      </w:r>
    </w:p>
    <w:p>
      <w:pPr>
        <w:pStyle w:val="BodyText"/>
      </w:pPr>
      <w:r>
        <w:t xml:space="preserve">AIMM combines these into a two-layer instrument: six organizational dimensions scored on regulator-shaped evidence, and an eight-dimension agent-readiness index for repositories and workflows scored on the minimum across dimensions and gated by reliability on a private task suite. A regular company can baseline both layers in a quarter with telemetry it already has, and can reach delegation with checkpoints for well-specified task classes within a year by fixing the weakest dimension first, which is usually the build, the tests and the ticket rather than the model. What it cannot do is skip measurement. Every case in this paper in which a claim outran the evidence, from Klarna’s cost-only metric to usage mandates tied to performance reviews, was a case in which the instrument was chosen for convenience. The instrument is the maturity.</w:t>
      </w:r>
    </w:p>
    <w:bookmarkEnd w:id="55"/>
    <w:bookmarkStart w:id="56" w:name="references"/>
    <w:p>
      <w:pPr>
        <w:pStyle w:val="Heading2"/>
      </w:pPr>
      <w:r>
        <w:t xml:space="preserve">8. References</w:t>
      </w:r>
    </w:p>
    <w:p>
      <w:pPr>
        <w:pStyle w:val="FirstParagraph"/>
        <w:spacing w:after="60"/>
      </w:pPr>
      <w:r>
        <w:rPr>
          <w:sz w:val="18"/>
        </w:rPr>
        <w:t xml:space="preserve">[1] McKinsey &amp; Company / QuantumBlack.</w:t>
      </w:r>
      <w:r>
        <w:rPr>
          <w:sz w:val="18"/>
        </w:rPr>
        <w:t xml:space="preserve"> </w:t>
      </w:r>
      <w:r>
        <w:rPr>
          <w:iCs/>
          <w:i/>
          <w:sz w:val="18"/>
        </w:rPr>
        <w:t xml:space="preserve">The State of AI in 2026: On the road to ROI</w:t>
      </w:r>
      <w:r>
        <w:rPr>
          <w:sz w:val="18"/>
        </w:rPr>
        <w:t xml:space="preserve">. August 2026. https://www.mckinsey.com/~/media/mckinsey/business%20functions/quantumblack/our%20insights/the%20state%20of%20ai/the-state-of-ai-in-2026-on-the-road-to-roi.pdf</w:t>
      </w:r>
    </w:p>
    <w:p>
      <w:pPr>
        <w:pStyle w:val="BodyText"/>
        <w:spacing w:after="60"/>
      </w:pPr>
      <w:r>
        <w:rPr>
          <w:sz w:val="18"/>
        </w:rPr>
        <w:t xml:space="preserve">[2] McKinsey &amp; Company / QuantumBlack.</w:t>
      </w:r>
      <w:r>
        <w:rPr>
          <w:sz w:val="18"/>
        </w:rPr>
        <w:t xml:space="preserve"> </w:t>
      </w:r>
      <w:r>
        <w:rPr>
          <w:iCs/>
          <w:i/>
          <w:sz w:val="18"/>
        </w:rPr>
        <w:t xml:space="preserve">The State of AI in 2025: Agents, innovation, and transformation</w:t>
      </w:r>
      <w:r>
        <w:rPr>
          <w:sz w:val="18"/>
        </w:rPr>
        <w:t xml:space="preserve">. November 2025. https://www.mckinsey.com/~/media/mckinsey/business%20functions/quantumblack/our%20insights/the%20state%20of%20ai/the-state-of-ai-in-2025-vf.pdf</w:t>
      </w:r>
    </w:p>
    <w:p>
      <w:pPr>
        <w:pStyle w:val="BodyText"/>
        <w:spacing w:after="60"/>
      </w:pPr>
      <w:r>
        <w:rPr>
          <w:sz w:val="18"/>
        </w:rPr>
        <w:t xml:space="preserve">[3] Microsoft Investor Relations.</w:t>
      </w:r>
      <w:r>
        <w:rPr>
          <w:sz w:val="18"/>
        </w:rPr>
        <w:t xml:space="preserve"> </w:t>
      </w:r>
      <w:r>
        <w:rPr>
          <w:iCs/>
          <w:i/>
          <w:sz w:val="18"/>
        </w:rPr>
        <w:t xml:space="preserve">FY26 Q4 earnings call</w:t>
      </w:r>
      <w:r>
        <w:rPr>
          <w:sz w:val="18"/>
        </w:rPr>
        <w:t xml:space="preserve"> </w:t>
      </w:r>
      <w:r>
        <w:rPr>
          <w:sz w:val="18"/>
        </w:rPr>
        <w:t xml:space="preserve">(GitHub Copilot 50 million users; one in three pull requests involves an agent). 29 July 2026. https://www.microsoft.com/en-us/investor/events/fy-2026/earnings-fy-2026-q4</w:t>
      </w:r>
    </w:p>
    <w:p>
      <w:pPr>
        <w:pStyle w:val="BodyText"/>
        <w:spacing w:after="60"/>
      </w:pPr>
      <w:r>
        <w:rPr>
          <w:sz w:val="18"/>
        </w:rPr>
        <w:t xml:space="preserve">[4] Pichai, S.</w:t>
      </w:r>
      <w:r>
        <w:rPr>
          <w:sz w:val="18"/>
        </w:rPr>
        <w:t xml:space="preserve"> </w:t>
      </w:r>
      <w:r>
        <w:rPr>
          <w:iCs/>
          <w:i/>
          <w:sz w:val="18"/>
        </w:rPr>
        <w:t xml:space="preserve">Sundar Pichai shares news from Google Cloud Next 2026</w:t>
      </w:r>
      <w:r>
        <w:rPr>
          <w:sz w:val="18"/>
        </w:rPr>
        <w:t xml:space="preserve"> </w:t>
      </w:r>
      <w:r>
        <w:rPr>
          <w:sz w:val="18"/>
        </w:rPr>
        <w:t xml:space="preserve">(</w:t>
      </w:r>
      <w:r>
        <w:rPr>
          <w:sz w:val="18"/>
        </w:rPr>
        <w:t xml:space="preserve">“</w:t>
      </w:r>
      <w:r>
        <w:rPr>
          <w:sz w:val="18"/>
        </w:rPr>
        <w:t xml:space="preserve">75% of all new code at Google is now AI-generated and approved by engineers</w:t>
      </w:r>
      <w:r>
        <w:rPr>
          <w:sz w:val="18"/>
        </w:rPr>
        <w:t xml:space="preserve">”</w:t>
      </w:r>
      <w:r>
        <w:rPr>
          <w:sz w:val="18"/>
        </w:rPr>
        <w:t xml:space="preserve">). The Keyword, 22 April 2026. https://blog.google/innovation-and-ai/infrastructure-and-cloud/google-cloud/cloud-next-2026-sundar-pichai/</w:t>
      </w:r>
    </w:p>
    <w:p>
      <w:pPr>
        <w:pStyle w:val="BodyText"/>
        <w:spacing w:after="60"/>
      </w:pPr>
      <w:r>
        <w:rPr>
          <w:sz w:val="18"/>
        </w:rPr>
        <w:t xml:space="preserve">[5] Jöhnk, J., Weißert, M., Wyrtki, K.</w:t>
      </w:r>
      <w:r>
        <w:rPr>
          <w:sz w:val="18"/>
        </w:rPr>
        <w:t xml:space="preserve"> </w:t>
      </w:r>
      <w:r>
        <w:rPr>
          <w:iCs/>
          <w:i/>
          <w:sz w:val="18"/>
        </w:rPr>
        <w:t xml:space="preserve">Ready or Not, AI Comes: An Interview Study of Organizational AI Readiness Factors</w:t>
      </w:r>
      <w:r>
        <w:rPr>
          <w:sz w:val="18"/>
        </w:rPr>
        <w:t xml:space="preserve">. Business &amp; Information Systems Engineering 63(1):5-20, 2021. https://link.springer.com/article/10.1007/s12599-020-00676-7</w:t>
      </w:r>
    </w:p>
    <w:p>
      <w:pPr>
        <w:pStyle w:val="BodyText"/>
        <w:spacing w:after="60"/>
      </w:pPr>
      <w:r>
        <w:rPr>
          <w:sz w:val="18"/>
        </w:rPr>
        <w:t xml:space="preserve">[6] Lawrence, N. D.</w:t>
      </w:r>
      <w:r>
        <w:rPr>
          <w:sz w:val="18"/>
        </w:rPr>
        <w:t xml:space="preserve"> </w:t>
      </w:r>
      <w:r>
        <w:rPr>
          <w:iCs/>
          <w:i/>
          <w:sz w:val="18"/>
        </w:rPr>
        <w:t xml:space="preserve">Data Readiness Levels</w:t>
      </w:r>
      <w:r>
        <w:rPr>
          <w:sz w:val="18"/>
        </w:rPr>
        <w:t xml:space="preserve">. arXiv:1705.02245, May 2017. https://arxiv.org/abs/1705.02245</w:t>
      </w:r>
    </w:p>
    <w:p>
      <w:pPr>
        <w:pStyle w:val="BodyText"/>
        <w:spacing w:after="60"/>
      </w:pPr>
      <w:r>
        <w:rPr>
          <w:sz w:val="18"/>
        </w:rPr>
        <w:t xml:space="preserve">[7] Paulk, M. C., Curtis, B., Chrissis, M. B., Weber, C. V.</w:t>
      </w:r>
      <w:r>
        <w:rPr>
          <w:sz w:val="18"/>
        </w:rPr>
        <w:t xml:space="preserve"> </w:t>
      </w:r>
      <w:r>
        <w:rPr>
          <w:iCs/>
          <w:i/>
          <w:sz w:val="18"/>
        </w:rPr>
        <w:t xml:space="preserve">Capability Maturity Model, Version 1.1</w:t>
      </w:r>
      <w:r>
        <w:rPr>
          <w:sz w:val="18"/>
        </w:rPr>
        <w:t xml:space="preserve">. IEEE Software 10(4):18-27, July 1993; SEI technical report CMU/SEI-93-TR-024. https://apps.dtic.mil/sti/pdfs/ADA263403.pdf</w:t>
      </w:r>
    </w:p>
    <w:p>
      <w:pPr>
        <w:pStyle w:val="BodyText"/>
        <w:spacing w:after="60"/>
      </w:pPr>
      <w:r>
        <w:rPr>
          <w:sz w:val="18"/>
        </w:rPr>
        <w:t xml:space="preserve">[8] Schluntz, E., Zhang, B.</w:t>
      </w:r>
      <w:r>
        <w:rPr>
          <w:sz w:val="18"/>
        </w:rPr>
        <w:t xml:space="preserve"> </w:t>
      </w:r>
      <w:r>
        <w:rPr>
          <w:iCs/>
          <w:i/>
          <w:sz w:val="18"/>
        </w:rPr>
        <w:t xml:space="preserve">Building effective agents</w:t>
      </w:r>
      <w:r>
        <w:rPr>
          <w:sz w:val="18"/>
        </w:rPr>
        <w:t xml:space="preserve">. Anthropic Engineering, 19 December 2024. https://www.anthropic.com/engineering/building-effective-agents</w:t>
      </w:r>
    </w:p>
    <w:p>
      <w:pPr>
        <w:pStyle w:val="BodyText"/>
        <w:spacing w:after="60"/>
      </w:pPr>
      <w:r>
        <w:rPr>
          <w:sz w:val="18"/>
        </w:rPr>
        <w:t xml:space="preserve">[9] AGENTS.md (agents.md) and Linux Foundation.</w:t>
      </w:r>
      <w:r>
        <w:rPr>
          <w:sz w:val="18"/>
        </w:rPr>
        <w:t xml:space="preserve"> </w:t>
      </w:r>
      <w:r>
        <w:rPr>
          <w:iCs/>
          <w:i/>
          <w:sz w:val="18"/>
        </w:rPr>
        <w:t xml:space="preserve">Linux Foundation Announces the Formation of the Agentic AI Foundation</w:t>
      </w:r>
      <w:r>
        <w:rPr>
          <w:sz w:val="18"/>
        </w:rPr>
        <w:t xml:space="preserve"> </w:t>
      </w:r>
      <w:r>
        <w:rPr>
          <w:sz w:val="18"/>
        </w:rPr>
        <w:t xml:space="preserve">(MCP, goose, AGENTS.md as founding projects). 9 December 2025. https://www.linuxfoundation.org/press/linux-foundation-announces-the-formation-of-the-agentic-ai-foundation</w:t>
      </w:r>
    </w:p>
    <w:p>
      <w:pPr>
        <w:pStyle w:val="BodyText"/>
        <w:spacing w:after="60"/>
      </w:pPr>
      <w:r>
        <w:rPr>
          <w:sz w:val="18"/>
        </w:rPr>
        <w:t xml:space="preserve">[10] Anthropic.</w:t>
      </w:r>
      <w:r>
        <w:rPr>
          <w:sz w:val="18"/>
        </w:rPr>
        <w:t xml:space="preserve"> </w:t>
      </w:r>
      <w:r>
        <w:rPr>
          <w:iCs/>
          <w:i/>
          <w:sz w:val="18"/>
        </w:rPr>
        <w:t xml:space="preserve">Claude Code best practices</w:t>
      </w:r>
      <w:r>
        <w:rPr>
          <w:sz w:val="18"/>
        </w:rPr>
        <w:t xml:space="preserve"> </w:t>
      </w:r>
      <w:r>
        <w:rPr>
          <w:sz w:val="18"/>
        </w:rPr>
        <w:t xml:space="preserve">(CLAUDE.md guidance). Documentation, accessed September 2026. https://code.claude.com/docs/en/best-practices</w:t>
      </w:r>
    </w:p>
    <w:p>
      <w:pPr>
        <w:pStyle w:val="BodyText"/>
        <w:spacing w:after="60"/>
      </w:pPr>
      <w:r>
        <w:rPr>
          <w:sz w:val="18"/>
        </w:rPr>
        <w:t xml:space="preserve">[11] GitHub Docs,</w:t>
      </w:r>
      <w:r>
        <w:rPr>
          <w:sz w:val="18"/>
        </w:rPr>
        <w:t xml:space="preserve"> </w:t>
      </w:r>
      <w:r>
        <w:rPr>
          <w:iCs/>
          <w:i/>
          <w:sz w:val="18"/>
        </w:rPr>
        <w:t xml:space="preserve">Adding repository custom instructions for GitHub Copilot</w:t>
      </w:r>
      <w:r>
        <w:rPr>
          <w:sz w:val="18"/>
        </w:rPr>
        <w:t xml:space="preserve">, https://docs.github.com/en/copilot/how-tos/configure-custom-instructions/add-repository-instructions ; Cursor Docs,</w:t>
      </w:r>
      <w:r>
        <w:rPr>
          <w:sz w:val="18"/>
        </w:rPr>
        <w:t xml:space="preserve"> </w:t>
      </w:r>
      <w:r>
        <w:rPr>
          <w:iCs/>
          <w:i/>
          <w:sz w:val="18"/>
        </w:rPr>
        <w:t xml:space="preserve">Rules</w:t>
      </w:r>
      <w:r>
        <w:rPr>
          <w:sz w:val="18"/>
        </w:rPr>
        <w:t xml:space="preserve">, https://cursor.com/docs/context/rules (both accessed September 2026).</w:t>
      </w:r>
    </w:p>
    <w:p>
      <w:pPr>
        <w:pStyle w:val="BodyText"/>
        <w:spacing w:after="60"/>
      </w:pPr>
      <w:r>
        <w:rPr>
          <w:sz w:val="18"/>
        </w:rPr>
        <w:t xml:space="preserve">[12] Rajasekaran, P., Dixon, E., Ryan, C., Hadfield, J.</w:t>
      </w:r>
      <w:r>
        <w:rPr>
          <w:sz w:val="18"/>
        </w:rPr>
        <w:t xml:space="preserve"> </w:t>
      </w:r>
      <w:r>
        <w:rPr>
          <w:iCs/>
          <w:i/>
          <w:sz w:val="18"/>
        </w:rPr>
        <w:t xml:space="preserve">Effective context engineering for AI agents</w:t>
      </w:r>
      <w:r>
        <w:rPr>
          <w:sz w:val="18"/>
        </w:rPr>
        <w:t xml:space="preserve">. Anthropic Engineering, 29 September 2025. https://www.anthropic.com/engineering/effective-context-engineering-for-ai-agents</w:t>
      </w:r>
    </w:p>
    <w:p>
      <w:pPr>
        <w:pStyle w:val="BodyText"/>
        <w:spacing w:after="60"/>
      </w:pPr>
      <w:r>
        <w:rPr>
          <w:sz w:val="18"/>
        </w:rPr>
        <w:t xml:space="preserve">[13] Boston Consulting Group.</w:t>
      </w:r>
      <w:r>
        <w:rPr>
          <w:sz w:val="18"/>
        </w:rPr>
        <w:t xml:space="preserve"> </w:t>
      </w:r>
      <w:r>
        <w:rPr>
          <w:iCs/>
          <w:i/>
          <w:sz w:val="18"/>
        </w:rPr>
        <w:t xml:space="preserve">The Widening AI Value Gap: Build for the Future 2025</w:t>
      </w:r>
      <w:r>
        <w:rPr>
          <w:sz w:val="18"/>
        </w:rPr>
        <w:t xml:space="preserve">. September 2025. https://media-publications.bcg.com/The-Widening-AI-Value-Gap-Sept-2025.pdf</w:t>
      </w:r>
    </w:p>
    <w:p>
      <w:pPr>
        <w:pStyle w:val="BodyText"/>
        <w:spacing w:after="60"/>
      </w:pPr>
      <w:r>
        <w:rPr>
          <w:sz w:val="18"/>
        </w:rPr>
        <w:t xml:space="preserve">[14] IBM Institute for Business Value.</w:t>
      </w:r>
      <w:r>
        <w:rPr>
          <w:sz w:val="18"/>
        </w:rPr>
        <w:t xml:space="preserve"> </w:t>
      </w:r>
      <w:r>
        <w:rPr>
          <w:iCs/>
          <w:i/>
          <w:sz w:val="18"/>
        </w:rPr>
        <w:t xml:space="preserve">2025 CEO Study: CEOs double down on AI while navigating enterprise hurdles</w:t>
      </w:r>
      <w:r>
        <w:rPr>
          <w:sz w:val="18"/>
        </w:rPr>
        <w:t xml:space="preserve">. 6 May 2025. https://newsroom.ibm.com/2025-05-06-ibm-study-ceos-double-down-on-ai-while-navigating-enterprise-hurdles</w:t>
      </w:r>
    </w:p>
    <w:p>
      <w:pPr>
        <w:pStyle w:val="BodyText"/>
        <w:spacing w:after="60"/>
      </w:pPr>
      <w:r>
        <w:rPr>
          <w:sz w:val="18"/>
        </w:rPr>
        <w:t xml:space="preserve">[15] IBM Institute for Business Value.</w:t>
      </w:r>
      <w:r>
        <w:rPr>
          <w:sz w:val="18"/>
        </w:rPr>
        <w:t xml:space="preserve"> </w:t>
      </w:r>
      <w:r>
        <w:rPr>
          <w:iCs/>
          <w:i/>
          <w:sz w:val="18"/>
        </w:rPr>
        <w:t xml:space="preserve">2026 CEO Study: CEOs are reshaping C-suite roles for the AI era</w:t>
      </w:r>
      <w:r>
        <w:rPr>
          <w:sz w:val="18"/>
        </w:rPr>
        <w:t xml:space="preserve">. 4 May 2026. https://newsroom.ibm.com/2026-05-04-ibm-study-ceos-are-reshaping-c-suite-roles-for-the-ai-era</w:t>
      </w:r>
    </w:p>
    <w:p>
      <w:pPr>
        <w:pStyle w:val="BodyText"/>
        <w:spacing w:after="60"/>
      </w:pPr>
      <w:r>
        <w:rPr>
          <w:sz w:val="18"/>
        </w:rPr>
        <w:t xml:space="preserve">[16] Deloitte AI Institute.</w:t>
      </w:r>
      <w:r>
        <w:rPr>
          <w:sz w:val="18"/>
        </w:rPr>
        <w:t xml:space="preserve"> </w:t>
      </w:r>
      <w:r>
        <w:rPr>
          <w:iCs/>
          <w:i/>
          <w:sz w:val="18"/>
        </w:rPr>
        <w:t xml:space="preserve">The State of AI in the Enterprise, 7th edition: The Untapped Edge</w:t>
      </w:r>
      <w:r>
        <w:rPr>
          <w:sz w:val="18"/>
        </w:rPr>
        <w:t xml:space="preserve">. 21 January 2026. https://www.deloitte.com/us/en/about/press-room/state-of-ai-report-2026.html</w:t>
      </w:r>
    </w:p>
    <w:p>
      <w:pPr>
        <w:pStyle w:val="BodyText"/>
        <w:spacing w:after="60"/>
      </w:pPr>
      <w:r>
        <w:rPr>
          <w:sz w:val="18"/>
        </w:rPr>
        <w:t xml:space="preserve">[17] Capgemini Research Institute.</w:t>
      </w:r>
      <w:r>
        <w:rPr>
          <w:sz w:val="18"/>
        </w:rPr>
        <w:t xml:space="preserve"> </w:t>
      </w:r>
      <w:r>
        <w:rPr>
          <w:iCs/>
          <w:i/>
          <w:sz w:val="18"/>
        </w:rPr>
        <w:t xml:space="preserve">Rise of agentic AI: How trust is the key to human-AI collaboration</w:t>
      </w:r>
      <w:r>
        <w:rPr>
          <w:sz w:val="18"/>
        </w:rPr>
        <w:t xml:space="preserve">. 16 July 2025. https://www.capgemini.com/news/press-releases/trust-and-human-ai-collaboration-set-to-define-the-next-era-of-agentic-ai-unlocking-450-billion-opportunity-by-2028/</w:t>
      </w:r>
    </w:p>
    <w:p>
      <w:pPr>
        <w:pStyle w:val="BodyText"/>
        <w:spacing w:after="60"/>
      </w:pPr>
      <w:r>
        <w:rPr>
          <w:sz w:val="18"/>
        </w:rPr>
        <w:t xml:space="preserve">[18] Infosys Knowledge Institute.</w:t>
      </w:r>
      <w:r>
        <w:rPr>
          <w:sz w:val="18"/>
        </w:rPr>
        <w:t xml:space="preserve"> </w:t>
      </w:r>
      <w:r>
        <w:rPr>
          <w:iCs/>
          <w:i/>
          <w:sz w:val="18"/>
        </w:rPr>
        <w:t xml:space="preserve">AI Business Value Radar 2025</w:t>
      </w:r>
      <w:r>
        <w:rPr>
          <w:sz w:val="18"/>
        </w:rPr>
        <w:t xml:space="preserve">. 12 March 2025. https://www.infosys.com/newsroom/press-releases/2025/ai-business-value-radar2025.html</w:t>
      </w:r>
    </w:p>
    <w:p>
      <w:pPr>
        <w:pStyle w:val="BodyText"/>
        <w:spacing w:after="60"/>
      </w:pPr>
      <w:r>
        <w:rPr>
          <w:sz w:val="18"/>
        </w:rPr>
        <w:t xml:space="preserve">[19] Gartner.</w:t>
      </w:r>
      <w:r>
        <w:rPr>
          <w:sz w:val="18"/>
        </w:rPr>
        <w:t xml:space="preserve"> </w:t>
      </w:r>
      <w:r>
        <w:rPr>
          <w:iCs/>
          <w:i/>
          <w:sz w:val="18"/>
        </w:rPr>
        <w:t xml:space="preserve">Lack of AI-Ready Data Puts AI Projects at Risk</w:t>
      </w:r>
      <w:r>
        <w:rPr>
          <w:sz w:val="18"/>
        </w:rPr>
        <w:t xml:space="preserve">. Press release, 26 February 2025. https://www.gartner.com/en/newsroom/press-releases/2025-02-26-lack-of-ai-ready-data-puts-ai-projects-at-risk</w:t>
      </w:r>
    </w:p>
    <w:p>
      <w:pPr>
        <w:pStyle w:val="BodyText"/>
        <w:spacing w:after="60"/>
      </w:pPr>
      <w:r>
        <w:rPr>
          <w:sz w:val="18"/>
        </w:rPr>
        <w:t xml:space="preserve">[20] PwC.</w:t>
      </w:r>
      <w:r>
        <w:rPr>
          <w:sz w:val="18"/>
        </w:rPr>
        <w:t xml:space="preserve"> </w:t>
      </w:r>
      <w:r>
        <w:rPr>
          <w:iCs/>
          <w:i/>
          <w:sz w:val="18"/>
        </w:rPr>
        <w:t xml:space="preserve">AI Agent Survey</w:t>
      </w:r>
      <w:r>
        <w:rPr>
          <w:sz w:val="18"/>
        </w:rPr>
        <w:t xml:space="preserve"> </w:t>
      </w:r>
      <w:r>
        <w:rPr>
          <w:sz w:val="18"/>
        </w:rPr>
        <w:t xml:space="preserve">(308 US executives, fielded April 2025). May 2025. https://www.pwc.com/us/en/tech-effect/ai-analytics/ai-agent-survey.html</w:t>
      </w:r>
    </w:p>
    <w:p>
      <w:pPr>
        <w:pStyle w:val="BodyText"/>
        <w:spacing w:after="60"/>
      </w:pPr>
      <w:r>
        <w:rPr>
          <w:sz w:val="18"/>
        </w:rPr>
        <w:t xml:space="preserve">[21] Stanford Institute for Human-Centered AI.</w:t>
      </w:r>
      <w:r>
        <w:rPr>
          <w:sz w:val="18"/>
        </w:rPr>
        <w:t xml:space="preserve"> </w:t>
      </w:r>
      <w:r>
        <w:rPr>
          <w:iCs/>
          <w:i/>
          <w:sz w:val="18"/>
        </w:rPr>
        <w:t xml:space="preserve">The 2026 AI Index Report</w:t>
      </w:r>
      <w:r>
        <w:rPr>
          <w:sz w:val="18"/>
        </w:rPr>
        <w:t xml:space="preserve">. 13 April 2026. https://hai.stanford.edu/ai-index/2026-ai-index-report</w:t>
      </w:r>
    </w:p>
    <w:p>
      <w:pPr>
        <w:pStyle w:val="BodyText"/>
        <w:spacing w:after="60"/>
      </w:pPr>
      <w:r>
        <w:rPr>
          <w:sz w:val="18"/>
        </w:rPr>
        <w:t xml:space="preserve">[22] Challapally, A., Pease, C., Raskar, R., Chari, P.</w:t>
      </w:r>
      <w:r>
        <w:rPr>
          <w:sz w:val="18"/>
        </w:rPr>
        <w:t xml:space="preserve"> </w:t>
      </w:r>
      <w:r>
        <w:rPr>
          <w:iCs/>
          <w:i/>
          <w:sz w:val="18"/>
        </w:rPr>
        <w:t xml:space="preserve">The GenAI Divide: State of AI in Business 2025</w:t>
      </w:r>
      <w:r>
        <w:rPr>
          <w:sz w:val="18"/>
        </w:rPr>
        <w:t xml:space="preserve">. MIT NANDA, July 2025 (v0.1). https://mlq.ai/media/quarterly_decks/v0.1_State_of_AI_in_Business_2025_Report.pdf</w:t>
      </w:r>
    </w:p>
    <w:p>
      <w:pPr>
        <w:pStyle w:val="BodyText"/>
        <w:spacing w:after="60"/>
      </w:pPr>
      <w:r>
        <w:rPr>
          <w:sz w:val="18"/>
        </w:rPr>
        <w:t xml:space="preserve">[23] Futuriom.</w:t>
      </w:r>
      <w:r>
        <w:rPr>
          <w:sz w:val="18"/>
        </w:rPr>
        <w:t xml:space="preserve"> </w:t>
      </w:r>
      <w:r>
        <w:rPr>
          <w:iCs/>
          <w:i/>
          <w:sz w:val="18"/>
        </w:rPr>
        <w:t xml:space="preserve">Why We Don’t Believe MIT NANDA’s Weird AI Study</w:t>
      </w:r>
      <w:r>
        <w:rPr>
          <w:sz w:val="18"/>
        </w:rPr>
        <w:t xml:space="preserve">. 26 August 2025. https://www.futuriom.com/articles/news/why-we-dont-believe-mit-nandas-werid-ai-study/2025/08</w:t>
      </w:r>
    </w:p>
    <w:p>
      <w:pPr>
        <w:pStyle w:val="BodyText"/>
        <w:spacing w:after="60"/>
      </w:pPr>
      <w:r>
        <w:rPr>
          <w:sz w:val="18"/>
        </w:rPr>
        <w:t xml:space="preserve">[24] Microsoft WorkLab.</w:t>
      </w:r>
      <w:r>
        <w:rPr>
          <w:sz w:val="18"/>
        </w:rPr>
        <w:t xml:space="preserve"> </w:t>
      </w:r>
      <w:r>
        <w:rPr>
          <w:iCs/>
          <w:i/>
          <w:sz w:val="18"/>
        </w:rPr>
        <w:t xml:space="preserve">2026 Work Trend Index: Agents, human agency and the opportunity for every organization</w:t>
      </w:r>
      <w:r>
        <w:rPr>
          <w:sz w:val="18"/>
        </w:rPr>
        <w:t xml:space="preserve">. 5 May 2026. https://www.microsoft.com/en-us/worklab/work-trend-index/agents-human-agency-and-the-opportunity-for-every-organization</w:t>
      </w:r>
    </w:p>
    <w:p>
      <w:pPr>
        <w:pStyle w:val="BodyText"/>
        <w:spacing w:after="60"/>
      </w:pPr>
      <w:r>
        <w:rPr>
          <w:sz w:val="18"/>
        </w:rPr>
        <w:t xml:space="preserve">[25] Boston Consulting Group.</w:t>
      </w:r>
      <w:r>
        <w:rPr>
          <w:sz w:val="18"/>
        </w:rPr>
        <w:t xml:space="preserve"> </w:t>
      </w:r>
      <w:r>
        <w:rPr>
          <w:iCs/>
          <w:i/>
          <w:sz w:val="18"/>
        </w:rPr>
        <w:t xml:space="preserve">AI Radar 2026: As AI Investments Surge, CEOs Take the Lead</w:t>
      </w:r>
      <w:r>
        <w:rPr>
          <w:sz w:val="18"/>
        </w:rPr>
        <w:t xml:space="preserve">. January 2026. https://www.bcg.com/press/15january2026-as-ai-investments-surge-ceos-take-lead</w:t>
      </w:r>
    </w:p>
    <w:p>
      <w:pPr>
        <w:pStyle w:val="BodyText"/>
        <w:spacing w:after="60"/>
      </w:pPr>
      <w:r>
        <w:rPr>
          <w:sz w:val="18"/>
        </w:rPr>
        <w:t xml:space="preserve">[26] Weill, P., Woerner, S. L., Sebastian, I. M.</w:t>
      </w:r>
      <w:r>
        <w:rPr>
          <w:sz w:val="18"/>
        </w:rPr>
        <w:t xml:space="preserve"> </w:t>
      </w:r>
      <w:r>
        <w:rPr>
          <w:iCs/>
          <w:i/>
          <w:sz w:val="18"/>
        </w:rPr>
        <w:t xml:space="preserve">Building Enterprise AI Maturity</w:t>
      </w:r>
      <w:r>
        <w:rPr>
          <w:sz w:val="18"/>
        </w:rPr>
        <w:t xml:space="preserve">. MIT CISR Research Briefing XXIV(12), 19 December 2024. https://cisr.mit.edu/publication/2024_1201_EnterpriseAIMaturityModel_WeillWoernerSebastian</w:t>
      </w:r>
    </w:p>
    <w:p>
      <w:pPr>
        <w:pStyle w:val="BodyText"/>
        <w:spacing w:after="60"/>
      </w:pPr>
      <w:r>
        <w:rPr>
          <w:sz w:val="18"/>
        </w:rPr>
        <w:t xml:space="preserve">[27] Woerner, S. L., Sebastian, I. M., Weill, P., Kaganer, E.</w:t>
      </w:r>
      <w:r>
        <w:rPr>
          <w:sz w:val="18"/>
        </w:rPr>
        <w:t xml:space="preserve"> </w:t>
      </w:r>
      <w:r>
        <w:rPr>
          <w:iCs/>
          <w:i/>
          <w:sz w:val="18"/>
        </w:rPr>
        <w:t xml:space="preserve">Grow Enterprise AI Maturity for Bottom-Line Impact</w:t>
      </w:r>
      <w:r>
        <w:rPr>
          <w:sz w:val="18"/>
        </w:rPr>
        <w:t xml:space="preserve">. MIT CISR Research Briefing, 21 August 2025. https://cisr.mit.edu/publication/2025_0801_EnterpriseAIMaturityUpdate_WoernerSebastianWeillKaganer_Audio</w:t>
      </w:r>
    </w:p>
    <w:p>
      <w:pPr>
        <w:pStyle w:val="BodyText"/>
        <w:spacing w:after="60"/>
      </w:pPr>
      <w:r>
        <w:rPr>
          <w:sz w:val="18"/>
        </w:rPr>
        <w:t xml:space="preserve">[28] Becker, J., Rush, N., Barnes, E., Rein, D.</w:t>
      </w:r>
      <w:r>
        <w:rPr>
          <w:sz w:val="18"/>
        </w:rPr>
        <w:t xml:space="preserve"> </w:t>
      </w:r>
      <w:r>
        <w:rPr>
          <w:iCs/>
          <w:i/>
          <w:sz w:val="18"/>
        </w:rPr>
        <w:t xml:space="preserve">Measuring the Impact of Early-2025 AI on Experienced Open-Source Developer Productivity</w:t>
      </w:r>
      <w:r>
        <w:rPr>
          <w:sz w:val="18"/>
        </w:rPr>
        <w:t xml:space="preserve">. METR, arXiv:2507.09089, July 2025. https://arxiv.org/abs/2507.09089</w:t>
      </w:r>
    </w:p>
    <w:p>
      <w:pPr>
        <w:pStyle w:val="BodyText"/>
        <w:spacing w:after="60"/>
      </w:pPr>
      <w:r>
        <w:rPr>
          <w:sz w:val="18"/>
        </w:rPr>
        <w:t xml:space="preserve">[29] METR.</w:t>
      </w:r>
      <w:r>
        <w:rPr>
          <w:sz w:val="18"/>
        </w:rPr>
        <w:t xml:space="preserve"> </w:t>
      </w:r>
      <w:r>
        <w:rPr>
          <w:iCs/>
          <w:i/>
          <w:sz w:val="18"/>
        </w:rPr>
        <w:t xml:space="preserve">We are changing our developer productivity experiment design</w:t>
      </w:r>
      <w:r>
        <w:rPr>
          <w:sz w:val="18"/>
        </w:rPr>
        <w:t xml:space="preserve">. 24 February 2026. https://metr.org/blog/2026-02-24-uplift-update/</w:t>
      </w:r>
    </w:p>
    <w:p>
      <w:pPr>
        <w:pStyle w:val="BodyText"/>
        <w:spacing w:after="60"/>
      </w:pPr>
      <w:r>
        <w:rPr>
          <w:sz w:val="18"/>
        </w:rPr>
        <w:t xml:space="preserve">[30] METR.</w:t>
      </w:r>
      <w:r>
        <w:rPr>
          <w:sz w:val="18"/>
        </w:rPr>
        <w:t xml:space="preserve"> </w:t>
      </w:r>
      <w:r>
        <w:rPr>
          <w:iCs/>
          <w:i/>
          <w:sz w:val="18"/>
        </w:rPr>
        <w:t xml:space="preserve">Measuring the Self-Reported Impact of Early-2026 AI on Technical Worker Productivity</w:t>
      </w:r>
      <w:r>
        <w:rPr>
          <w:sz w:val="18"/>
        </w:rPr>
        <w:t xml:space="preserve">. 11 May 2026. https://metr.org/blog/2026-05-11-ai-usage-survey/</w:t>
      </w:r>
    </w:p>
    <w:p>
      <w:pPr>
        <w:pStyle w:val="BodyText"/>
        <w:spacing w:after="60"/>
      </w:pPr>
      <w:r>
        <w:rPr>
          <w:sz w:val="18"/>
        </w:rPr>
        <w:t xml:space="preserve">[31] Cui, Z. K., Demirer, M., Jaffe, S., Musolff, L., Peng, S., Salz, T.</w:t>
      </w:r>
      <w:r>
        <w:rPr>
          <w:sz w:val="18"/>
        </w:rPr>
        <w:t xml:space="preserve"> </w:t>
      </w:r>
      <w:r>
        <w:rPr>
          <w:iCs/>
          <w:i/>
          <w:sz w:val="18"/>
        </w:rPr>
        <w:t xml:space="preserve">The Effects of Generative AI on High-Skilled Work: Evidence from Three Field Experiments with Software Developers</w:t>
      </w:r>
      <w:r>
        <w:rPr>
          <w:sz w:val="18"/>
        </w:rPr>
        <w:t xml:space="preserve">. Management Science, published 27 February 2026. https://pubsonline.informs.org/doi/10.1287/mnsc.2025.00535</w:t>
      </w:r>
    </w:p>
    <w:p>
      <w:pPr>
        <w:pStyle w:val="BodyText"/>
        <w:spacing w:after="60"/>
      </w:pPr>
      <w:r>
        <w:rPr>
          <w:sz w:val="18"/>
        </w:rPr>
        <w:t xml:space="preserve">[32] Paradis, E., Grey, K., Madison, Q., Nam, D., Macvean, A., Meimand, V., Zhang, N., Ferrari-Church, B., Chandra, S.</w:t>
      </w:r>
      <w:r>
        <w:rPr>
          <w:sz w:val="18"/>
        </w:rPr>
        <w:t xml:space="preserve"> </w:t>
      </w:r>
      <w:r>
        <w:rPr>
          <w:iCs/>
          <w:i/>
          <w:sz w:val="18"/>
        </w:rPr>
        <w:t xml:space="preserve">How much does AI impact development speed? An enterprise-based randomized controlled trial</w:t>
      </w:r>
      <w:r>
        <w:rPr>
          <w:sz w:val="18"/>
        </w:rPr>
        <w:t xml:space="preserve">. Google, arXiv:2410.12944, 2024. https://arxiv.org/abs/2410.12944</w:t>
      </w:r>
    </w:p>
    <w:p>
      <w:pPr>
        <w:pStyle w:val="BodyText"/>
        <w:spacing w:after="60"/>
      </w:pPr>
      <w:r>
        <w:rPr>
          <w:sz w:val="18"/>
        </w:rPr>
        <w:t xml:space="preserve">[33] Peng, S., Kalliamvakou, E., Cihon, P., Demirer, M.</w:t>
      </w:r>
      <w:r>
        <w:rPr>
          <w:sz w:val="18"/>
        </w:rPr>
        <w:t xml:space="preserve"> </w:t>
      </w:r>
      <w:r>
        <w:rPr>
          <w:iCs/>
          <w:i/>
          <w:sz w:val="18"/>
        </w:rPr>
        <w:t xml:space="preserve">The Impact of AI on Developer Productivity: Evidence from GitHub Copilot</w:t>
      </w:r>
      <w:r>
        <w:rPr>
          <w:sz w:val="18"/>
        </w:rPr>
        <w:t xml:space="preserve">. arXiv:2302.06590, February 2023. https://arxiv.org/abs/2302.06590</w:t>
      </w:r>
    </w:p>
    <w:p>
      <w:pPr>
        <w:pStyle w:val="BodyText"/>
        <w:spacing w:after="60"/>
      </w:pPr>
      <w:r>
        <w:rPr>
          <w:sz w:val="18"/>
        </w:rPr>
        <w:t xml:space="preserve">[34] Dell’Acqua, F., McFowland, E., Mollick, E., Lifshitz-Assaf, H., Kellogg, K., Rajendran, S., Krayer, L., Candelon, F., Lakhani, K.</w:t>
      </w:r>
      <w:r>
        <w:rPr>
          <w:sz w:val="18"/>
        </w:rPr>
        <w:t xml:space="preserve"> </w:t>
      </w:r>
      <w:r>
        <w:rPr>
          <w:iCs/>
          <w:i/>
          <w:sz w:val="18"/>
        </w:rPr>
        <w:t xml:space="preserve">Navigating the Jagged Technological Frontier: Field Experimental Evidence of the Effects of AI on Knowledge Worker Productivity and Quality</w:t>
      </w:r>
      <w:r>
        <w:rPr>
          <w:sz w:val="18"/>
        </w:rPr>
        <w:t xml:space="preserve">. Harvard Business School Working Paper 24-013, September 2023. https://papers.ssrn.com/sol3/papers.cfm?abstract_id=4573321</w:t>
      </w:r>
    </w:p>
    <w:p>
      <w:pPr>
        <w:pStyle w:val="BodyText"/>
        <w:spacing w:after="60"/>
      </w:pPr>
      <w:r>
        <w:rPr>
          <w:sz w:val="18"/>
        </w:rPr>
        <w:t xml:space="preserve">[35] Brynjolfsson, E., Li, D., Raymond, L.</w:t>
      </w:r>
      <w:r>
        <w:rPr>
          <w:sz w:val="18"/>
        </w:rPr>
        <w:t xml:space="preserve"> </w:t>
      </w:r>
      <w:r>
        <w:rPr>
          <w:iCs/>
          <w:i/>
          <w:sz w:val="18"/>
        </w:rPr>
        <w:t xml:space="preserve">Generative AI at Work</w:t>
      </w:r>
      <w:r>
        <w:rPr>
          <w:sz w:val="18"/>
        </w:rPr>
        <w:t xml:space="preserve">. Quarterly Journal of Economics 140(2):889-942, 2025. https://academic.oup.com/qje/article/140/2/889/7990658</w:t>
      </w:r>
    </w:p>
    <w:p>
      <w:pPr>
        <w:pStyle w:val="BodyText"/>
        <w:spacing w:after="60"/>
      </w:pPr>
      <w:r>
        <w:rPr>
          <w:sz w:val="18"/>
        </w:rPr>
        <w:t xml:space="preserve">[36] METR.</w:t>
      </w:r>
      <w:r>
        <w:rPr>
          <w:sz w:val="18"/>
        </w:rPr>
        <w:t xml:space="preserve"> </w:t>
      </w:r>
      <w:r>
        <w:rPr>
          <w:iCs/>
          <w:i/>
          <w:sz w:val="18"/>
        </w:rPr>
        <w:t xml:space="preserve">Task Substitution and Uplift</w:t>
      </w:r>
      <w:r>
        <w:rPr>
          <w:sz w:val="18"/>
        </w:rPr>
        <w:t xml:space="preserve">. 8 May 2026. https://metr.org/blog/2026-05-08-task-substitution-and-uplift/</w:t>
      </w:r>
    </w:p>
    <w:p>
      <w:pPr>
        <w:pStyle w:val="BodyText"/>
        <w:spacing w:after="60"/>
      </w:pPr>
      <w:r>
        <w:rPr>
          <w:sz w:val="18"/>
        </w:rPr>
        <w:t xml:space="preserve">[37] DORA / Google Cloud.</w:t>
      </w:r>
      <w:r>
        <w:rPr>
          <w:sz w:val="18"/>
        </w:rPr>
        <w:t xml:space="preserve"> </w:t>
      </w:r>
      <w:r>
        <w:rPr>
          <w:iCs/>
          <w:i/>
          <w:sz w:val="18"/>
        </w:rPr>
        <w:t xml:space="preserve">Accelerate State of DevOps Report 2024</w:t>
      </w:r>
      <w:r>
        <w:rPr>
          <w:sz w:val="18"/>
        </w:rPr>
        <w:t xml:space="preserve"> </w:t>
      </w:r>
      <w:r>
        <w:rPr>
          <w:sz w:val="18"/>
        </w:rPr>
        <w:t xml:space="preserve">(AI findings as summarised by RedMonk, 26 November 2024). https://dora.dev/research/2024/dora-report/ ; https://redmonk.com/rstephens/2024/11/26/dora2024/</w:t>
      </w:r>
    </w:p>
    <w:p>
      <w:pPr>
        <w:pStyle w:val="BodyText"/>
        <w:spacing w:after="60"/>
      </w:pPr>
      <w:r>
        <w:rPr>
          <w:sz w:val="18"/>
        </w:rPr>
        <w:t xml:space="preserve">[38] DORA / Google Cloud.</w:t>
      </w:r>
      <w:r>
        <w:rPr>
          <w:sz w:val="18"/>
        </w:rPr>
        <w:t xml:space="preserve"> </w:t>
      </w:r>
      <w:r>
        <w:rPr>
          <w:iCs/>
          <w:i/>
          <w:sz w:val="18"/>
        </w:rPr>
        <w:t xml:space="preserve">2025 DORA Report: State of AI-assisted Software Development</w:t>
      </w:r>
      <w:r>
        <w:rPr>
          <w:sz w:val="18"/>
        </w:rPr>
        <w:t xml:space="preserve"> </w:t>
      </w:r>
      <w:r>
        <w:rPr>
          <w:sz w:val="18"/>
        </w:rPr>
        <w:t xml:space="preserve">and</w:t>
      </w:r>
      <w:r>
        <w:rPr>
          <w:sz w:val="18"/>
        </w:rPr>
        <w:t xml:space="preserve"> </w:t>
      </w:r>
      <w:r>
        <w:rPr>
          <w:iCs/>
          <w:i/>
          <w:sz w:val="18"/>
        </w:rPr>
        <w:t xml:space="preserve">DORA AI Capabilities Model</w:t>
      </w:r>
      <w:r>
        <w:rPr>
          <w:sz w:val="18"/>
        </w:rPr>
        <w:t xml:space="preserve">. 23 September 2025. https://dora.dev/research/2025/dora-report/ ; https://cloud.google.com/blog/products/ai-machine-learning/introducing-doras-inaugural-ai-capabilities-model</w:t>
      </w:r>
    </w:p>
    <w:p>
      <w:pPr>
        <w:pStyle w:val="BodyText"/>
        <w:spacing w:after="60"/>
      </w:pPr>
      <w:r>
        <w:rPr>
          <w:sz w:val="18"/>
        </w:rPr>
        <w:t xml:space="preserve">[39] Faros AI.</w:t>
      </w:r>
      <w:r>
        <w:rPr>
          <w:sz w:val="18"/>
        </w:rPr>
        <w:t xml:space="preserve"> </w:t>
      </w:r>
      <w:r>
        <w:rPr>
          <w:iCs/>
          <w:i/>
          <w:sz w:val="18"/>
        </w:rPr>
        <w:t xml:space="preserve">The AI Productivity Paradox</w:t>
      </w:r>
      <w:r>
        <w:rPr>
          <w:sz w:val="18"/>
        </w:rPr>
        <w:t xml:space="preserve"> </w:t>
      </w:r>
      <w:r>
        <w:rPr>
          <w:sz w:val="18"/>
        </w:rPr>
        <w:t xml:space="preserve">(23 July 2025) and</w:t>
      </w:r>
      <w:r>
        <w:rPr>
          <w:sz w:val="18"/>
        </w:rPr>
        <w:t xml:space="preserve"> </w:t>
      </w:r>
      <w:r>
        <w:rPr>
          <w:iCs/>
          <w:i/>
          <w:sz w:val="18"/>
        </w:rPr>
        <w:t xml:space="preserve">The Acceleration Whiplash</w:t>
      </w:r>
      <w:r>
        <w:rPr>
          <w:sz w:val="18"/>
        </w:rPr>
        <w:t xml:space="preserve"> </w:t>
      </w:r>
      <w:r>
        <w:rPr>
          <w:sz w:val="18"/>
        </w:rPr>
        <w:t xml:space="preserve">(2026). https://www.faros.ai/blog/ai-productivity-paradox-report-2025 ; https://www.faros.ai/research/ai-acceleration-whiplash</w:t>
      </w:r>
    </w:p>
    <w:p>
      <w:pPr>
        <w:pStyle w:val="BodyText"/>
        <w:spacing w:after="60"/>
      </w:pPr>
      <w:r>
        <w:rPr>
          <w:sz w:val="18"/>
        </w:rPr>
        <w:t xml:space="preserve">[40] GitClear (Harding, B.).</w:t>
      </w:r>
      <w:r>
        <w:rPr>
          <w:sz w:val="18"/>
        </w:rPr>
        <w:t xml:space="preserve"> </w:t>
      </w:r>
      <w:r>
        <w:rPr>
          <w:iCs/>
          <w:i/>
          <w:sz w:val="18"/>
        </w:rPr>
        <w:t xml:space="preserve">AI Copilot Code Quality: 2025 Data Suggests 4x Growth in Code Clones</w:t>
      </w:r>
      <w:r>
        <w:rPr>
          <w:sz w:val="18"/>
        </w:rPr>
        <w:t xml:space="preserve"> </w:t>
      </w:r>
      <w:r>
        <w:rPr>
          <w:sz w:val="18"/>
        </w:rPr>
        <w:t xml:space="preserve">(2025) and</w:t>
      </w:r>
      <w:r>
        <w:rPr>
          <w:sz w:val="18"/>
        </w:rPr>
        <w:t xml:space="preserve"> </w:t>
      </w:r>
      <w:r>
        <w:rPr>
          <w:iCs/>
          <w:i/>
          <w:sz w:val="18"/>
        </w:rPr>
        <w:t xml:space="preserve">The AI Code Quality Maintainability Gap</w:t>
      </w:r>
      <w:r>
        <w:rPr>
          <w:sz w:val="18"/>
        </w:rPr>
        <w:t xml:space="preserve"> </w:t>
      </w:r>
      <w:r>
        <w:rPr>
          <w:sz w:val="18"/>
        </w:rPr>
        <w:t xml:space="preserve">(January 2026). https://www.gitclear.com/ai_assistant_code_quality_2025_research ; https://www.gitclear.com/the_ai_code_quality_maintainability_gap</w:t>
      </w:r>
    </w:p>
    <w:p>
      <w:pPr>
        <w:pStyle w:val="BodyText"/>
        <w:spacing w:after="60"/>
      </w:pPr>
      <w:r>
        <w:rPr>
          <w:sz w:val="18"/>
        </w:rPr>
        <w:t xml:space="preserve">[41] Uplevel Data Labs.</w:t>
      </w:r>
      <w:r>
        <w:rPr>
          <w:sz w:val="18"/>
        </w:rPr>
        <w:t xml:space="preserve"> </w:t>
      </w:r>
      <w:r>
        <w:rPr>
          <w:iCs/>
          <w:i/>
          <w:sz w:val="18"/>
        </w:rPr>
        <w:t xml:space="preserve">AI won’t solve your developer productivity problems for you</w:t>
      </w:r>
      <w:r>
        <w:rPr>
          <w:sz w:val="18"/>
        </w:rPr>
        <w:t xml:space="preserve"> </w:t>
      </w:r>
      <w:r>
        <w:rPr>
          <w:sz w:val="18"/>
        </w:rPr>
        <w:t xml:space="preserve">(Copilot study, ~800 developers). September 2024 (republished 2026). https://uplevelteam.com/blog/ai-for-developer-productivity</w:t>
      </w:r>
    </w:p>
    <w:p>
      <w:pPr>
        <w:pStyle w:val="BodyText"/>
        <w:spacing w:after="60"/>
      </w:pPr>
      <w:r>
        <w:rPr>
          <w:sz w:val="18"/>
        </w:rPr>
        <w:t xml:space="preserve">[42] Veracode.</w:t>
      </w:r>
      <w:r>
        <w:rPr>
          <w:sz w:val="18"/>
        </w:rPr>
        <w:t xml:space="preserve"> </w:t>
      </w:r>
      <w:r>
        <w:rPr>
          <w:iCs/>
          <w:i/>
          <w:sz w:val="18"/>
        </w:rPr>
        <w:t xml:space="preserve">2025 GenAI Code Security Report</w:t>
      </w:r>
      <w:r>
        <w:rPr>
          <w:sz w:val="18"/>
        </w:rPr>
        <w:t xml:space="preserve"> </w:t>
      </w:r>
      <w:r>
        <w:rPr>
          <w:sz w:val="18"/>
        </w:rPr>
        <w:t xml:space="preserve">(30 July 2025) and</w:t>
      </w:r>
      <w:r>
        <w:rPr>
          <w:sz w:val="18"/>
        </w:rPr>
        <w:t xml:space="preserve"> </w:t>
      </w:r>
      <w:r>
        <w:rPr>
          <w:iCs/>
          <w:i/>
          <w:sz w:val="18"/>
        </w:rPr>
        <w:t xml:space="preserve">Spring 2026 GenAI Code Security</w:t>
      </w:r>
      <w:r>
        <w:rPr>
          <w:sz w:val="18"/>
        </w:rPr>
        <w:t xml:space="preserve"> </w:t>
      </w:r>
      <w:r>
        <w:rPr>
          <w:sz w:val="18"/>
        </w:rPr>
        <w:t xml:space="preserve">update (24 March 2026). https://www.veracode.com/blog/genai-code-security-report/ ; https://www.veracode.com/blog/spring-2026-genai-code-security/</w:t>
      </w:r>
    </w:p>
    <w:p>
      <w:pPr>
        <w:pStyle w:val="BodyText"/>
        <w:spacing w:after="60"/>
      </w:pPr>
      <w:r>
        <w:rPr>
          <w:sz w:val="18"/>
        </w:rPr>
        <w:t xml:space="preserve">[43] Apiiro Research,</w:t>
      </w:r>
      <w:r>
        <w:rPr>
          <w:sz w:val="18"/>
        </w:rPr>
        <w:t xml:space="preserve"> </w:t>
      </w:r>
      <w:r>
        <w:rPr>
          <w:iCs/>
          <w:i/>
          <w:sz w:val="18"/>
        </w:rPr>
        <w:t xml:space="preserve">4x Velocity, 10x Vulnerabilities</w:t>
      </w:r>
      <w:r>
        <w:rPr>
          <w:sz w:val="18"/>
        </w:rPr>
        <w:t xml:space="preserve"> </w:t>
      </w:r>
      <w:r>
        <w:rPr>
          <w:sz w:val="18"/>
        </w:rPr>
        <w:t xml:space="preserve">(September 2025), as reported by The Register, 5 September 2025. https://www.theregister.com/2025/09/05/ai_code_assistants_security_problems/</w:t>
      </w:r>
    </w:p>
    <w:p>
      <w:pPr>
        <w:pStyle w:val="BodyText"/>
        <w:spacing w:after="60"/>
      </w:pPr>
      <w:r>
        <w:rPr>
          <w:sz w:val="18"/>
        </w:rPr>
        <w:t xml:space="preserve">[44] Zeff, M.</w:t>
      </w:r>
      <w:r>
        <w:rPr>
          <w:sz w:val="18"/>
        </w:rPr>
        <w:t xml:space="preserve"> </w:t>
      </w:r>
      <w:r>
        <w:rPr>
          <w:iCs/>
          <w:i/>
          <w:sz w:val="18"/>
        </w:rPr>
        <w:t xml:space="preserve">Microsoft CEO says up to 30% of the company’s code was written by AI</w:t>
      </w:r>
      <w:r>
        <w:rPr>
          <w:sz w:val="18"/>
        </w:rPr>
        <w:t xml:space="preserve">. TechCrunch, 29 April 2025. https://techcrunch.com/2025/04/29/microsoft-ceo-says-up-to-30-of-the-companys-code-was-written-by-ai/</w:t>
      </w:r>
    </w:p>
    <w:p>
      <w:pPr>
        <w:pStyle w:val="BodyText"/>
        <w:spacing w:after="60"/>
      </w:pPr>
      <w:r>
        <w:rPr>
          <w:sz w:val="18"/>
        </w:rPr>
        <w:t xml:space="preserve">[45] The Block.</w:t>
      </w:r>
      <w:r>
        <w:rPr>
          <w:sz w:val="18"/>
        </w:rPr>
        <w:t xml:space="preserve"> </w:t>
      </w:r>
      <w:r>
        <w:rPr>
          <w:iCs/>
          <w:i/>
          <w:sz w:val="18"/>
        </w:rPr>
        <w:t xml:space="preserve">Brian Armstrong: ~40% of daily code at Coinbase is AI-generated</w:t>
      </w:r>
      <w:r>
        <w:rPr>
          <w:sz w:val="18"/>
        </w:rPr>
        <w:t xml:space="preserve">. 4 September 2025. https://www.theblock.co/post/369460/brian-armstrong-coinbase-ai</w:t>
      </w:r>
    </w:p>
    <w:p>
      <w:pPr>
        <w:pStyle w:val="BodyText"/>
        <w:spacing w:after="60"/>
      </w:pPr>
      <w:r>
        <w:rPr>
          <w:sz w:val="18"/>
        </w:rPr>
        <w:t xml:space="preserve">[46] Fortune.</w:t>
      </w:r>
      <w:r>
        <w:rPr>
          <w:sz w:val="18"/>
        </w:rPr>
        <w:t xml:space="preserve"> </w:t>
      </w:r>
      <w:r>
        <w:rPr>
          <w:iCs/>
          <w:i/>
          <w:sz w:val="18"/>
        </w:rPr>
        <w:t xml:space="preserve">‘</w:t>
      </w:r>
      <w:r>
        <w:rPr>
          <w:iCs/>
          <w:i/>
          <w:sz w:val="18"/>
        </w:rPr>
        <w:t xml:space="preserve">100 percent of code</w:t>
      </w:r>
      <w:r>
        <w:rPr>
          <w:iCs/>
          <w:i/>
          <w:sz w:val="18"/>
        </w:rPr>
        <w:t xml:space="preserve">’</w:t>
      </w:r>
      <w:r>
        <w:rPr>
          <w:iCs/>
          <w:i/>
          <w:sz w:val="18"/>
        </w:rPr>
        <w:t xml:space="preserve"> </w:t>
      </w:r>
      <w:r>
        <w:rPr>
          <w:iCs/>
          <w:i/>
          <w:sz w:val="18"/>
        </w:rPr>
        <w:t xml:space="preserve">at Anthropic and OpenAI is now AI-written, engineers say</w:t>
      </w:r>
      <w:r>
        <w:rPr>
          <w:sz w:val="18"/>
        </w:rPr>
        <w:t xml:space="preserve"> </w:t>
      </w:r>
      <w:r>
        <w:rPr>
          <w:sz w:val="18"/>
        </w:rPr>
        <w:t xml:space="preserve">(Anthropic spokesperson: company-wide share 70-90%). 29 January 2026. https://fortune.com/2026/01/29/100-percent-of-code-at-anthropic-and-openai-is-now-ai-written-boris-cherny-roon</w:t>
      </w:r>
    </w:p>
    <w:p>
      <w:pPr>
        <w:pStyle w:val="BodyText"/>
        <w:spacing w:after="60"/>
      </w:pPr>
      <w:r>
        <w:rPr>
          <w:sz w:val="18"/>
        </w:rPr>
        <w:t xml:space="preserve">[47] Fortune,</w:t>
      </w:r>
      <w:r>
        <w:rPr>
          <w:sz w:val="18"/>
        </w:rPr>
        <w:t xml:space="preserve"> </w:t>
      </w:r>
      <w:r>
        <w:rPr>
          <w:iCs/>
          <w:i/>
          <w:sz w:val="18"/>
        </w:rPr>
        <w:t xml:space="preserve">Google’s Pichai: more than a quarter of new code is generated by AI</w:t>
      </w:r>
      <w:r>
        <w:rPr>
          <w:sz w:val="18"/>
        </w:rPr>
        <w:t xml:space="preserve">, 30 October 2024; Alphabet Q1 2025 earnings call transcript (</w:t>
      </w:r>
      <w:r>
        <w:rPr>
          <w:sz w:val="18"/>
        </w:rPr>
        <w:t xml:space="preserve">“</w:t>
      </w:r>
      <w:r>
        <w:rPr>
          <w:sz w:val="18"/>
        </w:rPr>
        <w:t xml:space="preserve">well over 30%</w:t>
      </w:r>
      <w:r>
        <w:rPr>
          <w:sz w:val="18"/>
        </w:rPr>
        <w:t xml:space="preserve">”</w:t>
      </w:r>
      <w:r>
        <w:rPr>
          <w:sz w:val="18"/>
        </w:rPr>
        <w:t xml:space="preserve">), 24 April 2025; 9to5Google,</w:t>
      </w:r>
      <w:r>
        <w:rPr>
          <w:sz w:val="18"/>
        </w:rPr>
        <w:t xml:space="preserve"> </w:t>
      </w:r>
      <w:r>
        <w:rPr>
          <w:iCs/>
          <w:i/>
          <w:sz w:val="18"/>
        </w:rPr>
        <w:t xml:space="preserve">Google’s ~10% engineering velocity gain</w:t>
      </w:r>
      <w:r>
        <w:rPr>
          <w:sz w:val="18"/>
        </w:rPr>
        <w:t xml:space="preserve">, 30 June 2025. https://www.fortune.com/2024/10/30/googles-code-ai-sundar-pichai ; https://9to5google.com/2025/06/30/google-engineers-ai-code/</w:t>
      </w:r>
    </w:p>
    <w:p>
      <w:pPr>
        <w:pStyle w:val="BodyText"/>
        <w:spacing w:after="60"/>
      </w:pPr>
      <w:r>
        <w:rPr>
          <w:sz w:val="18"/>
        </w:rPr>
        <w:t xml:space="preserve">[48] Stack Overflow.</w:t>
      </w:r>
      <w:r>
        <w:rPr>
          <w:sz w:val="18"/>
        </w:rPr>
        <w:t xml:space="preserve"> </w:t>
      </w:r>
      <w:r>
        <w:rPr>
          <w:iCs/>
          <w:i/>
          <w:sz w:val="18"/>
        </w:rPr>
        <w:t xml:space="preserve">2025 Developer Survey: AI</w:t>
      </w:r>
      <w:r>
        <w:rPr>
          <w:sz w:val="18"/>
        </w:rPr>
        <w:t xml:space="preserve"> </w:t>
      </w:r>
      <w:r>
        <w:rPr>
          <w:sz w:val="18"/>
        </w:rPr>
        <w:t xml:space="preserve">(49,000+ respondents). July 2025. https://survey.stackoverflow.co/2025/ai</w:t>
      </w:r>
    </w:p>
    <w:p>
      <w:pPr>
        <w:pStyle w:val="BodyText"/>
        <w:spacing w:after="60"/>
      </w:pPr>
      <w:r>
        <w:rPr>
          <w:sz w:val="18"/>
        </w:rPr>
        <w:t xml:space="preserve">[49] Becker, J., Knackstedt, R., Pöppelbuß, J.</w:t>
      </w:r>
      <w:r>
        <w:rPr>
          <w:sz w:val="18"/>
        </w:rPr>
        <w:t xml:space="preserve"> </w:t>
      </w:r>
      <w:r>
        <w:rPr>
          <w:iCs/>
          <w:i/>
          <w:sz w:val="18"/>
        </w:rPr>
        <w:t xml:space="preserve">Developing Maturity Models for IT Management: A Procedure Model and its Application</w:t>
      </w:r>
      <w:r>
        <w:rPr>
          <w:sz w:val="18"/>
        </w:rPr>
        <w:t xml:space="preserve">. Business &amp; Information Systems Engineering 1(3):213-222, 2009. https://link.springer.com/article/10.1007/s12599-009-0044-5</w:t>
      </w:r>
    </w:p>
    <w:p>
      <w:pPr>
        <w:pStyle w:val="BodyText"/>
        <w:spacing w:after="60"/>
      </w:pPr>
      <w:r>
        <w:rPr>
          <w:sz w:val="18"/>
        </w:rPr>
        <w:t xml:space="preserve">[50] Pöppelbuß, J., Röglinger, M.</w:t>
      </w:r>
      <w:r>
        <w:rPr>
          <w:sz w:val="18"/>
        </w:rPr>
        <w:t xml:space="preserve"> </w:t>
      </w:r>
      <w:r>
        <w:rPr>
          <w:iCs/>
          <w:i/>
          <w:sz w:val="18"/>
        </w:rPr>
        <w:t xml:space="preserve">What makes a useful maturity model? A framework of general design principles for maturity models and its demonstration in business process management</w:t>
      </w:r>
      <w:r>
        <w:rPr>
          <w:sz w:val="18"/>
        </w:rPr>
        <w:t xml:space="preserve">. Proc. ECIS 2011, paper 28. https://aisel.aisnet.org/ecis2011/28/</w:t>
      </w:r>
    </w:p>
    <w:p>
      <w:pPr>
        <w:pStyle w:val="BodyText"/>
        <w:spacing w:after="60"/>
      </w:pPr>
      <w:r>
        <w:rPr>
          <w:sz w:val="18"/>
        </w:rPr>
        <w:t xml:space="preserve">[51] Mettler, T.</w:t>
      </w:r>
      <w:r>
        <w:rPr>
          <w:sz w:val="18"/>
        </w:rPr>
        <w:t xml:space="preserve"> </w:t>
      </w:r>
      <w:r>
        <w:rPr>
          <w:iCs/>
          <w:i/>
          <w:sz w:val="18"/>
        </w:rPr>
        <w:t xml:space="preserve">Maturity assessment models: a design science research approach</w:t>
      </w:r>
      <w:r>
        <w:rPr>
          <w:sz w:val="18"/>
        </w:rPr>
        <w:t xml:space="preserve">. International Journal of Society Systems Science 3(1/2):81-98, 2011. https://www.inderscience.com/info/inarticle.php?artid=38934</w:t>
      </w:r>
    </w:p>
    <w:p>
      <w:pPr>
        <w:pStyle w:val="BodyText"/>
        <w:spacing w:after="60"/>
      </w:pPr>
      <w:r>
        <w:rPr>
          <w:sz w:val="18"/>
        </w:rPr>
        <w:t xml:space="preserve">[52] Sadiq, R. B., Safie, N., Abd Rahman, A. H., Goudarzi, S.</w:t>
      </w:r>
      <w:r>
        <w:rPr>
          <w:sz w:val="18"/>
        </w:rPr>
        <w:t xml:space="preserve"> </w:t>
      </w:r>
      <w:r>
        <w:rPr>
          <w:iCs/>
          <w:i/>
          <w:sz w:val="18"/>
        </w:rPr>
        <w:t xml:space="preserve">Artificial intelligence maturity model: a systematic literature review</w:t>
      </w:r>
      <w:r>
        <w:rPr>
          <w:sz w:val="18"/>
        </w:rPr>
        <w:t xml:space="preserve">. PeerJ Computer Science 7:e661, 2021. https://peerj.com/articles/cs-661/</w:t>
      </w:r>
    </w:p>
    <w:p>
      <w:pPr>
        <w:pStyle w:val="BodyText"/>
        <w:spacing w:after="60"/>
      </w:pPr>
      <w:r>
        <w:rPr>
          <w:sz w:val="18"/>
        </w:rPr>
        <w:t xml:space="preserve">[53] Gartner.</w:t>
      </w:r>
      <w:r>
        <w:rPr>
          <w:sz w:val="18"/>
        </w:rPr>
        <w:t xml:space="preserve"> </w:t>
      </w:r>
      <w:r>
        <w:rPr>
          <w:iCs/>
          <w:i/>
          <w:sz w:val="18"/>
        </w:rPr>
        <w:t xml:space="preserve">AI Maturity Model and AI Roadmap Toolkit</w:t>
      </w:r>
      <w:r>
        <w:rPr>
          <w:sz w:val="18"/>
        </w:rPr>
        <w:t xml:space="preserve"> </w:t>
      </w:r>
      <w:r>
        <w:rPr>
          <w:sz w:val="18"/>
        </w:rPr>
        <w:t xml:space="preserve">(five levels: Foundational, Emerging, Operational, Scaled, Transformational; seven pillars). Accessed September 2026. https://www.gartner.com/en/chief-information-officer/research/ai-maturity-model-toolkit</w:t>
      </w:r>
    </w:p>
    <w:p>
      <w:pPr>
        <w:pStyle w:val="BodyText"/>
        <w:spacing w:after="60"/>
      </w:pPr>
      <w:r>
        <w:rPr>
          <w:sz w:val="18"/>
        </w:rPr>
        <w:t xml:space="preserve">[54] Accenture Research.</w:t>
      </w:r>
      <w:r>
        <w:rPr>
          <w:sz w:val="18"/>
        </w:rPr>
        <w:t xml:space="preserve"> </w:t>
      </w:r>
      <w:r>
        <w:rPr>
          <w:iCs/>
          <w:i/>
          <w:sz w:val="18"/>
        </w:rPr>
        <w:t xml:space="preserve">The Art of AI Maturity: Advancing from Practice to Performance</w:t>
      </w:r>
      <w:r>
        <w:rPr>
          <w:sz w:val="18"/>
        </w:rPr>
        <w:t xml:space="preserve">. 8 June 2022. https://newsroom.accenture.com/news/2022/more-than-60-percent-of-companies-are-only-experimenting-with-ai-creating-significant-opportunities-for-value-on-their-journey-to-ai-maturity-accenture-research-finds</w:t>
      </w:r>
    </w:p>
    <w:p>
      <w:pPr>
        <w:pStyle w:val="BodyText"/>
        <w:spacing w:after="60"/>
      </w:pPr>
      <w:r>
        <w:rPr>
          <w:sz w:val="18"/>
        </w:rPr>
        <w:t xml:space="preserve">[55] Breck, E., Cai, S., Nielsen, E., Salib, M., Sculley, D.</w:t>
      </w:r>
      <w:r>
        <w:rPr>
          <w:sz w:val="18"/>
        </w:rPr>
        <w:t xml:space="preserve"> </w:t>
      </w:r>
      <w:r>
        <w:rPr>
          <w:iCs/>
          <w:i/>
          <w:sz w:val="18"/>
        </w:rPr>
        <w:t xml:space="preserve">The ML Test Score: A Rubric for ML Production Readiness and Technical Debt Reduction</w:t>
      </w:r>
      <w:r>
        <w:rPr>
          <w:sz w:val="18"/>
        </w:rPr>
        <w:t xml:space="preserve">. Proc. IEEE International Conference on Big Data, 2017. https://research.google/pubs/the-ml-test-score-a-rubric-for-ml-production-readiness-and-technical-debt-reduction/</w:t>
      </w:r>
    </w:p>
    <w:p>
      <w:pPr>
        <w:pStyle w:val="BodyText"/>
        <w:spacing w:after="60"/>
      </w:pPr>
      <w:r>
        <w:rPr>
          <w:sz w:val="18"/>
        </w:rPr>
        <w:t xml:space="preserve">[56] Amershi, S., Begel, A., Bird, C., DeLine, R., Gall, H., Kamar, E., Nagappan, N., Nushi, B., Zimmermann, T.</w:t>
      </w:r>
      <w:r>
        <w:rPr>
          <w:sz w:val="18"/>
        </w:rPr>
        <w:t xml:space="preserve"> </w:t>
      </w:r>
      <w:r>
        <w:rPr>
          <w:iCs/>
          <w:i/>
          <w:sz w:val="18"/>
        </w:rPr>
        <w:t xml:space="preserve">Software Engineering for Machine Learning: A Case Study</w:t>
      </w:r>
      <w:r>
        <w:rPr>
          <w:sz w:val="18"/>
        </w:rPr>
        <w:t xml:space="preserve">. Proc. ICSE-SEIP 2019. https://www.microsoft.com/en-us/research/wp-content/uploads/2019/03/amershi-icse-2019_Software_Engineering_for_Machine_Learning.pdf</w:t>
      </w:r>
    </w:p>
    <w:p>
      <w:pPr>
        <w:pStyle w:val="BodyText"/>
        <w:spacing w:after="60"/>
      </w:pPr>
      <w:r>
        <w:rPr>
          <w:sz w:val="18"/>
        </w:rPr>
        <w:t xml:space="preserve">[57] Appel, R., McCrory, P., Tamkin, A., McCain, M., Neylon, T., Stern, M.</w:t>
      </w:r>
      <w:r>
        <w:rPr>
          <w:sz w:val="18"/>
        </w:rPr>
        <w:t xml:space="preserve"> </w:t>
      </w:r>
      <w:r>
        <w:rPr>
          <w:iCs/>
          <w:i/>
          <w:sz w:val="18"/>
        </w:rPr>
        <w:t xml:space="preserve">Anthropic Economic Index: Uneven geographic and enterprise AI adoption</w:t>
      </w:r>
      <w:r>
        <w:rPr>
          <w:sz w:val="18"/>
        </w:rPr>
        <w:t xml:space="preserve">. Anthropic, 15 September 2025; arXiv:2511.15080. https://www.anthropic.com/research/anthropic-economic-index-september-2025-report</w:t>
      </w:r>
    </w:p>
    <w:p>
      <w:pPr>
        <w:pStyle w:val="BodyText"/>
        <w:spacing w:after="60"/>
      </w:pPr>
      <w:r>
        <w:rPr>
          <w:sz w:val="18"/>
        </w:rPr>
        <w:t xml:space="preserve">[58] Anthropic.</w:t>
      </w:r>
      <w:r>
        <w:rPr>
          <w:sz w:val="18"/>
        </w:rPr>
        <w:t xml:space="preserve"> </w:t>
      </w:r>
      <w:r>
        <w:rPr>
          <w:iCs/>
          <w:i/>
          <w:sz w:val="18"/>
        </w:rPr>
        <w:t xml:space="preserve">Anthropic Economic Index, January 2026 report: Economic primitives</w:t>
      </w:r>
      <w:r>
        <w:rPr>
          <w:sz w:val="18"/>
        </w:rPr>
        <w:t xml:space="preserve">. 15 January 2026. https://www.anthropic.com/research/anthropic-economic-index-january-2026-report</w:t>
      </w:r>
    </w:p>
    <w:p>
      <w:pPr>
        <w:pStyle w:val="BodyText"/>
        <w:spacing w:after="60"/>
      </w:pPr>
      <w:r>
        <w:rPr>
          <w:sz w:val="18"/>
        </w:rPr>
        <w:t xml:space="preserve">[59] Gartner.</w:t>
      </w:r>
      <w:r>
        <w:rPr>
          <w:sz w:val="18"/>
        </w:rPr>
        <w:t xml:space="preserve"> </w:t>
      </w:r>
      <w:r>
        <w:rPr>
          <w:iCs/>
          <w:i/>
          <w:sz w:val="18"/>
        </w:rPr>
        <w:t xml:space="preserve">Gartner Identifies the Top Strategic Trends in Software Engineering for 2025 and Beyond</w:t>
      </w:r>
      <w:r>
        <w:rPr>
          <w:sz w:val="18"/>
        </w:rPr>
        <w:t xml:space="preserve"> </w:t>
      </w:r>
      <w:r>
        <w:rPr>
          <w:sz w:val="18"/>
        </w:rPr>
        <w:t xml:space="preserve">(90% of enterprise software engineers will use AI code assistants by 2028). Press release, 1 July 2025. https://www.gartner.com/en/newsroom/press-releases/2025-07-01-gartner-identifies-the-top-strategic-trends-in-software-engineering-for-2025-and-beyond</w:t>
      </w:r>
    </w:p>
    <w:p>
      <w:pPr>
        <w:pStyle w:val="BodyText"/>
        <w:spacing w:after="60"/>
      </w:pPr>
      <w:r>
        <w:rPr>
          <w:sz w:val="18"/>
        </w:rPr>
        <w:t xml:space="preserve">[60] Kwa, T., West, B., Becker, J. et al. </w:t>
      </w:r>
      <w:r>
        <w:rPr>
          <w:iCs/>
          <w:i/>
          <w:sz w:val="18"/>
        </w:rPr>
        <w:t xml:space="preserve">Measuring AI Ability to Complete Long Tasks</w:t>
      </w:r>
      <w:r>
        <w:rPr>
          <w:sz w:val="18"/>
        </w:rPr>
        <w:t xml:space="preserve">. METR, arXiv:2503.14499, March 2025 (v4 July 2026);</w:t>
      </w:r>
      <w:r>
        <w:rPr>
          <w:sz w:val="18"/>
        </w:rPr>
        <w:t xml:space="preserve"> </w:t>
      </w:r>
      <w:r>
        <w:rPr>
          <w:iCs/>
          <w:i/>
          <w:sz w:val="18"/>
        </w:rPr>
        <w:t xml:space="preserve">Time Horizon 1.1</w:t>
      </w:r>
      <w:r>
        <w:rPr>
          <w:sz w:val="18"/>
        </w:rPr>
        <w:t xml:space="preserve">, 29 January 2026. https://arxiv.org/abs/2503.14499 ; https://metr.org/blog/2026-1-29-time-horizon-1-1/</w:t>
      </w:r>
    </w:p>
    <w:p>
      <w:pPr>
        <w:pStyle w:val="BodyText"/>
        <w:spacing w:after="60"/>
      </w:pPr>
      <w:r>
        <w:rPr>
          <w:sz w:val="18"/>
        </w:rPr>
        <w:t xml:space="preserve">[61] Anthropic.</w:t>
      </w:r>
      <w:r>
        <w:rPr>
          <w:sz w:val="18"/>
        </w:rPr>
        <w:t xml:space="preserve"> </w:t>
      </w:r>
      <w:r>
        <w:rPr>
          <w:iCs/>
          <w:i/>
          <w:sz w:val="18"/>
        </w:rPr>
        <w:t xml:space="preserve">Introducing Claude 4</w:t>
      </w:r>
      <w:r>
        <w:rPr>
          <w:sz w:val="18"/>
        </w:rPr>
        <w:t xml:space="preserve"> </w:t>
      </w:r>
      <w:r>
        <w:rPr>
          <w:sz w:val="18"/>
        </w:rPr>
        <w:t xml:space="preserve">(SWE-bench Verified 72.5%/72.7%; Rakuten seven-hour autonomous refactor). 22 May 2025. https://www.anthropic.com/news/claude-4</w:t>
      </w:r>
    </w:p>
    <w:p>
      <w:pPr>
        <w:pStyle w:val="BodyText"/>
        <w:spacing w:after="60"/>
      </w:pPr>
      <w:r>
        <w:rPr>
          <w:sz w:val="18"/>
        </w:rPr>
        <w:t xml:space="preserve">[62] Gartner.</w:t>
      </w:r>
      <w:r>
        <w:rPr>
          <w:sz w:val="18"/>
        </w:rPr>
        <w:t xml:space="preserve"> </w:t>
      </w:r>
      <w:r>
        <w:rPr>
          <w:iCs/>
          <w:i/>
          <w:sz w:val="18"/>
        </w:rPr>
        <w:t xml:space="preserve">Gartner Predicts Over 40% of Agentic AI Projects Will Be Canceled by End of 2027</w:t>
      </w:r>
      <w:r>
        <w:rPr>
          <w:sz w:val="18"/>
        </w:rPr>
        <w:t xml:space="preserve">. Press release, 25 June 2025. https://www.gartner.com/en/newsroom/press-releases/2025-06-25-gartner-predicts-over-40-percent-of-agentic-ai-projects-will-be-canceled-by-end-of-2027</w:t>
      </w:r>
    </w:p>
    <w:p>
      <w:pPr>
        <w:pStyle w:val="BodyText"/>
        <w:spacing w:after="60"/>
      </w:pPr>
      <w:r>
        <w:rPr>
          <w:sz w:val="18"/>
        </w:rPr>
        <w:t xml:space="preserve">[63] Gartner.</w:t>
      </w:r>
      <w:r>
        <w:rPr>
          <w:sz w:val="18"/>
        </w:rPr>
        <w:t xml:space="preserve"> </w:t>
      </w:r>
      <w:r>
        <w:rPr>
          <w:iCs/>
          <w:i/>
          <w:sz w:val="18"/>
        </w:rPr>
        <w:t xml:space="preserve">Gartner Announces Top Predictions for Data and Analytics in 2026</w:t>
      </w:r>
      <w:r>
        <w:rPr>
          <w:sz w:val="18"/>
        </w:rPr>
        <w:t xml:space="preserve">. Press release, 11 March 2026. https://www.gartner.com/en/newsroom/press-releases/2026-03-11-gartner-announces-top-predictions-for-data-and-analytics-in-2026</w:t>
      </w:r>
    </w:p>
    <w:p>
      <w:pPr>
        <w:pStyle w:val="BodyText"/>
        <w:spacing w:after="60"/>
      </w:pPr>
      <w:r>
        <w:rPr>
          <w:sz w:val="18"/>
        </w:rPr>
        <w:t xml:space="preserve">[64] Acharya, V.</w:t>
      </w:r>
      <w:r>
        <w:rPr>
          <w:sz w:val="18"/>
        </w:rPr>
        <w:t xml:space="preserve"> </w:t>
      </w:r>
      <w:r>
        <w:rPr>
          <w:iCs/>
          <w:i/>
          <w:sz w:val="18"/>
        </w:rPr>
        <w:t xml:space="preserve">Governing the Agentic Enterprise: A Governance Maturity Model for Managing AI Agent Sprawl in Business Operations</w:t>
      </w:r>
      <w:r>
        <w:rPr>
          <w:sz w:val="18"/>
        </w:rPr>
        <w:t xml:space="preserve">. arXiv:2604.16338, March 2026 (preprint; simulation-validated). https://arxiv.org/abs/2604.16338</w:t>
      </w:r>
    </w:p>
    <w:p>
      <w:pPr>
        <w:pStyle w:val="BodyText"/>
        <w:spacing w:after="60"/>
      </w:pPr>
      <w:r>
        <w:rPr>
          <w:sz w:val="18"/>
        </w:rPr>
        <w:t xml:space="preserve">[65] International Scientific Exchange on AI Safety.</w:t>
      </w:r>
      <w:r>
        <w:rPr>
          <w:sz w:val="18"/>
        </w:rPr>
        <w:t xml:space="preserve"> </w:t>
      </w:r>
      <w:r>
        <w:rPr>
          <w:iCs/>
          <w:i/>
          <w:sz w:val="18"/>
        </w:rPr>
        <w:t xml:space="preserve">The Singapore Consensus on Global AI Safety Research Priorities</w:t>
      </w:r>
      <w:r>
        <w:rPr>
          <w:sz w:val="18"/>
        </w:rPr>
        <w:t xml:space="preserve">, 2026 edition. July 2026. https://aisafetypriorities.org/</w:t>
      </w:r>
    </w:p>
    <w:p>
      <w:pPr>
        <w:pStyle w:val="BodyText"/>
        <w:spacing w:after="60"/>
      </w:pPr>
      <w:r>
        <w:rPr>
          <w:sz w:val="18"/>
        </w:rPr>
        <w:t xml:space="preserve">[66] Board of Governors of the Federal Reserve System / OCC.</w:t>
      </w:r>
      <w:r>
        <w:rPr>
          <w:sz w:val="18"/>
        </w:rPr>
        <w:t xml:space="preserve"> </w:t>
      </w:r>
      <w:r>
        <w:rPr>
          <w:iCs/>
          <w:i/>
          <w:sz w:val="18"/>
        </w:rPr>
        <w:t xml:space="preserve">Supervisory Guidance on Model Risk Management</w:t>
      </w:r>
      <w:r>
        <w:rPr>
          <w:sz w:val="18"/>
        </w:rPr>
        <w:t xml:space="preserve">, SR 11-7 / OCC Bulletin 2011-12. 4 April 2011. https://www.federalreserve.gov/supervisionreg/srletters/sr1107.htm</w:t>
      </w:r>
    </w:p>
    <w:p>
      <w:pPr>
        <w:pStyle w:val="BodyText"/>
        <w:spacing w:after="60"/>
      </w:pPr>
      <w:r>
        <w:rPr>
          <w:sz w:val="18"/>
        </w:rPr>
        <w:t xml:space="preserve">[67] Federal Reserve, OCC, FDIC.</w:t>
      </w:r>
      <w:r>
        <w:rPr>
          <w:sz w:val="18"/>
        </w:rPr>
        <w:t xml:space="preserve"> </w:t>
      </w:r>
      <w:r>
        <w:rPr>
          <w:iCs/>
          <w:i/>
          <w:sz w:val="18"/>
        </w:rPr>
        <w:t xml:space="preserve">Revised Guidance on Model Risk Management</w:t>
      </w:r>
      <w:r>
        <w:rPr>
          <w:sz w:val="18"/>
        </w:rPr>
        <w:t xml:space="preserve">, SR 26-2 / OCC Bulletin 2026-13 / FDIC FIL-15-2026. 17 April 2026 (generative and agentic AI out of scope pending an interagency RFI). https://www.federalreserve.gov/supervisionreg/srletters/SR2602.htm</w:t>
      </w:r>
    </w:p>
    <w:p>
      <w:pPr>
        <w:pStyle w:val="BodyText"/>
        <w:spacing w:after="60"/>
      </w:pPr>
      <w:r>
        <w:rPr>
          <w:sz w:val="18"/>
        </w:rPr>
        <w:t xml:space="preserve">[68] Monetary Authority of Singapore.</w:t>
      </w:r>
      <w:r>
        <w:rPr>
          <w:sz w:val="18"/>
        </w:rPr>
        <w:t xml:space="preserve"> </w:t>
      </w:r>
      <w:r>
        <w:rPr>
          <w:iCs/>
          <w:i/>
          <w:sz w:val="18"/>
        </w:rPr>
        <w:t xml:space="preserve">Consultation Paper P017-2025: Proposed Guidelines on Artificial Intelligence Risk Management</w:t>
      </w:r>
      <w:r>
        <w:rPr>
          <w:sz w:val="18"/>
        </w:rPr>
        <w:t xml:space="preserve">. 13 November 2025 (consultation closed 31 January 2026; final guidelines pending as of September 2026). https://www.mas.gov.sg/-/media/mas-media-library/publications/consultations/bd/2025/final_consultation_paper_on_guidelines_on_ai_risk_management_forrelease.pdf ; mirror: https://cfasocietysingapore.org/wp-content/uploads/2026/01/MAS-Consultation_Paper-on-Guidelines-on-AI-Risk-Management.pdf</w:t>
      </w:r>
    </w:p>
    <w:p>
      <w:pPr>
        <w:pStyle w:val="BodyText"/>
        <w:spacing w:after="60"/>
      </w:pPr>
      <w:r>
        <w:rPr>
          <w:sz w:val="18"/>
        </w:rPr>
        <w:t xml:space="preserve">[69] Regulation (EU) 2026/1744 amending Regulation (EU) 2024/1689 (Digital Omnibus on AI). Adopted 8 July 2026; in force 27 July 2026. https://eur-lex.europa.eu/eli/reg/2026/1744/oj/eng ; https://digital-strategy.ec.europa.eu/en/news/ai-omnibus-enters-force</w:t>
      </w:r>
    </w:p>
    <w:p>
      <w:pPr>
        <w:pStyle w:val="BodyText"/>
        <w:spacing w:after="60"/>
      </w:pPr>
      <w:r>
        <w:rPr>
          <w:sz w:val="18"/>
        </w:rPr>
        <w:t xml:space="preserve">[70] Bank of England and Financial Conduct Authority.</w:t>
      </w:r>
      <w:r>
        <w:rPr>
          <w:sz w:val="18"/>
        </w:rPr>
        <w:t xml:space="preserve"> </w:t>
      </w:r>
      <w:r>
        <w:rPr>
          <w:iCs/>
          <w:i/>
          <w:sz w:val="18"/>
        </w:rPr>
        <w:t xml:space="preserve">Artificial intelligence in UK financial services, 2024</w:t>
      </w:r>
      <w:r>
        <w:rPr>
          <w:sz w:val="18"/>
        </w:rPr>
        <w:t xml:space="preserve">. 21 November 2024. https://www.bankofengland.co.uk/report/2024/artificial-intelligence-in-uk-financial-services-2024</w:t>
      </w:r>
    </w:p>
    <w:p>
      <w:pPr>
        <w:pStyle w:val="BodyText"/>
        <w:spacing w:after="60"/>
      </w:pPr>
      <w:r>
        <w:rPr>
          <w:sz w:val="18"/>
        </w:rPr>
        <w:t xml:space="preserve">[71] Machado, P.</w:t>
      </w:r>
      <w:r>
        <w:rPr>
          <w:sz w:val="18"/>
        </w:rPr>
        <w:t xml:space="preserve"> </w:t>
      </w:r>
      <w:r>
        <w:rPr>
          <w:iCs/>
          <w:i/>
          <w:sz w:val="18"/>
        </w:rPr>
        <w:t xml:space="preserve">Technology is neutral, governance is not</w:t>
      </w:r>
      <w:r>
        <w:rPr>
          <w:sz w:val="18"/>
        </w:rPr>
        <w:t xml:space="preserve">. Speech, ECB Banking Supervision, 24 February 2026. https://www.bankingsupervision.europa.eu/press/speeches/date/2026/html/ssm.sp260224~6c5b64a77a.en.html</w:t>
      </w:r>
    </w:p>
    <w:p>
      <w:pPr>
        <w:pStyle w:val="BodyText"/>
        <w:spacing w:after="60"/>
      </w:pPr>
      <w:r>
        <w:rPr>
          <w:sz w:val="18"/>
        </w:rPr>
        <w:t xml:space="preserve">[72] Australian Securities and Investments Commission.</w:t>
      </w:r>
      <w:r>
        <w:rPr>
          <w:sz w:val="18"/>
        </w:rPr>
        <w:t xml:space="preserve"> </w:t>
      </w:r>
      <w:r>
        <w:rPr>
          <w:iCs/>
          <w:i/>
          <w:sz w:val="18"/>
        </w:rPr>
        <w:t xml:space="preserve">Report 798: Beware the gap: Governance arrangements in the face of AI innovation</w:t>
      </w:r>
      <w:r>
        <w:rPr>
          <w:sz w:val="18"/>
        </w:rPr>
        <w:t xml:space="preserve">. 29 October 2024. https://asic.gov.au/regulatory-resources/find-a-document/reports/rep-798-beware-the-gap-governance-arrangements-in-the-face-of-ai-innovation/</w:t>
      </w:r>
    </w:p>
    <w:p>
      <w:pPr>
        <w:pStyle w:val="BodyText"/>
        <w:spacing w:after="60"/>
      </w:pPr>
      <w:r>
        <w:rPr>
          <w:sz w:val="18"/>
        </w:rPr>
        <w:t xml:space="preserve">[73] Liu, N. F., Lin, K., Hewitt, J., Paranjape, A., Bevilacqua, M., Petroni, F., Liang, P.</w:t>
      </w:r>
      <w:r>
        <w:rPr>
          <w:sz w:val="18"/>
        </w:rPr>
        <w:t xml:space="preserve"> </w:t>
      </w:r>
      <w:r>
        <w:rPr>
          <w:iCs/>
          <w:i/>
          <w:sz w:val="18"/>
        </w:rPr>
        <w:t xml:space="preserve">Lost in the Middle: How Language Models Use Long Contexts</w:t>
      </w:r>
      <w:r>
        <w:rPr>
          <w:sz w:val="18"/>
        </w:rPr>
        <w:t xml:space="preserve">. Transactions of the ACL 12, 2024; arXiv:2307.03172. https://arxiv.org/abs/2307.03172</w:t>
      </w:r>
    </w:p>
    <w:p>
      <w:pPr>
        <w:pStyle w:val="BodyText"/>
        <w:spacing w:after="60"/>
      </w:pPr>
      <w:r>
        <w:rPr>
          <w:sz w:val="18"/>
        </w:rPr>
        <w:t xml:space="preserve">[74] Hong, K., Troynikov, A., Huber, J.</w:t>
      </w:r>
      <w:r>
        <w:rPr>
          <w:sz w:val="18"/>
        </w:rPr>
        <w:t xml:space="preserve"> </w:t>
      </w:r>
      <w:r>
        <w:rPr>
          <w:iCs/>
          <w:i/>
          <w:sz w:val="18"/>
        </w:rPr>
        <w:t xml:space="preserve">Context Rot: How Increasing Input Tokens Impacts LLM Performance</w:t>
      </w:r>
      <w:r>
        <w:rPr>
          <w:sz w:val="18"/>
        </w:rPr>
        <w:t xml:space="preserve">. Chroma technical report, 14 July 2025. https://www.trychroma.com/research/context-rot</w:t>
      </w:r>
    </w:p>
    <w:p>
      <w:pPr>
        <w:pStyle w:val="BodyText"/>
        <w:spacing w:after="60"/>
      </w:pPr>
      <w:r>
        <w:rPr>
          <w:sz w:val="18"/>
        </w:rPr>
        <w:t xml:space="preserve">[75] Hadfield, J., Zhang, B., Lien, K., Scholz, F., Fox, J., Ford, D.</w:t>
      </w:r>
      <w:r>
        <w:rPr>
          <w:sz w:val="18"/>
        </w:rPr>
        <w:t xml:space="preserve"> </w:t>
      </w:r>
      <w:r>
        <w:rPr>
          <w:iCs/>
          <w:i/>
          <w:sz w:val="18"/>
        </w:rPr>
        <w:t xml:space="preserve">How we built our multi-agent research system</w:t>
      </w:r>
      <w:r>
        <w:rPr>
          <w:sz w:val="18"/>
        </w:rPr>
        <w:t xml:space="preserve">. Anthropic Engineering, 13 June 2025. https://www.anthropic.com/engineering/multi-agent-research-system</w:t>
      </w:r>
    </w:p>
    <w:p>
      <w:pPr>
        <w:pStyle w:val="BodyText"/>
        <w:spacing w:after="60"/>
      </w:pPr>
      <w:r>
        <w:rPr>
          <w:sz w:val="18"/>
        </w:rPr>
        <w:t xml:space="preserve">[76] Mei, L. et al. </w:t>
      </w:r>
      <w:r>
        <w:rPr>
          <w:iCs/>
          <w:i/>
          <w:sz w:val="18"/>
        </w:rPr>
        <w:t xml:space="preserve">A Survey of Context Engineering for Large Language Models</w:t>
      </w:r>
      <w:r>
        <w:rPr>
          <w:sz w:val="18"/>
        </w:rPr>
        <w:t xml:space="preserve">. arXiv:2507.13334, July 2025. https://arxiv.org/abs/2507.13334</w:t>
      </w:r>
    </w:p>
    <w:p>
      <w:pPr>
        <w:pStyle w:val="BodyText"/>
        <w:spacing w:after="60"/>
      </w:pPr>
      <w:r>
        <w:rPr>
          <w:sz w:val="18"/>
        </w:rPr>
        <w:t xml:space="preserve">[77] Sarkar, A., Drosos, I.</w:t>
      </w:r>
      <w:r>
        <w:rPr>
          <w:sz w:val="18"/>
        </w:rPr>
        <w:t xml:space="preserve"> </w:t>
      </w:r>
      <w:r>
        <w:rPr>
          <w:iCs/>
          <w:i/>
          <w:sz w:val="18"/>
        </w:rPr>
        <w:t xml:space="preserve">Vibe coding: programming through conversation with artificial intelligence</w:t>
      </w:r>
      <w:r>
        <w:rPr>
          <w:sz w:val="18"/>
        </w:rPr>
        <w:t xml:space="preserve">. arXiv:2506.23253, 2025; Ge, Y., Mei, L. et al. </w:t>
      </w:r>
      <w:r>
        <w:rPr>
          <w:iCs/>
          <w:i/>
          <w:sz w:val="18"/>
        </w:rPr>
        <w:t xml:space="preserve">A Survey of Vibe Coding with Large Language Models</w:t>
      </w:r>
      <w:r>
        <w:rPr>
          <w:sz w:val="18"/>
        </w:rPr>
        <w:t xml:space="preserve">. arXiv:2510.12399, 2025. https://arxiv.org/abs/2506.23253</w:t>
      </w:r>
    </w:p>
    <w:p>
      <w:pPr>
        <w:pStyle w:val="BodyText"/>
        <w:spacing w:after="60"/>
      </w:pPr>
      <w:r>
        <w:rPr>
          <w:sz w:val="18"/>
        </w:rPr>
        <w:t xml:space="preserve">[78] Ding, Y., Wang, Z., Ahmad, W. U. et al. </w:t>
      </w:r>
      <w:r>
        <w:rPr>
          <w:iCs/>
          <w:i/>
          <w:sz w:val="18"/>
        </w:rPr>
        <w:t xml:space="preserve">CrossCodeEval: A Diverse and Multilingual Benchmark for Cross-File Code Completion</w:t>
      </w:r>
      <w:r>
        <w:rPr>
          <w:sz w:val="18"/>
        </w:rPr>
        <w:t xml:space="preserve">. NeurIPS 2023 Datasets and Benchmarks; arXiv:2310.11248. https://arxiv.org/abs/2310.11248</w:t>
      </w:r>
    </w:p>
    <w:p>
      <w:pPr>
        <w:pStyle w:val="BodyText"/>
        <w:spacing w:after="60"/>
      </w:pPr>
      <w:r>
        <w:rPr>
          <w:sz w:val="18"/>
        </w:rPr>
        <w:t xml:space="preserve">[79] Ouyang, S., Yu, W., Ma, K. et al. </w:t>
      </w:r>
      <w:r>
        <w:rPr>
          <w:iCs/>
          <w:i/>
          <w:sz w:val="18"/>
        </w:rPr>
        <w:t xml:space="preserve">RepoGraph: Enhancing AI Software Engineering with Repository-level Code Graph</w:t>
      </w:r>
      <w:r>
        <w:rPr>
          <w:sz w:val="18"/>
        </w:rPr>
        <w:t xml:space="preserve">. ICLR 2025; arXiv:2410.14684. https://arxiv.org/abs/2410.14684</w:t>
      </w:r>
    </w:p>
    <w:p>
      <w:pPr>
        <w:pStyle w:val="BodyText"/>
        <w:spacing w:after="60"/>
      </w:pPr>
      <w:r>
        <w:rPr>
          <w:sz w:val="18"/>
        </w:rPr>
        <w:t xml:space="preserve">[80] Gloaguen, T., Mündler, N., Müller, M., Raychev, V., Vechev, M.</w:t>
      </w:r>
      <w:r>
        <w:rPr>
          <w:sz w:val="18"/>
        </w:rPr>
        <w:t xml:space="preserve"> </w:t>
      </w:r>
      <w:r>
        <w:rPr>
          <w:iCs/>
          <w:i/>
          <w:sz w:val="18"/>
        </w:rPr>
        <w:t xml:space="preserve">Evaluating AGENTS.md: Are Repository-Level Context Files Helpful for Coding Agents?</w:t>
      </w:r>
      <w:r>
        <w:rPr>
          <w:sz w:val="18"/>
        </w:rPr>
        <w:t xml:space="preserve"> </w:t>
      </w:r>
      <w:r>
        <w:rPr>
          <w:sz w:val="18"/>
        </w:rPr>
        <w:t xml:space="preserve">ETH Zurich / LogicStar.ai, arXiv:2602.11988, February 2026 (v2 June 2026). https://arxiv.org/abs/2602.11988</w:t>
      </w:r>
    </w:p>
    <w:p>
      <w:pPr>
        <w:pStyle w:val="BodyText"/>
        <w:spacing w:after="60"/>
      </w:pPr>
      <w:r>
        <w:rPr>
          <w:sz w:val="18"/>
        </w:rPr>
        <w:t xml:space="preserve">[81] Pearce, H., Ahmad, B., Tan, B., Dolan-Gavitt, B., Karri, R.</w:t>
      </w:r>
      <w:r>
        <w:rPr>
          <w:sz w:val="18"/>
        </w:rPr>
        <w:t xml:space="preserve"> </w:t>
      </w:r>
      <w:r>
        <w:rPr>
          <w:iCs/>
          <w:i/>
          <w:sz w:val="18"/>
        </w:rPr>
        <w:t xml:space="preserve">Asleep at the Keyboard? Assessing the Security of GitHub Copilot’s Code Contributions</w:t>
      </w:r>
      <w:r>
        <w:rPr>
          <w:sz w:val="18"/>
        </w:rPr>
        <w:t xml:space="preserve">. IEEE Symposium on Security and Privacy 2022; arXiv:2108.09293. https://arxiv.org/abs/2108.09293</w:t>
      </w:r>
    </w:p>
    <w:p>
      <w:pPr>
        <w:pStyle w:val="BodyText"/>
        <w:spacing w:after="60"/>
      </w:pPr>
      <w:r>
        <w:rPr>
          <w:sz w:val="18"/>
        </w:rPr>
        <w:t xml:space="preserve">[82] OpenAI.</w:t>
      </w:r>
      <w:r>
        <w:rPr>
          <w:sz w:val="18"/>
        </w:rPr>
        <w:t xml:space="preserve"> </w:t>
      </w:r>
      <w:r>
        <w:rPr>
          <w:iCs/>
          <w:i/>
          <w:sz w:val="18"/>
        </w:rPr>
        <w:t xml:space="preserve">Introducing SWE-bench Verified</w:t>
      </w:r>
      <w:r>
        <w:rPr>
          <w:sz w:val="18"/>
        </w:rPr>
        <w:t xml:space="preserve">. August 2024. https://openai.com/index/introducing-swe-bench-verified/</w:t>
      </w:r>
    </w:p>
    <w:p>
      <w:pPr>
        <w:pStyle w:val="BodyText"/>
        <w:spacing w:after="60"/>
      </w:pPr>
      <w:r>
        <w:rPr>
          <w:sz w:val="18"/>
        </w:rPr>
        <w:t xml:space="preserve">[83] Deng, X., Da, J., Pan, E., He, Y. Y. et al. </w:t>
      </w:r>
      <w:r>
        <w:rPr>
          <w:iCs/>
          <w:i/>
          <w:sz w:val="18"/>
        </w:rPr>
        <w:t xml:space="preserve">SWE-Bench Pro: Can AI Agents Solve Long-Horizon Software Engineering Tasks?</w:t>
      </w:r>
      <w:r>
        <w:rPr>
          <w:sz w:val="18"/>
        </w:rPr>
        <w:t xml:space="preserve"> </w:t>
      </w:r>
      <w:r>
        <w:rPr>
          <w:sz w:val="18"/>
        </w:rPr>
        <w:t xml:space="preserve">Scale AI, arXiv:2509.16941, September 2025 (v2 November 2025). https://arxiv.org/abs/2509.16941 ; public leaderboard: https://labs.scale.com/leaderboard/swe_bench_pro_public</w:t>
      </w:r>
    </w:p>
    <w:p>
      <w:pPr>
        <w:pStyle w:val="BodyText"/>
        <w:spacing w:after="60"/>
      </w:pPr>
      <w:r>
        <w:rPr>
          <w:sz w:val="18"/>
        </w:rPr>
        <w:t xml:space="preserve">[84] Segato, G., Carlini, N., Hadfield, J., Merrill, M., Shaw, A.</w:t>
      </w:r>
      <w:r>
        <w:rPr>
          <w:sz w:val="18"/>
        </w:rPr>
        <w:t xml:space="preserve"> </w:t>
      </w:r>
      <w:r>
        <w:rPr>
          <w:iCs/>
          <w:i/>
          <w:sz w:val="18"/>
        </w:rPr>
        <w:t xml:space="preserve">Quantifying infrastructure noise in agentic coding evals</w:t>
      </w:r>
      <w:r>
        <w:rPr>
          <w:sz w:val="18"/>
        </w:rPr>
        <w:t xml:space="preserve">. Anthropic Engineering, 5 February 2026. https://www.anthropic.com/engineering/infrastructure-noise</w:t>
      </w:r>
    </w:p>
    <w:p>
      <w:pPr>
        <w:pStyle w:val="BodyText"/>
        <w:spacing w:after="60"/>
      </w:pPr>
      <w:r>
        <w:rPr>
          <w:sz w:val="18"/>
        </w:rPr>
        <w:t xml:space="preserve">[85] Aleithan, R., Xue, H., Mohajer, M. M., Nnorom, E., Uddin, G., Wang, S.</w:t>
      </w:r>
      <w:r>
        <w:rPr>
          <w:sz w:val="18"/>
        </w:rPr>
        <w:t xml:space="preserve"> </w:t>
      </w:r>
      <w:r>
        <w:rPr>
          <w:iCs/>
          <w:i/>
          <w:sz w:val="18"/>
        </w:rPr>
        <w:t xml:space="preserve">SWE-Bench+: Enhanced Coding Benchmark for LLMs</w:t>
      </w:r>
      <w:r>
        <w:rPr>
          <w:sz w:val="18"/>
        </w:rPr>
        <w:t xml:space="preserve">. arXiv:2410.06992, October 2024. https://arxiv.org/abs/2410.06992</w:t>
      </w:r>
    </w:p>
    <w:p>
      <w:pPr>
        <w:pStyle w:val="BodyText"/>
        <w:spacing w:after="60"/>
      </w:pPr>
      <w:r>
        <w:rPr>
          <w:sz w:val="18"/>
        </w:rPr>
        <w:t xml:space="preserve">[86] Rajasekaran, P.</w:t>
      </w:r>
      <w:r>
        <w:rPr>
          <w:sz w:val="18"/>
        </w:rPr>
        <w:t xml:space="preserve"> </w:t>
      </w:r>
      <w:r>
        <w:rPr>
          <w:iCs/>
          <w:i/>
          <w:sz w:val="18"/>
        </w:rPr>
        <w:t xml:space="preserve">Harness design for long-running application development</w:t>
      </w:r>
      <w:r>
        <w:rPr>
          <w:sz w:val="18"/>
        </w:rPr>
        <w:t xml:space="preserve">. Anthropic Engineering, 24 March 2026 (and Young, J.,</w:t>
      </w:r>
      <w:r>
        <w:rPr>
          <w:sz w:val="18"/>
        </w:rPr>
        <w:t xml:space="preserve"> </w:t>
      </w:r>
      <w:r>
        <w:rPr>
          <w:iCs/>
          <w:i/>
          <w:sz w:val="18"/>
        </w:rPr>
        <w:t xml:space="preserve">Effective harnesses for long-running agents</w:t>
      </w:r>
      <w:r>
        <w:rPr>
          <w:sz w:val="18"/>
        </w:rPr>
        <w:t xml:space="preserve">, 26 November 2025). https://www.anthropic.com/engineering/harness-design-long-running-apps</w:t>
      </w:r>
    </w:p>
    <w:p>
      <w:pPr>
        <w:pStyle w:val="BodyText"/>
        <w:spacing w:after="60"/>
      </w:pPr>
      <w:r>
        <w:rPr>
          <w:sz w:val="18"/>
        </w:rPr>
        <w:t xml:space="preserve">[87] Fu, Y., Liang, P., Tahir, A., Li, Z., Shahin, M., Yu, J., Chen, J.</w:t>
      </w:r>
      <w:r>
        <w:rPr>
          <w:sz w:val="18"/>
        </w:rPr>
        <w:t xml:space="preserve"> </w:t>
      </w:r>
      <w:r>
        <w:rPr>
          <w:iCs/>
          <w:i/>
          <w:sz w:val="18"/>
        </w:rPr>
        <w:t xml:space="preserve">Security Weaknesses of Copilot-Generated Code in GitHub Projects: An Empirical Study</w:t>
      </w:r>
      <w:r>
        <w:rPr>
          <w:sz w:val="18"/>
        </w:rPr>
        <w:t xml:space="preserve">. ACM TOSEM 2025; arXiv:2310.02059. https://arxiv.org/abs/2310.02059</w:t>
      </w:r>
    </w:p>
    <w:p>
      <w:pPr>
        <w:pStyle w:val="BodyText"/>
        <w:spacing w:after="60"/>
      </w:pPr>
      <w:r>
        <w:rPr>
          <w:sz w:val="18"/>
        </w:rPr>
        <w:t xml:space="preserve">[88] Packer, C., Wooders, S., Lin, K., Fang, V., Patil, S. G., Stoica, I., Gonzalez, J. E.</w:t>
      </w:r>
      <w:r>
        <w:rPr>
          <w:sz w:val="18"/>
        </w:rPr>
        <w:t xml:space="preserve"> </w:t>
      </w:r>
      <w:r>
        <w:rPr>
          <w:iCs/>
          <w:i/>
          <w:sz w:val="18"/>
        </w:rPr>
        <w:t xml:space="preserve">MemGPT: Towards LLMs as Operating Systems</w:t>
      </w:r>
      <w:r>
        <w:rPr>
          <w:sz w:val="18"/>
        </w:rPr>
        <w:t xml:space="preserve">. arXiv:2310.08560, 2023. https://arxiv.org/abs/2310.08560</w:t>
      </w:r>
    </w:p>
    <w:p>
      <w:pPr>
        <w:pStyle w:val="BodyText"/>
        <w:spacing w:after="60"/>
      </w:pPr>
      <w:r>
        <w:rPr>
          <w:sz w:val="18"/>
        </w:rPr>
        <w:t xml:space="preserve">[89] Yang, J., Jimenez, C. E., Wettig, A., Lieret, K., Yao, S., Narasimhan, K., Press, O.</w:t>
      </w:r>
      <w:r>
        <w:rPr>
          <w:sz w:val="18"/>
        </w:rPr>
        <w:t xml:space="preserve"> </w:t>
      </w:r>
      <w:r>
        <w:rPr>
          <w:iCs/>
          <w:i/>
          <w:sz w:val="18"/>
        </w:rPr>
        <w:t xml:space="preserve">SWE-agent: Agent-Computer Interfaces Enable Automated Software Engineering</w:t>
      </w:r>
      <w:r>
        <w:rPr>
          <w:sz w:val="18"/>
        </w:rPr>
        <w:t xml:space="preserve">. NeurIPS 2024; arXiv:2405.15793. https://arxiv.org/abs/2405.15793</w:t>
      </w:r>
    </w:p>
    <w:p>
      <w:pPr>
        <w:pStyle w:val="BodyText"/>
        <w:spacing w:after="60"/>
      </w:pPr>
      <w:r>
        <w:rPr>
          <w:sz w:val="18"/>
        </w:rPr>
        <w:t xml:space="preserve">[90] Aizawa, K. et al. </w:t>
      </w:r>
      <w:r>
        <w:rPr>
          <w:iCs/>
          <w:i/>
          <w:sz w:val="18"/>
        </w:rPr>
        <w:t xml:space="preserve">Writing effective tools for agents, with agents</w:t>
      </w:r>
      <w:r>
        <w:rPr>
          <w:sz w:val="18"/>
        </w:rPr>
        <w:t xml:space="preserve">. Anthropic Engineering, 11 September 2025. https://www.anthropic.com/engineering/writing-tools-for-agents</w:t>
      </w:r>
    </w:p>
    <w:p>
      <w:pPr>
        <w:pStyle w:val="BodyText"/>
        <w:spacing w:after="60"/>
      </w:pPr>
      <w:r>
        <w:rPr>
          <w:sz w:val="18"/>
        </w:rPr>
        <w:t xml:space="preserve">[91] Jimenez, C. E., Yang, J., Wettig, A., Yao, S., Pei, K., Press, O., Narasimhan, K.</w:t>
      </w:r>
      <w:r>
        <w:rPr>
          <w:sz w:val="18"/>
        </w:rPr>
        <w:t xml:space="preserve"> </w:t>
      </w:r>
      <w:r>
        <w:rPr>
          <w:iCs/>
          <w:i/>
          <w:sz w:val="18"/>
        </w:rPr>
        <w:t xml:space="preserve">SWE-bench: Can Language Models Resolve Real-World GitHub Issues?</w:t>
      </w:r>
      <w:r>
        <w:rPr>
          <w:sz w:val="18"/>
        </w:rPr>
        <w:t xml:space="preserve"> </w:t>
      </w:r>
      <w:r>
        <w:rPr>
          <w:sz w:val="18"/>
        </w:rPr>
        <w:t xml:space="preserve">ICLR 2024; arXiv:2310.06770. https://arxiv.org/abs/2310.06770</w:t>
      </w:r>
    </w:p>
    <w:p>
      <w:pPr>
        <w:pStyle w:val="BodyText"/>
        <w:spacing w:after="60"/>
      </w:pPr>
      <w:r>
        <w:rPr>
          <w:sz w:val="18"/>
        </w:rPr>
        <w:t xml:space="preserve">[92] Zhang, F., Chen, B., Zhang, Y. et al. </w:t>
      </w:r>
      <w:r>
        <w:rPr>
          <w:iCs/>
          <w:i/>
          <w:sz w:val="18"/>
        </w:rPr>
        <w:t xml:space="preserve">RepoCoder: Repository-Level Code Completion Through Iterative Retrieval and Generation</w:t>
      </w:r>
      <w:r>
        <w:rPr>
          <w:sz w:val="18"/>
        </w:rPr>
        <w:t xml:space="preserve">. EMNLP 2023; arXiv:2303.12570. https://arxiv.org/abs/2303.12570</w:t>
      </w:r>
    </w:p>
    <w:p>
      <w:pPr>
        <w:pStyle w:val="BodyText"/>
        <w:spacing w:after="60"/>
      </w:pPr>
      <w:r>
        <w:rPr>
          <w:sz w:val="18"/>
        </w:rPr>
        <w:t xml:space="preserve">[93] Liu, T., Xu, C., McAuley, J.</w:t>
      </w:r>
      <w:r>
        <w:rPr>
          <w:sz w:val="18"/>
        </w:rPr>
        <w:t xml:space="preserve"> </w:t>
      </w:r>
      <w:r>
        <w:rPr>
          <w:iCs/>
          <w:i/>
          <w:sz w:val="18"/>
        </w:rPr>
        <w:t xml:space="preserve">RepoBench: Benchmarking Repository-Level Code Auto-Completion Systems</w:t>
      </w:r>
      <w:r>
        <w:rPr>
          <w:sz w:val="18"/>
        </w:rPr>
        <w:t xml:space="preserve">. ICLR 2024; arXiv:2306.03091. https://arxiv.org/abs/2306.03091</w:t>
      </w:r>
    </w:p>
    <w:p>
      <w:pPr>
        <w:pStyle w:val="BodyText"/>
        <w:spacing w:after="60"/>
      </w:pPr>
      <w:r>
        <w:rPr>
          <w:sz w:val="18"/>
        </w:rPr>
        <w:t xml:space="preserve">[94] Wang, Z. Z., Asai, A., Yu, X. V., Xu, F. F., Xie, Y., Neubig, G., Fried, D.</w:t>
      </w:r>
      <w:r>
        <w:rPr>
          <w:sz w:val="18"/>
        </w:rPr>
        <w:t xml:space="preserve"> </w:t>
      </w:r>
      <w:r>
        <w:rPr>
          <w:iCs/>
          <w:i/>
          <w:sz w:val="18"/>
        </w:rPr>
        <w:t xml:space="preserve">CodeRAG-Bench: Can Retrieval Augment Code Generation?</w:t>
      </w:r>
      <w:r>
        <w:rPr>
          <w:sz w:val="18"/>
        </w:rPr>
        <w:t xml:space="preserve"> </w:t>
      </w:r>
      <w:r>
        <w:rPr>
          <w:sz w:val="18"/>
        </w:rPr>
        <w:t xml:space="preserve">arXiv:2406.14497, 2024. https://arxiv.org/abs/2406.14497</w:t>
      </w:r>
    </w:p>
    <w:p>
      <w:pPr>
        <w:pStyle w:val="BodyText"/>
        <w:spacing w:after="60"/>
      </w:pPr>
      <w:r>
        <w:rPr>
          <w:sz w:val="18"/>
        </w:rPr>
        <w:t xml:space="preserve">[95] GitHub.</w:t>
      </w:r>
      <w:r>
        <w:rPr>
          <w:sz w:val="18"/>
        </w:rPr>
        <w:t xml:space="preserve"> </w:t>
      </w:r>
      <w:r>
        <w:rPr>
          <w:iCs/>
          <w:i/>
          <w:sz w:val="18"/>
        </w:rPr>
        <w:t xml:space="preserve">GitHub Copilot: Meet the new coding agent</w:t>
      </w:r>
      <w:r>
        <w:rPr>
          <w:sz w:val="18"/>
        </w:rPr>
        <w:t xml:space="preserve">. 19 May 2025. https://github.blog/news-insights/product-news/github-copilot-meet-the-new-coding-agent/</w:t>
      </w:r>
    </w:p>
    <w:p>
      <w:pPr>
        <w:pStyle w:val="BodyText"/>
        <w:spacing w:after="60"/>
      </w:pPr>
      <w:r>
        <w:rPr>
          <w:sz w:val="18"/>
        </w:rPr>
        <w:t xml:space="preserve">[96] Cognition.</w:t>
      </w:r>
      <w:r>
        <w:rPr>
          <w:sz w:val="18"/>
        </w:rPr>
        <w:t xml:space="preserve"> </w:t>
      </w:r>
      <w:r>
        <w:rPr>
          <w:iCs/>
          <w:i/>
          <w:sz w:val="18"/>
        </w:rPr>
        <w:t xml:space="preserve">Devin 2.0</w:t>
      </w:r>
      <w:r>
        <w:rPr>
          <w:sz w:val="18"/>
        </w:rPr>
        <w:t xml:space="preserve"> </w:t>
      </w:r>
      <w:r>
        <w:rPr>
          <w:sz w:val="18"/>
        </w:rPr>
        <w:t xml:space="preserve">(3 April 2025);</w:t>
      </w:r>
      <w:r>
        <w:rPr>
          <w:sz w:val="18"/>
        </w:rPr>
        <w:t xml:space="preserve"> </w:t>
      </w:r>
      <w:r>
        <w:rPr>
          <w:iCs/>
          <w:i/>
          <w:sz w:val="18"/>
        </w:rPr>
        <w:t xml:space="preserve">Devin Knowledge</w:t>
      </w:r>
      <w:r>
        <w:rPr>
          <w:sz w:val="18"/>
        </w:rPr>
        <w:t xml:space="preserve"> </w:t>
      </w:r>
      <w:r>
        <w:rPr>
          <w:sz w:val="18"/>
        </w:rPr>
        <w:t xml:space="preserve">and</w:t>
      </w:r>
      <w:r>
        <w:rPr>
          <w:sz w:val="18"/>
        </w:rPr>
        <w:t xml:space="preserve"> </w:t>
      </w:r>
      <w:r>
        <w:rPr>
          <w:iCs/>
          <w:i/>
          <w:sz w:val="18"/>
        </w:rPr>
        <w:t xml:space="preserve">Creating Playbooks</w:t>
      </w:r>
      <w:r>
        <w:rPr>
          <w:sz w:val="18"/>
        </w:rPr>
        <w:t xml:space="preserve"> </w:t>
      </w:r>
      <w:r>
        <w:rPr>
          <w:sz w:val="18"/>
        </w:rPr>
        <w:t xml:space="preserve">documentation;</w:t>
      </w:r>
      <w:r>
        <w:rPr>
          <w:sz w:val="18"/>
        </w:rPr>
        <w:t xml:space="preserve"> </w:t>
      </w:r>
      <w:r>
        <w:rPr>
          <w:iCs/>
          <w:i/>
          <w:sz w:val="18"/>
        </w:rPr>
        <w:t xml:space="preserve">DeepWiki</w:t>
      </w:r>
      <w:r>
        <w:rPr>
          <w:sz w:val="18"/>
        </w:rPr>
        <w:t xml:space="preserve"> </w:t>
      </w:r>
      <w:r>
        <w:rPr>
          <w:sz w:val="18"/>
        </w:rPr>
        <w:t xml:space="preserve">(5 May 2025). https://cognition.com/blog/devin-2 ; https://docs.devin.ai/product-guides/knowledge ; https://cognition.com/blog/deepwiki</w:t>
      </w:r>
    </w:p>
    <w:p>
      <w:pPr>
        <w:pStyle w:val="BodyText"/>
        <w:spacing w:after="60"/>
      </w:pPr>
      <w:r>
        <w:rPr>
          <w:sz w:val="18"/>
        </w:rPr>
        <w:t xml:space="preserve">[97] Zhang, B., Lazuka, K., Murag, M.</w:t>
      </w:r>
      <w:r>
        <w:rPr>
          <w:sz w:val="18"/>
        </w:rPr>
        <w:t xml:space="preserve"> </w:t>
      </w:r>
      <w:r>
        <w:rPr>
          <w:iCs/>
          <w:i/>
          <w:sz w:val="18"/>
        </w:rPr>
        <w:t xml:space="preserve">Equipping agents for the real world with Agent Skills</w:t>
      </w:r>
      <w:r>
        <w:rPr>
          <w:sz w:val="18"/>
        </w:rPr>
        <w:t xml:space="preserve">. Anthropic Engineering, 16 October 2025. https://www.anthropic.com/engineering/equipping-agents-for-the-real-world-with-agent-skills ; Agent Skills open standard: https://agentskills.io/</w:t>
      </w:r>
    </w:p>
    <w:p>
      <w:pPr>
        <w:pStyle w:val="BodyText"/>
        <w:spacing w:after="60"/>
      </w:pPr>
      <w:r>
        <w:rPr>
          <w:sz w:val="18"/>
        </w:rPr>
        <w:t xml:space="preserve">[98] Anthropic.</w:t>
      </w:r>
      <w:r>
        <w:rPr>
          <w:sz w:val="18"/>
        </w:rPr>
        <w:t xml:space="preserve"> </w:t>
      </w:r>
      <w:r>
        <w:rPr>
          <w:iCs/>
          <w:i/>
          <w:sz w:val="18"/>
        </w:rPr>
        <w:t xml:space="preserve">Introducing the Model Context Protocol</w:t>
      </w:r>
      <w:r>
        <w:rPr>
          <w:sz w:val="18"/>
        </w:rPr>
        <w:t xml:space="preserve">. 25 November 2024; MCP specification 2026-07-28 and roadmap (August 2026), Model Context Protocol project. https://www.anthropic.com/news/model-context-protocol ; https://blog.modelcontextprotocol.io/posts/2026-07-28/ ; https://blog.modelcontextprotocol.io/posts/mcp-roadmap/</w:t>
      </w:r>
    </w:p>
    <w:p>
      <w:pPr>
        <w:pStyle w:val="BodyText"/>
        <w:spacing w:after="60"/>
      </w:pPr>
      <w:r>
        <w:rPr>
          <w:sz w:val="18"/>
        </w:rPr>
        <w:t xml:space="preserve">[99] Google.</w:t>
      </w:r>
      <w:r>
        <w:rPr>
          <w:sz w:val="18"/>
        </w:rPr>
        <w:t xml:space="preserve"> </w:t>
      </w:r>
      <w:r>
        <w:rPr>
          <w:iCs/>
          <w:i/>
          <w:sz w:val="18"/>
        </w:rPr>
        <w:t xml:space="preserve">Announcing the Agent2Agent Protocol (A2A)</w:t>
      </w:r>
      <w:r>
        <w:rPr>
          <w:sz w:val="18"/>
        </w:rPr>
        <w:t xml:space="preserve">. Google Developers Blog, 9 April 2025. https://developers.googleblog.com/en/a2a-a-new-era-of-agent-interoperability/</w:t>
      </w:r>
    </w:p>
    <w:p>
      <w:pPr>
        <w:pStyle w:val="BodyText"/>
        <w:spacing w:after="60"/>
      </w:pPr>
      <w:r>
        <w:rPr>
          <w:sz w:val="18"/>
        </w:rPr>
        <w:t xml:space="preserve">[100] Howard, J.</w:t>
      </w:r>
      <w:r>
        <w:rPr>
          <w:sz w:val="18"/>
        </w:rPr>
        <w:t xml:space="preserve"> </w:t>
      </w:r>
      <w:r>
        <w:rPr>
          <w:iCs/>
          <w:i/>
          <w:sz w:val="18"/>
        </w:rPr>
        <w:t xml:space="preserve">The /llms.txt file</w:t>
      </w:r>
      <w:r>
        <w:rPr>
          <w:sz w:val="18"/>
        </w:rPr>
        <w:t xml:space="preserve">. Answer.AI proposal, 3 September 2024. https://llmstxt.org/</w:t>
      </w:r>
    </w:p>
    <w:p>
      <w:pPr>
        <w:pStyle w:val="BodyText"/>
        <w:spacing w:after="60"/>
      </w:pPr>
      <w:r>
        <w:rPr>
          <w:sz w:val="18"/>
        </w:rPr>
        <w:t xml:space="preserve">[101] Glean,</w:t>
      </w:r>
      <w:r>
        <w:rPr>
          <w:sz w:val="18"/>
        </w:rPr>
        <w:t xml:space="preserve"> </w:t>
      </w:r>
      <w:r>
        <w:rPr>
          <w:iCs/>
          <w:i/>
          <w:sz w:val="18"/>
        </w:rPr>
        <w:t xml:space="preserve">Enterprise Knowledge Graph</w:t>
      </w:r>
      <w:r>
        <w:rPr>
          <w:sz w:val="18"/>
        </w:rPr>
        <w:t xml:space="preserve">, https://www.glean.com/product/knowledge-graph ; Microsoft Learn,</w:t>
      </w:r>
      <w:r>
        <w:rPr>
          <w:sz w:val="18"/>
        </w:rPr>
        <w:t xml:space="preserve"> </w:t>
      </w:r>
      <w:r>
        <w:rPr>
          <w:iCs/>
          <w:i/>
          <w:sz w:val="18"/>
        </w:rPr>
        <w:t xml:space="preserve">Microsoft 365 Copilot connectors overview</w:t>
      </w:r>
      <w:r>
        <w:rPr>
          <w:sz w:val="18"/>
        </w:rPr>
        <w:t xml:space="preserve">, https://learn.microsoft.com/en-us/microsoftsearch/connectors-overview ; Palantir,</w:t>
      </w:r>
      <w:r>
        <w:rPr>
          <w:sz w:val="18"/>
        </w:rPr>
        <w:t xml:space="preserve"> </w:t>
      </w:r>
      <w:r>
        <w:rPr>
          <w:iCs/>
          <w:i/>
          <w:sz w:val="18"/>
        </w:rPr>
        <w:t xml:space="preserve">Ontology overview</w:t>
      </w:r>
      <w:r>
        <w:rPr>
          <w:sz w:val="18"/>
        </w:rPr>
        <w:t xml:space="preserve">, https://www.palantir.com/docs/foundry/ontology/overview ; Atlassian,</w:t>
      </w:r>
      <w:r>
        <w:rPr>
          <w:sz w:val="18"/>
        </w:rPr>
        <w:t xml:space="preserve"> </w:t>
      </w:r>
      <w:r>
        <w:rPr>
          <w:iCs/>
          <w:i/>
          <w:sz w:val="18"/>
        </w:rPr>
        <w:t xml:space="preserve">Team ’26: Rovo and the Teamwork Graph</w:t>
      </w:r>
      <w:r>
        <w:rPr>
          <w:sz w:val="18"/>
        </w:rPr>
        <w:t xml:space="preserve">, 6 May 2026, https://www.atlassian.com/blog/company-news/rovo-team-26</w:t>
      </w:r>
    </w:p>
    <w:p>
      <w:pPr>
        <w:pStyle w:val="BodyText"/>
        <w:spacing w:after="60"/>
      </w:pPr>
      <w:r>
        <w:rPr>
          <w:sz w:val="18"/>
        </w:rPr>
        <w:t xml:space="preserve">[102] Ma, C., Chen, Y., Wu, T., Khan, A., Wang, H.</w:t>
      </w:r>
      <w:r>
        <w:rPr>
          <w:sz w:val="18"/>
        </w:rPr>
        <w:t xml:space="preserve"> </w:t>
      </w:r>
      <w:r>
        <w:rPr>
          <w:iCs/>
          <w:i/>
          <w:sz w:val="18"/>
        </w:rPr>
        <w:t xml:space="preserve">Large Language Models Meet Knowledge Graphs for Question Answering: Synthesis and Opportunities</w:t>
      </w:r>
      <w:r>
        <w:rPr>
          <w:sz w:val="18"/>
        </w:rPr>
        <w:t xml:space="preserve">. EMNLP 2025; arXiv:2505.20099. https://arxiv.org/abs/2505.20099</w:t>
      </w:r>
    </w:p>
    <w:p>
      <w:pPr>
        <w:pStyle w:val="BodyText"/>
        <w:spacing w:after="60"/>
      </w:pPr>
      <w:r>
        <w:rPr>
          <w:sz w:val="18"/>
        </w:rPr>
        <w:t xml:space="preserve">[103] Edge, D., Trinh, H., Cheng, N. et al. </w:t>
      </w:r>
      <w:r>
        <w:rPr>
          <w:iCs/>
          <w:i/>
          <w:sz w:val="18"/>
        </w:rPr>
        <w:t xml:space="preserve">From Local to Global: A Graph RAG Approach to Query-Focused Summarization</w:t>
      </w:r>
      <w:r>
        <w:rPr>
          <w:sz w:val="18"/>
        </w:rPr>
        <w:t xml:space="preserve">. arXiv:2404.16130, Microsoft Research, 2024. https://arxiv.org/abs/2404.16130</w:t>
      </w:r>
    </w:p>
    <w:p>
      <w:pPr>
        <w:pStyle w:val="BodyText"/>
        <w:spacing w:after="60"/>
      </w:pPr>
      <w:r>
        <w:rPr>
          <w:sz w:val="18"/>
        </w:rPr>
        <w:t xml:space="preserve">[104] Lewis, P., Perez, E., Piktus, A. et al. </w:t>
      </w:r>
      <w:r>
        <w:rPr>
          <w:iCs/>
          <w:i/>
          <w:sz w:val="18"/>
        </w:rPr>
        <w:t xml:space="preserve">Retrieval-Augmented Generation for Knowledge-Intensive NLP Tasks</w:t>
      </w:r>
      <w:r>
        <w:rPr>
          <w:sz w:val="18"/>
        </w:rPr>
        <w:t xml:space="preserve">. NeurIPS 2020; arXiv:2005.11401. https://arxiv.org/abs/2005.11401</w:t>
      </w:r>
    </w:p>
    <w:p>
      <w:pPr>
        <w:pStyle w:val="BodyText"/>
        <w:spacing w:after="60"/>
      </w:pPr>
      <w:r>
        <w:rPr>
          <w:sz w:val="18"/>
        </w:rPr>
        <w:t xml:space="preserve">[105] dbt Labs.</w:t>
      </w:r>
      <w:r>
        <w:rPr>
          <w:sz w:val="18"/>
        </w:rPr>
        <w:t xml:space="preserve"> </w:t>
      </w:r>
      <w:r>
        <w:rPr>
          <w:iCs/>
          <w:i/>
          <w:sz w:val="18"/>
        </w:rPr>
        <w:t xml:space="preserve">About MetricFlow</w:t>
      </w:r>
      <w:r>
        <w:rPr>
          <w:sz w:val="18"/>
        </w:rPr>
        <w:t xml:space="preserve"> </w:t>
      </w:r>
      <w:r>
        <w:rPr>
          <w:sz w:val="18"/>
        </w:rPr>
        <w:t xml:space="preserve">(semantic layer documentation). Accessed September 2026. https://docs.getdbt.com/docs/build/about-metricflow</w:t>
      </w:r>
    </w:p>
    <w:p>
      <w:pPr>
        <w:pStyle w:val="BodyText"/>
        <w:spacing w:after="60"/>
      </w:pPr>
      <w:r>
        <w:rPr>
          <w:sz w:val="18"/>
        </w:rPr>
        <w:t xml:space="preserve">[106] Perry, N., Srivastava, M., Kumar, D., Boneh, D.</w:t>
      </w:r>
      <w:r>
        <w:rPr>
          <w:sz w:val="18"/>
        </w:rPr>
        <w:t xml:space="preserve"> </w:t>
      </w:r>
      <w:r>
        <w:rPr>
          <w:iCs/>
          <w:i/>
          <w:sz w:val="18"/>
        </w:rPr>
        <w:t xml:space="preserve">Do Users Write More Insecure Code with AI Assistants?</w:t>
      </w:r>
      <w:r>
        <w:rPr>
          <w:sz w:val="18"/>
        </w:rPr>
        <w:t xml:space="preserve"> </w:t>
      </w:r>
      <w:r>
        <w:rPr>
          <w:sz w:val="18"/>
        </w:rPr>
        <w:t xml:space="preserve">ACM CCS 2023; arXiv:2211.03622. https://arxiv.org/abs/2211.03622</w:t>
      </w:r>
    </w:p>
    <w:p>
      <w:pPr>
        <w:pStyle w:val="BodyText"/>
        <w:spacing w:after="60"/>
      </w:pPr>
      <w:r>
        <w:rPr>
          <w:sz w:val="18"/>
        </w:rPr>
        <w:t xml:space="preserve">[107] Invariant Labs.</w:t>
      </w:r>
      <w:r>
        <w:rPr>
          <w:sz w:val="18"/>
        </w:rPr>
        <w:t xml:space="preserve"> </w:t>
      </w:r>
      <w:r>
        <w:rPr>
          <w:iCs/>
          <w:i/>
          <w:sz w:val="18"/>
        </w:rPr>
        <w:t xml:space="preserve">MCP Security Notification: Tool Poisoning Attacks</w:t>
      </w:r>
      <w:r>
        <w:rPr>
          <w:sz w:val="18"/>
        </w:rPr>
        <w:t xml:space="preserve">. 1 April 2025. https://invariantlabs.ai/blog/mcp-security-notification-tool-poisoning-attacks</w:t>
      </w:r>
    </w:p>
    <w:p>
      <w:pPr>
        <w:pStyle w:val="BodyText"/>
        <w:spacing w:after="60"/>
      </w:pPr>
      <w:r>
        <w:rPr>
          <w:sz w:val="18"/>
        </w:rPr>
        <w:t xml:space="preserve">[108] OWASP GenAI Security Project.</w:t>
      </w:r>
      <w:r>
        <w:rPr>
          <w:sz w:val="18"/>
        </w:rPr>
        <w:t xml:space="preserve"> </w:t>
      </w:r>
      <w:r>
        <w:rPr>
          <w:iCs/>
          <w:i/>
          <w:sz w:val="18"/>
        </w:rPr>
        <w:t xml:space="preserve">OWASP Top 10 for Agentic Applications for 2026</w:t>
      </w:r>
      <w:r>
        <w:rPr>
          <w:sz w:val="18"/>
        </w:rPr>
        <w:t xml:space="preserve"> </w:t>
      </w:r>
      <w:r>
        <w:rPr>
          <w:sz w:val="18"/>
        </w:rPr>
        <w:t xml:space="preserve">(9 December 2025);</w:t>
      </w:r>
      <w:r>
        <w:rPr>
          <w:sz w:val="18"/>
        </w:rPr>
        <w:t xml:space="preserve"> </w:t>
      </w:r>
      <w:r>
        <w:rPr>
          <w:iCs/>
          <w:i/>
          <w:sz w:val="18"/>
        </w:rPr>
        <w:t xml:space="preserve">Agent Control Standard</w:t>
      </w:r>
      <w:r>
        <w:rPr>
          <w:sz w:val="18"/>
        </w:rPr>
        <w:t xml:space="preserve"> </w:t>
      </w:r>
      <w:r>
        <w:rPr>
          <w:sz w:val="18"/>
        </w:rPr>
        <w:t xml:space="preserve">(1 September 2026). https://genai.owasp.org/resource/owasp-top-10-for-agentic-applications-for-2026/ ; https://genai.owasp.org/resource/agent-control-standard-acs/</w:t>
      </w:r>
    </w:p>
    <w:p>
      <w:pPr>
        <w:pStyle w:val="BodyText"/>
        <w:spacing w:after="60"/>
      </w:pPr>
      <w:r>
        <w:rPr>
          <w:sz w:val="18"/>
        </w:rPr>
        <w:t xml:space="preserve">[109] Swaminathan, N., Singh, D.</w:t>
      </w:r>
      <w:r>
        <w:rPr>
          <w:sz w:val="18"/>
        </w:rPr>
        <w:t xml:space="preserve"> </w:t>
      </w:r>
      <w:r>
        <w:rPr>
          <w:iCs/>
          <w:i/>
          <w:sz w:val="18"/>
        </w:rPr>
        <w:t xml:space="preserve">Introducing Kiro</w:t>
      </w:r>
      <w:r>
        <w:rPr>
          <w:sz w:val="18"/>
        </w:rPr>
        <w:t xml:space="preserve"> </w:t>
      </w:r>
      <w:r>
        <w:rPr>
          <w:sz w:val="18"/>
        </w:rPr>
        <w:t xml:space="preserve">(spec-driven development, hooks). AWS, 14 July 2025. https://kiro.dev/blog/introducing-kiro/</w:t>
      </w:r>
    </w:p>
    <w:p>
      <w:pPr>
        <w:pStyle w:val="BodyText"/>
        <w:spacing w:after="60"/>
      </w:pPr>
      <w:r>
        <w:rPr>
          <w:sz w:val="18"/>
        </w:rPr>
        <w:t xml:space="preserve">[110] Hassan, A. E., Li, H., Lin, D., Adams, B., Chen, T.-H., Kashiwa, Y., Qiu, D.</w:t>
      </w:r>
      <w:r>
        <w:rPr>
          <w:sz w:val="18"/>
        </w:rPr>
        <w:t xml:space="preserve"> </w:t>
      </w:r>
      <w:r>
        <w:rPr>
          <w:iCs/>
          <w:i/>
          <w:sz w:val="18"/>
        </w:rPr>
        <w:t xml:space="preserve">Agentic Software Engineering: Foundational Pillars and a Research Roadmap</w:t>
      </w:r>
      <w:r>
        <w:rPr>
          <w:sz w:val="18"/>
        </w:rPr>
        <w:t xml:space="preserve">. arXiv:2509.06216, September 2025 (v3 June 2026). https://arxiv.org/abs/2509.06216</w:t>
      </w:r>
    </w:p>
    <w:p>
      <w:pPr>
        <w:pStyle w:val="BodyText"/>
        <w:spacing w:after="60"/>
      </w:pPr>
      <w:r>
        <w:rPr>
          <w:sz w:val="18"/>
        </w:rPr>
        <w:t xml:space="preserve">[111] Zhang, L. et al. </w:t>
      </w:r>
      <w:r>
        <w:rPr>
          <w:iCs/>
          <w:i/>
          <w:sz w:val="18"/>
        </w:rPr>
        <w:t xml:space="preserve">SWE-bench Goes Live!</w:t>
      </w:r>
      <w:r>
        <w:rPr>
          <w:sz w:val="18"/>
        </w:rPr>
        <w:t xml:space="preserve"> </w:t>
      </w:r>
      <w:r>
        <w:rPr>
          <w:sz w:val="18"/>
        </w:rPr>
        <w:t xml:space="preserve">Microsoft, arXiv:2505.23419, May 2025. https://arxiv.org/abs/2505.23419</w:t>
      </w:r>
    </w:p>
    <w:p>
      <w:pPr>
        <w:pStyle w:val="BodyText"/>
        <w:spacing w:after="60"/>
      </w:pPr>
      <w:r>
        <w:rPr>
          <w:sz w:val="18"/>
        </w:rPr>
        <w:t xml:space="preserve">[112] Merrill, M. A., Shaw, A. G., Carlini, N., Li, B. et al. </w:t>
      </w:r>
      <w:r>
        <w:rPr>
          <w:iCs/>
          <w:i/>
          <w:sz w:val="18"/>
        </w:rPr>
        <w:t xml:space="preserve">Terminal-Bench: Benchmarking Agents on Hard, Realistic Tasks in Command Line Interfaces</w:t>
      </w:r>
      <w:r>
        <w:rPr>
          <w:sz w:val="18"/>
        </w:rPr>
        <w:t xml:space="preserve">. arXiv:2601.11868, January 2026. https://arxiv.org/abs/2601.11868</w:t>
      </w:r>
    </w:p>
    <w:p>
      <w:pPr>
        <w:pStyle w:val="BodyText"/>
        <w:spacing w:after="60"/>
      </w:pPr>
      <w:r>
        <w:rPr>
          <w:sz w:val="18"/>
        </w:rPr>
        <w:t xml:space="preserve">[113] OpenAI.</w:t>
      </w:r>
      <w:r>
        <w:rPr>
          <w:sz w:val="18"/>
        </w:rPr>
        <w:t xml:space="preserve"> </w:t>
      </w:r>
      <w:r>
        <w:rPr>
          <w:iCs/>
          <w:i/>
          <w:sz w:val="18"/>
        </w:rPr>
        <w:t xml:space="preserve">Introducing Codex</w:t>
      </w:r>
      <w:r>
        <w:rPr>
          <w:sz w:val="18"/>
        </w:rPr>
        <w:t xml:space="preserve"> </w:t>
      </w:r>
      <w:r>
        <w:rPr>
          <w:sz w:val="18"/>
        </w:rPr>
        <w:t xml:space="preserve">(16 May 2025);</w:t>
      </w:r>
      <w:r>
        <w:rPr>
          <w:sz w:val="18"/>
        </w:rPr>
        <w:t xml:space="preserve"> </w:t>
      </w:r>
      <w:r>
        <w:rPr>
          <w:iCs/>
          <w:i/>
          <w:sz w:val="18"/>
        </w:rPr>
        <w:t xml:space="preserve">Codex cloud environments</w:t>
      </w:r>
      <w:r>
        <w:rPr>
          <w:sz w:val="18"/>
        </w:rPr>
        <w:t xml:space="preserve"> </w:t>
      </w:r>
      <w:r>
        <w:rPr>
          <w:sz w:val="18"/>
        </w:rPr>
        <w:t xml:space="preserve">documentation;</w:t>
      </w:r>
      <w:r>
        <w:rPr>
          <w:sz w:val="18"/>
        </w:rPr>
        <w:t xml:space="preserve"> </w:t>
      </w:r>
      <w:r>
        <w:rPr>
          <w:iCs/>
          <w:i/>
          <w:sz w:val="18"/>
        </w:rPr>
        <w:t xml:space="preserve">Introducing the Agents API</w:t>
      </w:r>
      <w:r>
        <w:rPr>
          <w:sz w:val="18"/>
        </w:rPr>
        <w:t xml:space="preserve"> </w:t>
      </w:r>
      <w:r>
        <w:rPr>
          <w:sz w:val="18"/>
        </w:rPr>
        <w:t xml:space="preserve">(10 September 2026). https://openai.com/index/introducing-codex/ ; https://openai.com/index/introducing-the-agents-api/</w:t>
      </w:r>
    </w:p>
    <w:p>
      <w:pPr>
        <w:pStyle w:val="BodyText"/>
        <w:spacing w:after="60"/>
      </w:pPr>
      <w:r>
        <w:rPr>
          <w:sz w:val="18"/>
        </w:rPr>
        <w:t xml:space="preserve">[114] Anthropic.</w:t>
      </w:r>
      <w:r>
        <w:rPr>
          <w:sz w:val="18"/>
        </w:rPr>
        <w:t xml:space="preserve"> </w:t>
      </w:r>
      <w:r>
        <w:rPr>
          <w:iCs/>
          <w:i/>
          <w:sz w:val="18"/>
        </w:rPr>
        <w:t xml:space="preserve">Claude Code sandboxing</w:t>
      </w:r>
      <w:r>
        <w:rPr>
          <w:sz w:val="18"/>
        </w:rPr>
        <w:t xml:space="preserve"> </w:t>
      </w:r>
      <w:r>
        <w:rPr>
          <w:sz w:val="18"/>
        </w:rPr>
        <w:t xml:space="preserve">(20 October 2025) and Hughes, J. et al.,</w:t>
      </w:r>
      <w:r>
        <w:rPr>
          <w:sz w:val="18"/>
        </w:rPr>
        <w:t xml:space="preserve"> </w:t>
      </w:r>
      <w:r>
        <w:rPr>
          <w:iCs/>
          <w:i/>
          <w:sz w:val="18"/>
        </w:rPr>
        <w:t xml:space="preserve">Claude Code auto mode</w:t>
      </w:r>
      <w:r>
        <w:rPr>
          <w:sz w:val="18"/>
        </w:rPr>
        <w:t xml:space="preserve"> </w:t>
      </w:r>
      <w:r>
        <w:rPr>
          <w:sz w:val="18"/>
        </w:rPr>
        <w:t xml:space="preserve">(25 March 2026). https://www.anthropic.com/engineering/claude-code-sandboxing ; https://www.anthropic.com/engineering/claude-code-auto-mode</w:t>
      </w:r>
    </w:p>
    <w:p>
      <w:pPr>
        <w:pStyle w:val="BodyText"/>
        <w:spacing w:after="60"/>
      </w:pPr>
      <w:r>
        <w:rPr>
          <w:sz w:val="18"/>
        </w:rPr>
        <w:t xml:space="preserve">[115] Google Labs.</w:t>
      </w:r>
      <w:r>
        <w:rPr>
          <w:sz w:val="18"/>
        </w:rPr>
        <w:t xml:space="preserve"> </w:t>
      </w:r>
      <w:r>
        <w:rPr>
          <w:iCs/>
          <w:i/>
          <w:sz w:val="18"/>
        </w:rPr>
        <w:t xml:space="preserve">Jules: an asynchronous coding agent</w:t>
      </w:r>
      <w:r>
        <w:rPr>
          <w:sz w:val="18"/>
        </w:rPr>
        <w:t xml:space="preserve">. Public beta, 20 May 2025. https://blog.google/technology/google-labs/jules/</w:t>
      </w:r>
    </w:p>
    <w:p>
      <w:pPr>
        <w:pStyle w:val="BodyText"/>
        <w:spacing w:after="60"/>
      </w:pPr>
      <w:r>
        <w:rPr>
          <w:sz w:val="18"/>
        </w:rPr>
        <w:t xml:space="preserve">[116] Wang, X., Li, B., Song, Y. et al. </w:t>
      </w:r>
      <w:r>
        <w:rPr>
          <w:iCs/>
          <w:i/>
          <w:sz w:val="18"/>
        </w:rPr>
        <w:t xml:space="preserve">OpenHands: An Open Platform for AI Software Developers as Generalist Agents</w:t>
      </w:r>
      <w:r>
        <w:rPr>
          <w:sz w:val="18"/>
        </w:rPr>
        <w:t xml:space="preserve">. ICLR 2025; arXiv:2407.16741. https://arxiv.org/abs/2407.16741</w:t>
      </w:r>
    </w:p>
    <w:p>
      <w:pPr>
        <w:pStyle w:val="BodyText"/>
        <w:spacing w:after="60"/>
      </w:pPr>
      <w:r>
        <w:rPr>
          <w:sz w:val="18"/>
        </w:rPr>
        <w:t xml:space="preserve">[117] Development Containers specification, https://containers.dev/ ; Bazel documentation,</w:t>
      </w:r>
      <w:r>
        <w:rPr>
          <w:sz w:val="18"/>
        </w:rPr>
        <w:t xml:space="preserve"> </w:t>
      </w:r>
      <w:r>
        <w:rPr>
          <w:iCs/>
          <w:i/>
          <w:sz w:val="18"/>
        </w:rPr>
        <w:t xml:space="preserve">Hermeticity</w:t>
      </w:r>
      <w:r>
        <w:rPr>
          <w:sz w:val="18"/>
        </w:rPr>
        <w:t xml:space="preserve">, https://bazel.build/basics/hermeticity (accessed September 2026).</w:t>
      </w:r>
    </w:p>
    <w:p>
      <w:pPr>
        <w:pStyle w:val="BodyText"/>
        <w:spacing w:after="60"/>
      </w:pPr>
      <w:r>
        <w:rPr>
          <w:sz w:val="18"/>
        </w:rPr>
        <w:t xml:space="preserve">[118] Pan, J., Wang, X., Neubig, G., Jaitly, N., Ji, H., Suhr, A., Zhang, Y.</w:t>
      </w:r>
      <w:r>
        <w:rPr>
          <w:sz w:val="18"/>
        </w:rPr>
        <w:t xml:space="preserve"> </w:t>
      </w:r>
      <w:r>
        <w:rPr>
          <w:iCs/>
          <w:i/>
          <w:sz w:val="18"/>
        </w:rPr>
        <w:t xml:space="preserve">Training Software Engineering Agents and Verifiers with SWE-Gym</w:t>
      </w:r>
      <w:r>
        <w:rPr>
          <w:sz w:val="18"/>
        </w:rPr>
        <w:t xml:space="preserve">. ICML 2025; arXiv:2412.21139. Yang, J. et al. </w:t>
      </w:r>
      <w:r>
        <w:rPr>
          <w:iCs/>
          <w:i/>
          <w:sz w:val="18"/>
        </w:rPr>
        <w:t xml:space="preserve">SWE-smith</w:t>
      </w:r>
      <w:r>
        <w:rPr>
          <w:sz w:val="18"/>
        </w:rPr>
        <w:t xml:space="preserve">. arXiv:2504.21798, 2025. https://arxiv.org/abs/2412.21139</w:t>
      </w:r>
    </w:p>
    <w:p>
      <w:pPr>
        <w:pStyle w:val="BodyText"/>
        <w:spacing w:after="60"/>
      </w:pPr>
      <w:r>
        <w:rPr>
          <w:sz w:val="18"/>
        </w:rPr>
        <w:t xml:space="preserve">[119] Covey-Brandt, C.</w:t>
      </w:r>
      <w:r>
        <w:rPr>
          <w:sz w:val="18"/>
        </w:rPr>
        <w:t xml:space="preserve"> </w:t>
      </w:r>
      <w:r>
        <w:rPr>
          <w:iCs/>
          <w:i/>
          <w:sz w:val="18"/>
        </w:rPr>
        <w:t xml:space="preserve">Accelerating Large-Scale Test Migration with LLMs</w:t>
      </w:r>
      <w:r>
        <w:rPr>
          <w:sz w:val="18"/>
        </w:rPr>
        <w:t xml:space="preserve">. Airbnb Engineering, 13 March 2025. https://medium.com/airbnb-engineering/accelerating-large-scale-test-migration-with-llms-9565c208023b</w:t>
      </w:r>
    </w:p>
    <w:p>
      <w:pPr>
        <w:pStyle w:val="BodyText"/>
        <w:spacing w:after="60"/>
      </w:pPr>
      <w:r>
        <w:rPr>
          <w:sz w:val="18"/>
        </w:rPr>
        <w:t xml:space="preserve">[120] Grace, M., Hadfield, J., Olivares, R., De Jonghe, J.</w:t>
      </w:r>
      <w:r>
        <w:rPr>
          <w:sz w:val="18"/>
        </w:rPr>
        <w:t xml:space="preserve"> </w:t>
      </w:r>
      <w:r>
        <w:rPr>
          <w:iCs/>
          <w:i/>
          <w:sz w:val="18"/>
        </w:rPr>
        <w:t xml:space="preserve">Demystifying evals for AI agents</w:t>
      </w:r>
      <w:r>
        <w:rPr>
          <w:sz w:val="18"/>
        </w:rPr>
        <w:t xml:space="preserve">. Anthropic Engineering, 9 January 2026. https://www.anthropic.com/engineering/demystifying-evals-for-ai-agents</w:t>
      </w:r>
    </w:p>
    <w:p>
      <w:pPr>
        <w:pStyle w:val="BodyText"/>
        <w:spacing w:after="60"/>
      </w:pPr>
      <w:r>
        <w:rPr>
          <w:sz w:val="18"/>
        </w:rPr>
        <w:t xml:space="preserve">[121] Yao, S., Shinn, N., Razavi, P., Narasimhan, K.</w:t>
      </w:r>
      <w:r>
        <w:rPr>
          <w:sz w:val="18"/>
        </w:rPr>
        <w:t xml:space="preserve"> </w:t>
      </w:r>
      <w:r>
        <w:rPr>
          <w:iCs/>
          <w:i/>
          <w:sz w:val="18"/>
        </w:rPr>
        <w:t xml:space="preserve">τ-bench: A Benchmark for Tool-Agent-User Interaction in Real-World Domains</w:t>
      </w:r>
      <w:r>
        <w:rPr>
          <w:sz w:val="18"/>
        </w:rPr>
        <w:t xml:space="preserve">. arXiv:2406.12045, 2024; Barres, V. et al. </w:t>
      </w:r>
      <w:r>
        <w:rPr>
          <w:iCs/>
          <w:i/>
          <w:sz w:val="18"/>
        </w:rPr>
        <w:t xml:space="preserve">τ²-bench</w:t>
      </w:r>
      <w:r>
        <w:rPr>
          <w:sz w:val="18"/>
        </w:rPr>
        <w:t xml:space="preserve">. arXiv:2506.07982, 2025. https://arxiv.org/abs/2406.12045</w:t>
      </w:r>
    </w:p>
    <w:p>
      <w:pPr>
        <w:pStyle w:val="BodyText"/>
        <w:spacing w:after="60"/>
      </w:pPr>
      <w:r>
        <w:rPr>
          <w:sz w:val="18"/>
        </w:rPr>
        <w:t xml:space="preserve">[122] Zheng, L., Chiang, W.-L., Sheng, Y. et al. </w:t>
      </w:r>
      <w:r>
        <w:rPr>
          <w:iCs/>
          <w:i/>
          <w:sz w:val="18"/>
        </w:rPr>
        <w:t xml:space="preserve">Judging LLM-as-a-Judge with MT-Bench and Chatbot Arena</w:t>
      </w:r>
      <w:r>
        <w:rPr>
          <w:sz w:val="18"/>
        </w:rPr>
        <w:t xml:space="preserve">. NeurIPS 2023 Datasets and Benchmarks; arXiv:2306.05685. https://arxiv.org/abs/2306.05685</w:t>
      </w:r>
    </w:p>
    <w:p>
      <w:pPr>
        <w:pStyle w:val="BodyText"/>
        <w:spacing w:after="60"/>
      </w:pPr>
      <w:r>
        <w:rPr>
          <w:sz w:val="18"/>
        </w:rPr>
        <w:t xml:space="preserve">[123] Martin, L., Cemaj, G., Cohen, M.</w:t>
      </w:r>
      <w:r>
        <w:rPr>
          <w:sz w:val="18"/>
        </w:rPr>
        <w:t xml:space="preserve"> </w:t>
      </w:r>
      <w:r>
        <w:rPr>
          <w:iCs/>
          <w:i/>
          <w:sz w:val="18"/>
        </w:rPr>
        <w:t xml:space="preserve">Scaling Managed Agents: Decoupling the brain from the hands</w:t>
      </w:r>
      <w:r>
        <w:rPr>
          <w:sz w:val="18"/>
        </w:rPr>
        <w:t xml:space="preserve">. Anthropic Engineering, 8 April 2026. https://www.anthropic.com/engineering/managed-agents</w:t>
      </w:r>
    </w:p>
    <w:p>
      <w:pPr>
        <w:pStyle w:val="BodyText"/>
        <w:spacing w:after="60"/>
      </w:pPr>
      <w:r>
        <w:rPr>
          <w:sz w:val="18"/>
        </w:rPr>
        <w:t xml:space="preserve">[124] Zhang, Q., Hu, C. et al. </w:t>
      </w:r>
      <w:r>
        <w:rPr>
          <w:iCs/>
          <w:i/>
          <w:sz w:val="18"/>
        </w:rPr>
        <w:t xml:space="preserve">Agentic Context Engineering: Evolving Contexts for Self-Improving Language Models</w:t>
      </w:r>
      <w:r>
        <w:rPr>
          <w:sz w:val="18"/>
        </w:rPr>
        <w:t xml:space="preserve">. arXiv:2510.04618, October 2025 (v3 March 2026). https://arxiv.org/abs/2510.04618</w:t>
      </w:r>
    </w:p>
    <w:p>
      <w:pPr>
        <w:pStyle w:val="BodyText"/>
        <w:spacing w:after="60"/>
      </w:pPr>
      <w:r>
        <w:rPr>
          <w:sz w:val="18"/>
        </w:rPr>
        <w:t xml:space="preserve">[125] Yan, W.</w:t>
      </w:r>
      <w:r>
        <w:rPr>
          <w:sz w:val="18"/>
        </w:rPr>
        <w:t xml:space="preserve"> </w:t>
      </w:r>
      <w:r>
        <w:rPr>
          <w:iCs/>
          <w:i/>
          <w:sz w:val="18"/>
        </w:rPr>
        <w:t xml:space="preserve">Don’t Build Multi-Agents</w:t>
      </w:r>
      <w:r>
        <w:rPr>
          <w:sz w:val="18"/>
        </w:rPr>
        <w:t xml:space="preserve">. Cognition, 12 June 2025. https://cognition.com/blog/dont-build-multi-agents</w:t>
      </w:r>
    </w:p>
    <w:p>
      <w:pPr>
        <w:pStyle w:val="BodyText"/>
        <w:spacing w:after="60"/>
      </w:pPr>
      <w:r>
        <w:rPr>
          <w:sz w:val="18"/>
        </w:rPr>
        <w:t xml:space="preserve">[126] IMDA and AI Verify Foundation.</w:t>
      </w:r>
      <w:r>
        <w:rPr>
          <w:sz w:val="18"/>
        </w:rPr>
        <w:t xml:space="preserve"> </w:t>
      </w:r>
      <w:r>
        <w:rPr>
          <w:iCs/>
          <w:i/>
          <w:sz w:val="18"/>
        </w:rPr>
        <w:t xml:space="preserve">Model AI Governance Framework for Agentic AI</w:t>
      </w:r>
      <w:r>
        <w:rPr>
          <w:sz w:val="18"/>
        </w:rPr>
        <w:t xml:space="preserve"> </w:t>
      </w:r>
      <w:r>
        <w:rPr>
          <w:sz w:val="18"/>
        </w:rPr>
        <w:t xml:space="preserve">(v1.0). 22 January 2026. https://www.imda.gov.sg/-/media/imda/files/about/emerging-tech-and-research/artificial-intelligence/mgf-for-agentic-ai.pdf</w:t>
      </w:r>
    </w:p>
    <w:p>
      <w:pPr>
        <w:pStyle w:val="BodyText"/>
        <w:spacing w:after="60"/>
      </w:pPr>
      <w:r>
        <w:rPr>
          <w:sz w:val="18"/>
        </w:rPr>
        <w:t xml:space="preserve">[127] NIST Center for AI Standards and Innovation.</w:t>
      </w:r>
      <w:r>
        <w:rPr>
          <w:sz w:val="18"/>
        </w:rPr>
        <w:t xml:space="preserve"> </w:t>
      </w:r>
      <w:r>
        <w:rPr>
          <w:iCs/>
          <w:i/>
          <w:sz w:val="18"/>
        </w:rPr>
        <w:t xml:space="preserve">AI Agent Standards Initiative</w:t>
      </w:r>
      <w:r>
        <w:rPr>
          <w:sz w:val="18"/>
        </w:rPr>
        <w:t xml:space="preserve"> </w:t>
      </w:r>
      <w:r>
        <w:rPr>
          <w:sz w:val="18"/>
        </w:rPr>
        <w:t xml:space="preserve">(announced 17 February 2026; RFI on AI agent security; NCCoE agent identity and authorization concept paper). https://www.nist.gov/artificial-intelligence/ai-agent-standards-initiative</w:t>
      </w:r>
    </w:p>
    <w:p>
      <w:pPr>
        <w:pStyle w:val="BodyText"/>
        <w:spacing w:after="60"/>
      </w:pPr>
      <w:r>
        <w:rPr>
          <w:sz w:val="18"/>
        </w:rPr>
        <w:t xml:space="preserve">[128] Schut, D., Salama, K., Toner, F., Fusinska, B., Fontama, V., Lakshmanan, L.</w:t>
      </w:r>
      <w:r>
        <w:rPr>
          <w:sz w:val="18"/>
        </w:rPr>
        <w:t xml:space="preserve"> </w:t>
      </w:r>
      <w:r>
        <w:rPr>
          <w:iCs/>
          <w:i/>
          <w:sz w:val="18"/>
        </w:rPr>
        <w:t xml:space="preserve">AI Adoption Framework</w:t>
      </w:r>
      <w:r>
        <w:rPr>
          <w:sz w:val="18"/>
        </w:rPr>
        <w:t xml:space="preserve">. Google Cloud whitepaper, June 2020. https://services.google.com/fh/files/misc/ai_adoption_framework_whitepaper.pdf</w:t>
      </w:r>
    </w:p>
    <w:p>
      <w:pPr>
        <w:pStyle w:val="BodyText"/>
        <w:spacing w:after="60"/>
      </w:pPr>
      <w:r>
        <w:rPr>
          <w:sz w:val="18"/>
        </w:rPr>
        <w:t xml:space="preserve">[129] Amazon Web Services.</w:t>
      </w:r>
      <w:r>
        <w:rPr>
          <w:sz w:val="18"/>
        </w:rPr>
        <w:t xml:space="preserve"> </w:t>
      </w:r>
      <w:r>
        <w:rPr>
          <w:iCs/>
          <w:i/>
          <w:sz w:val="18"/>
        </w:rPr>
        <w:t xml:space="preserve">AWS Cloud Adoption Framework for Artificial Intelligence, Machine Learning, and Generative AI (CAF-AI)</w:t>
      </w:r>
      <w:r>
        <w:rPr>
          <w:sz w:val="18"/>
        </w:rPr>
        <w:t xml:space="preserve">. Whitepaper, updated February 2024. https://docs.aws.amazon.com/whitepapers/latest/aws-caf-for-ai/aws-caf-for-ai.html</w:t>
      </w:r>
    </w:p>
    <w:p>
      <w:pPr>
        <w:pStyle w:val="BodyText"/>
        <w:spacing w:after="60"/>
      </w:pPr>
      <w:r>
        <w:rPr>
          <w:sz w:val="18"/>
        </w:rPr>
        <w:t xml:space="preserve">[130] Microsoft Learn.</w:t>
      </w:r>
      <w:r>
        <w:rPr>
          <w:sz w:val="18"/>
        </w:rPr>
        <w:t xml:space="preserve"> </w:t>
      </w:r>
      <w:r>
        <w:rPr>
          <w:iCs/>
          <w:i/>
          <w:sz w:val="18"/>
        </w:rPr>
        <w:t xml:space="preserve">Cloud Adoption Framework for Azure: AI adoption, Plan for AI adoption (skills and data readiness levels)</w:t>
      </w:r>
      <w:r>
        <w:rPr>
          <w:sz w:val="18"/>
        </w:rPr>
        <w:t xml:space="preserve">. Updated 10 April 2026. https://learn.microsoft.com/en-us/azure/cloud-adoption-framework/ai/plan</w:t>
      </w:r>
    </w:p>
    <w:p>
      <w:pPr>
        <w:pStyle w:val="BodyText"/>
        <w:spacing w:after="60"/>
      </w:pPr>
      <w:r>
        <w:rPr>
          <w:sz w:val="18"/>
        </w:rPr>
        <w:t xml:space="preserve">[131] Microsoft Learn.</w:t>
      </w:r>
      <w:r>
        <w:rPr>
          <w:sz w:val="18"/>
        </w:rPr>
        <w:t xml:space="preserve"> </w:t>
      </w:r>
      <w:r>
        <w:rPr>
          <w:iCs/>
          <w:i/>
          <w:sz w:val="18"/>
        </w:rPr>
        <w:t xml:space="preserve">Agentic AI adoption maturity model</w:t>
      </w:r>
      <w:r>
        <w:rPr>
          <w:sz w:val="18"/>
        </w:rPr>
        <w:t xml:space="preserve"> </w:t>
      </w:r>
      <w:r>
        <w:rPr>
          <w:sz w:val="18"/>
        </w:rPr>
        <w:t xml:space="preserve">(Levels 100-500; five pillars). Updated 20 May 2026. https://learn.microsoft.com/en-us/agents/adoption-maturity-model/</w:t>
      </w:r>
    </w:p>
    <w:p>
      <w:pPr>
        <w:pStyle w:val="BodyText"/>
        <w:spacing w:after="60"/>
      </w:pPr>
      <w:r>
        <w:rPr>
          <w:sz w:val="18"/>
        </w:rPr>
        <w:t xml:space="preserve">[132] Salesforce.</w:t>
      </w:r>
      <w:r>
        <w:rPr>
          <w:sz w:val="18"/>
        </w:rPr>
        <w:t xml:space="preserve"> </w:t>
      </w:r>
      <w:r>
        <w:rPr>
          <w:iCs/>
          <w:i/>
          <w:sz w:val="18"/>
        </w:rPr>
        <w:t xml:space="preserve">The Agentic Maturity Model: A 4-Step Roadmap for CIOs</w:t>
      </w:r>
      <w:r>
        <w:rPr>
          <w:sz w:val="18"/>
        </w:rPr>
        <w:t xml:space="preserve">. 10 April 2025. https://www.salesforce.com/news/stories/agentic-maturity-model/</w:t>
      </w:r>
    </w:p>
    <w:p>
      <w:pPr>
        <w:pStyle w:val="BodyText"/>
        <w:spacing w:after="60"/>
      </w:pPr>
      <w:r>
        <w:rPr>
          <w:sz w:val="18"/>
        </w:rPr>
        <w:t xml:space="preserve">[133] MITRE.</w:t>
      </w:r>
      <w:r>
        <w:rPr>
          <w:sz w:val="18"/>
        </w:rPr>
        <w:t xml:space="preserve"> </w:t>
      </w:r>
      <w:r>
        <w:rPr>
          <w:iCs/>
          <w:i/>
          <w:sz w:val="18"/>
        </w:rPr>
        <w:t xml:space="preserve">MITRE AI Maturity Model and Organizational Assessment Tool Guide</w:t>
      </w:r>
      <w:r>
        <w:rPr>
          <w:sz w:val="18"/>
        </w:rPr>
        <w:t xml:space="preserve">. 3 November 2023. https://www.mitre.org/news-insights/publication/mitre-ai-maturity-model-and-organizational-assessment-tool-guide</w:t>
      </w:r>
    </w:p>
    <w:p>
      <w:pPr>
        <w:pStyle w:val="BodyText"/>
        <w:spacing w:after="60"/>
      </w:pPr>
      <w:r>
        <w:rPr>
          <w:sz w:val="18"/>
        </w:rPr>
        <w:t xml:space="preserve">[134] Vorvoreanu, M., Heger, A., Passi, S., Dhanorkar, S., Kahn, Z., Wang, R.</w:t>
      </w:r>
      <w:r>
        <w:rPr>
          <w:sz w:val="18"/>
        </w:rPr>
        <w:t xml:space="preserve"> </w:t>
      </w:r>
      <w:r>
        <w:rPr>
          <w:iCs/>
          <w:i/>
          <w:sz w:val="18"/>
        </w:rPr>
        <w:t xml:space="preserve">Responsible AI Maturity Model</w:t>
      </w:r>
      <w:r>
        <w:rPr>
          <w:sz w:val="18"/>
        </w:rPr>
        <w:t xml:space="preserve">. Microsoft Research, May 2023. https://www.microsoft.com/en-us/research/publication/responsible-ai-maturity-model/</w:t>
      </w:r>
    </w:p>
    <w:p>
      <w:pPr>
        <w:pStyle w:val="BodyText"/>
        <w:spacing w:after="60"/>
      </w:pPr>
      <w:r>
        <w:rPr>
          <w:sz w:val="18"/>
        </w:rPr>
        <w:t xml:space="preserve">[135] Microsoft WorkLab.</w:t>
      </w:r>
      <w:r>
        <w:rPr>
          <w:sz w:val="18"/>
        </w:rPr>
        <w:t xml:space="preserve"> </w:t>
      </w:r>
      <w:r>
        <w:rPr>
          <w:iCs/>
          <w:i/>
          <w:sz w:val="18"/>
        </w:rPr>
        <w:t xml:space="preserve">2025 Work Trend Index Annual Report: The Frontier Firm is born</w:t>
      </w:r>
      <w:r>
        <w:rPr>
          <w:sz w:val="18"/>
        </w:rPr>
        <w:t xml:space="preserve">. 23 April 2025. https://www.microsoft.com/en-us/worklab/work-trend-index/2025-the-year-the-frontier-firm-is-born</w:t>
      </w:r>
    </w:p>
    <w:p>
      <w:pPr>
        <w:pStyle w:val="BodyText"/>
        <w:spacing w:after="60"/>
      </w:pPr>
      <w:r>
        <w:rPr>
          <w:sz w:val="18"/>
        </w:rPr>
        <w:t xml:space="preserve">[136] OpenAI.</w:t>
      </w:r>
      <w:r>
        <w:rPr>
          <w:sz w:val="18"/>
        </w:rPr>
        <w:t xml:space="preserve"> </w:t>
      </w:r>
      <w:r>
        <w:rPr>
          <w:iCs/>
          <w:i/>
          <w:sz w:val="18"/>
        </w:rPr>
        <w:t xml:space="preserve">AI in the Enterprise: Lessons from seven frontier companies</w:t>
      </w:r>
      <w:r>
        <w:rPr>
          <w:sz w:val="18"/>
        </w:rPr>
        <w:t xml:space="preserve">. April 2025. https://cdn.openai.com/business-guides-and-resources/ai-in-the-enterprise.pdf</w:t>
      </w:r>
    </w:p>
    <w:p>
      <w:pPr>
        <w:pStyle w:val="BodyText"/>
        <w:spacing w:after="60"/>
      </w:pPr>
      <w:r>
        <w:rPr>
          <w:sz w:val="18"/>
        </w:rPr>
        <w:t xml:space="preserve">[137] Dakan, R., Feller, J.</w:t>
      </w:r>
      <w:r>
        <w:rPr>
          <w:sz w:val="18"/>
        </w:rPr>
        <w:t xml:space="preserve"> </w:t>
      </w:r>
      <w:r>
        <w:rPr>
          <w:iCs/>
          <w:i/>
          <w:sz w:val="18"/>
        </w:rPr>
        <w:t xml:space="preserve">The AI Fluency Framework (Delegation, Description, Discernment, Diligence)</w:t>
      </w:r>
      <w:r>
        <w:rPr>
          <w:sz w:val="18"/>
        </w:rPr>
        <w:t xml:space="preserve">; Anthropic Academy course</w:t>
      </w:r>
      <w:r>
        <w:rPr>
          <w:sz w:val="18"/>
        </w:rPr>
        <w:t xml:space="preserve"> </w:t>
      </w:r>
      <w:r>
        <w:rPr>
          <w:iCs/>
          <w:i/>
          <w:sz w:val="18"/>
        </w:rPr>
        <w:t xml:space="preserve">AI Fluency: Framework and Foundations</w:t>
      </w:r>
      <w:r>
        <w:rPr>
          <w:sz w:val="18"/>
        </w:rPr>
        <w:t xml:space="preserve">. https://academy.claude.com/courses/ai-fluency-framework-foundations</w:t>
      </w:r>
    </w:p>
    <w:p>
      <w:pPr>
        <w:pStyle w:val="BodyText"/>
        <w:spacing w:after="60"/>
      </w:pPr>
      <w:r>
        <w:rPr>
          <w:sz w:val="18"/>
        </w:rPr>
        <w:t xml:space="preserve">[138] DORA / Google Cloud.</w:t>
      </w:r>
      <w:r>
        <w:rPr>
          <w:sz w:val="18"/>
        </w:rPr>
        <w:t xml:space="preserve"> </w:t>
      </w:r>
      <w:r>
        <w:rPr>
          <w:iCs/>
          <w:i/>
          <w:sz w:val="18"/>
        </w:rPr>
        <w:t xml:space="preserve">The ROI of AI-Assisted Software Development</w:t>
      </w:r>
      <w:r>
        <w:rPr>
          <w:sz w:val="18"/>
        </w:rPr>
        <w:t xml:space="preserve">. April-May 2026 (figures as summarised by InfoQ, 11 May 2026). https://dora.dev/ai/roi/report/ ; https://www.infoq.com/news/2026/05/dora-roi-ai-assisted-dev-report/</w:t>
      </w:r>
    </w:p>
    <w:p>
      <w:pPr>
        <w:pStyle w:val="BodyText"/>
        <w:spacing w:after="60"/>
      </w:pPr>
      <w:r>
        <w:rPr>
          <w:sz w:val="18"/>
        </w:rPr>
        <w:t xml:space="preserve">[139] DORA.</w:t>
      </w:r>
      <w:r>
        <w:rPr>
          <w:sz w:val="18"/>
        </w:rPr>
        <w:t xml:space="preserve"> </w:t>
      </w:r>
      <w:r>
        <w:rPr>
          <w:iCs/>
          <w:i/>
          <w:sz w:val="18"/>
        </w:rPr>
        <w:t xml:space="preserve">DORA’s software delivery metrics: the four keys</w:t>
      </w:r>
      <w:r>
        <w:rPr>
          <w:sz w:val="18"/>
        </w:rPr>
        <w:t xml:space="preserve"> </w:t>
      </w:r>
      <w:r>
        <w:rPr>
          <w:sz w:val="18"/>
        </w:rPr>
        <w:t xml:space="preserve">(throughput and instability; five metrics). dora.dev, accessed September 2026. https://dora.dev/guides/dora-metrics-four-keys/</w:t>
      </w:r>
    </w:p>
    <w:p>
      <w:pPr>
        <w:pStyle w:val="BodyText"/>
        <w:spacing w:after="60"/>
      </w:pPr>
      <w:r>
        <w:rPr>
          <w:sz w:val="18"/>
        </w:rPr>
        <w:t xml:space="preserve">[140] Forsgren, N., Storey, M.-A., Maddila, C., Zimmermann, T., Houck, B., Butler, J.</w:t>
      </w:r>
      <w:r>
        <w:rPr>
          <w:sz w:val="18"/>
        </w:rPr>
        <w:t xml:space="preserve"> </w:t>
      </w:r>
      <w:r>
        <w:rPr>
          <w:iCs/>
          <w:i/>
          <w:sz w:val="18"/>
        </w:rPr>
        <w:t xml:space="preserve">The SPACE of Developer Productivity</w:t>
      </w:r>
      <w:r>
        <w:rPr>
          <w:sz w:val="18"/>
        </w:rPr>
        <w:t xml:space="preserve">. ACM Queue 19(1), March 2021. https://queue.acm.org/detail.cfm?id=3454124</w:t>
      </w:r>
    </w:p>
    <w:p>
      <w:pPr>
        <w:pStyle w:val="BodyText"/>
        <w:spacing w:after="60"/>
      </w:pPr>
      <w:r>
        <w:rPr>
          <w:sz w:val="18"/>
        </w:rPr>
        <w:t xml:space="preserve">[141] Noda, A., Tacho, L., Storey, M.-A., Greiler, M.</w:t>
      </w:r>
      <w:r>
        <w:rPr>
          <w:sz w:val="18"/>
        </w:rPr>
        <w:t xml:space="preserve"> </w:t>
      </w:r>
      <w:r>
        <w:rPr>
          <w:iCs/>
          <w:i/>
          <w:sz w:val="18"/>
        </w:rPr>
        <w:t xml:space="preserve">DX Core 4</w:t>
      </w:r>
      <w:r>
        <w:rPr>
          <w:sz w:val="18"/>
        </w:rPr>
        <w:t xml:space="preserve"> </w:t>
      </w:r>
      <w:r>
        <w:rPr>
          <w:sz w:val="18"/>
        </w:rPr>
        <w:t xml:space="preserve">(December 2024); Noda, A., Tacho, L.</w:t>
      </w:r>
      <w:r>
        <w:rPr>
          <w:sz w:val="18"/>
        </w:rPr>
        <w:t xml:space="preserve"> </w:t>
      </w:r>
      <w:r>
        <w:rPr>
          <w:iCs/>
          <w:i/>
          <w:sz w:val="18"/>
        </w:rPr>
        <w:t xml:space="preserve">The AI Measurement Framework</w:t>
      </w:r>
      <w:r>
        <w:rPr>
          <w:sz w:val="18"/>
        </w:rPr>
        <w:t xml:space="preserve"> </w:t>
      </w:r>
      <w:r>
        <w:rPr>
          <w:sz w:val="18"/>
        </w:rPr>
        <w:t xml:space="preserve">(2025). DX. https://getdx.com/research/measuring-developer-productivity-with-the-dx-core-4/ ; https://getdx.com/research/measuring-ai-code-assistants-and-agents/</w:t>
      </w:r>
    </w:p>
    <w:p>
      <w:pPr>
        <w:pStyle w:val="BodyText"/>
        <w:spacing w:after="60"/>
      </w:pPr>
      <w:r>
        <w:rPr>
          <w:sz w:val="18"/>
        </w:rPr>
        <w:t xml:space="preserve">[142] Gnanasambandam, C. et al. </w:t>
      </w:r>
      <w:r>
        <w:rPr>
          <w:iCs/>
          <w:i/>
          <w:sz w:val="18"/>
        </w:rPr>
        <w:t xml:space="preserve">Yes, you can measure software developer productivity</w:t>
      </w:r>
      <w:r>
        <w:rPr>
          <w:sz w:val="18"/>
        </w:rPr>
        <w:t xml:space="preserve">. McKinsey, 17 August 2023; Beck, K., Orosz, G.</w:t>
      </w:r>
      <w:r>
        <w:rPr>
          <w:sz w:val="18"/>
        </w:rPr>
        <w:t xml:space="preserve"> </w:t>
      </w:r>
      <w:r>
        <w:rPr>
          <w:iCs/>
          <w:i/>
          <w:sz w:val="18"/>
        </w:rPr>
        <w:t xml:space="preserve">Measuring developer productivity? A response to McKinsey</w:t>
      </w:r>
      <w:r>
        <w:rPr>
          <w:sz w:val="18"/>
        </w:rPr>
        <w:t xml:space="preserve">. The Pragmatic Engineer, 29 August 2023. https://www.mckinsey.com/industries/technology-media-and-telecommunications/our-insights/yes-you-can-measure-software-developer-productivity ; https://newsletter.pragmaticengineer.com/p/measuring-developer-productivity</w:t>
      </w:r>
    </w:p>
    <w:p>
      <w:pPr>
        <w:pStyle w:val="BodyText"/>
        <w:spacing w:after="60"/>
      </w:pPr>
      <w:r>
        <w:rPr>
          <w:sz w:val="18"/>
        </w:rPr>
        <w:t xml:space="preserve">[143] GitHub Docs.</w:t>
      </w:r>
      <w:r>
        <w:rPr>
          <w:sz w:val="18"/>
        </w:rPr>
        <w:t xml:space="preserve"> </w:t>
      </w:r>
      <w:r>
        <w:rPr>
          <w:iCs/>
          <w:i/>
          <w:sz w:val="18"/>
        </w:rPr>
        <w:t xml:space="preserve">REST API endpoints for Copilot metrics</w:t>
      </w:r>
      <w:r>
        <w:rPr>
          <w:sz w:val="18"/>
        </w:rPr>
        <w:t xml:space="preserve"> </w:t>
      </w:r>
      <w:r>
        <w:rPr>
          <w:sz w:val="18"/>
        </w:rPr>
        <w:t xml:space="preserve">(endpoints retired 2 April 2026; replaced by Copilot usage metrics). Accessed September 2026. https://docs.github.com/en/rest/copilot/copilot-metrics</w:t>
      </w:r>
    </w:p>
    <w:p>
      <w:pPr>
        <w:pStyle w:val="BodyText"/>
        <w:spacing w:after="60"/>
      </w:pPr>
      <w:r>
        <w:rPr>
          <w:sz w:val="18"/>
        </w:rPr>
        <w:t xml:space="preserve">[144] Anthropic.</w:t>
      </w:r>
      <w:r>
        <w:rPr>
          <w:sz w:val="18"/>
        </w:rPr>
        <w:t xml:space="preserve"> </w:t>
      </w:r>
      <w:r>
        <w:rPr>
          <w:iCs/>
          <w:i/>
          <w:sz w:val="18"/>
        </w:rPr>
        <w:t xml:space="preserve">Claude Code analytics</w:t>
      </w:r>
      <w:r>
        <w:rPr>
          <w:sz w:val="18"/>
        </w:rPr>
        <w:t xml:space="preserve"> </w:t>
      </w:r>
      <w:r>
        <w:rPr>
          <w:sz w:val="18"/>
        </w:rPr>
        <w:t xml:space="preserve">(usage, spend, contribution metrics, Analytics API). Documentation, accessed September 2026. https://code.claude.com/docs/en/analytics</w:t>
      </w:r>
    </w:p>
    <w:p>
      <w:pPr>
        <w:pStyle w:val="BodyText"/>
        <w:spacing w:after="60"/>
      </w:pPr>
      <w:r>
        <w:rPr>
          <w:sz w:val="18"/>
        </w:rPr>
        <w:t xml:space="preserve">[145] Ziegler, A., Kalliamvakou, E., Li, X. A., Rice, A., Rifkin, D., Simister, S., Sittampalam, G., Aftandilian, E.</w:t>
      </w:r>
      <w:r>
        <w:rPr>
          <w:sz w:val="18"/>
        </w:rPr>
        <w:t xml:space="preserve"> </w:t>
      </w:r>
      <w:r>
        <w:rPr>
          <w:iCs/>
          <w:i/>
          <w:sz w:val="18"/>
        </w:rPr>
        <w:t xml:space="preserve">Measuring GitHub Copilot’s Impact on Productivity</w:t>
      </w:r>
      <w:r>
        <w:rPr>
          <w:sz w:val="18"/>
        </w:rPr>
        <w:t xml:space="preserve">. Communications of the ACM 67(3), March 2024. https://dl.acm.org/doi/10.1145/3633453</w:t>
      </w:r>
    </w:p>
    <w:p>
      <w:pPr>
        <w:pStyle w:val="BodyText"/>
        <w:spacing w:after="60"/>
      </w:pPr>
      <w:r>
        <w:rPr>
          <w:sz w:val="18"/>
        </w:rPr>
        <w:t xml:space="preserve">[146] Google Cloud Architecture Center.</w:t>
      </w:r>
      <w:r>
        <w:rPr>
          <w:sz w:val="18"/>
        </w:rPr>
        <w:t xml:space="preserve"> </w:t>
      </w:r>
      <w:r>
        <w:rPr>
          <w:iCs/>
          <w:i/>
          <w:sz w:val="18"/>
        </w:rPr>
        <w:t xml:space="preserve">MLOps: Continuous delivery and automation pipelines in machine learning</w:t>
      </w:r>
      <w:r>
        <w:rPr>
          <w:sz w:val="18"/>
        </w:rPr>
        <w:t xml:space="preserve"> </w:t>
      </w:r>
      <w:r>
        <w:rPr>
          <w:sz w:val="18"/>
        </w:rPr>
        <w:t xml:space="preserve">(levels 0-2). Updated 28 August 2024. https://docs.cloud.google.com/architecture/mlops-continuous-delivery-and-automation-pipelines-in-machine-learning</w:t>
      </w:r>
    </w:p>
    <w:p>
      <w:pPr>
        <w:pStyle w:val="BodyText"/>
        <w:spacing w:after="60"/>
      </w:pPr>
      <w:r>
        <w:rPr>
          <w:sz w:val="18"/>
        </w:rPr>
        <w:t xml:space="preserve">[147] Microsoft Learn.</w:t>
      </w:r>
      <w:r>
        <w:rPr>
          <w:sz w:val="18"/>
        </w:rPr>
        <w:t xml:space="preserve"> </w:t>
      </w:r>
      <w:r>
        <w:rPr>
          <w:iCs/>
          <w:i/>
          <w:sz w:val="18"/>
        </w:rPr>
        <w:t xml:space="preserve">Machine Learning operations maturity model</w:t>
      </w:r>
      <w:r>
        <w:rPr>
          <w:sz w:val="18"/>
        </w:rPr>
        <w:t xml:space="preserve"> </w:t>
      </w:r>
      <w:r>
        <w:rPr>
          <w:sz w:val="18"/>
        </w:rPr>
        <w:t xml:space="preserve">(levels 0-4). Updated 3 June 2026. https://learn.microsoft.com/en-us/azure/architecture/ai-ml/guide/mlops-maturity-model</w:t>
      </w:r>
    </w:p>
    <w:p>
      <w:pPr>
        <w:pStyle w:val="BodyText"/>
        <w:spacing w:after="60"/>
      </w:pPr>
      <w:r>
        <w:rPr>
          <w:sz w:val="18"/>
        </w:rPr>
        <w:t xml:space="preserve">[148] Sculley, D., Holt, G., Golovin, D., Davydov, E., Phillips, T., Ebner, D., Chaudhary, V., Young, M., Crespo, J.-F., Dennison, D.</w:t>
      </w:r>
      <w:r>
        <w:rPr>
          <w:sz w:val="18"/>
        </w:rPr>
        <w:t xml:space="preserve"> </w:t>
      </w:r>
      <w:r>
        <w:rPr>
          <w:iCs/>
          <w:i/>
          <w:sz w:val="18"/>
        </w:rPr>
        <w:t xml:space="preserve">Hidden Technical Debt in Machine Learning Systems</w:t>
      </w:r>
      <w:r>
        <w:rPr>
          <w:sz w:val="18"/>
        </w:rPr>
        <w:t xml:space="preserve">. Advances in Neural Information Processing Systems 28 (NeurIPS 2015). https://papers.nips.cc/paper/5656-hidden-technical-debt-in-machine-learning-systems</w:t>
      </w:r>
    </w:p>
    <w:p>
      <w:pPr>
        <w:pStyle w:val="BodyText"/>
        <w:spacing w:after="60"/>
      </w:pPr>
      <w:r>
        <w:rPr>
          <w:sz w:val="18"/>
        </w:rPr>
        <w:t xml:space="preserve">[149] Paleyes, A., Urma, R.-G., Lawrence, N. D.</w:t>
      </w:r>
      <w:r>
        <w:rPr>
          <w:sz w:val="18"/>
        </w:rPr>
        <w:t xml:space="preserve"> </w:t>
      </w:r>
      <w:r>
        <w:rPr>
          <w:iCs/>
          <w:i/>
          <w:sz w:val="18"/>
        </w:rPr>
        <w:t xml:space="preserve">Challenges in Deploying Machine Learning: A Survey of Case Studies</w:t>
      </w:r>
      <w:r>
        <w:rPr>
          <w:sz w:val="18"/>
        </w:rPr>
        <w:t xml:space="preserve">. ACM Computing Surveys 55(6), Article 114, 2022. https://arxiv.org/abs/2011.09926</w:t>
      </w:r>
    </w:p>
    <w:p>
      <w:pPr>
        <w:pStyle w:val="BodyText"/>
        <w:spacing w:after="60"/>
      </w:pPr>
      <w:r>
        <w:rPr>
          <w:sz w:val="18"/>
        </w:rPr>
        <w:t xml:space="preserve">[150] ISO/IEC 42001:2023.</w:t>
      </w:r>
      <w:r>
        <w:rPr>
          <w:sz w:val="18"/>
        </w:rPr>
        <w:t xml:space="preserve"> </w:t>
      </w:r>
      <w:r>
        <w:rPr>
          <w:iCs/>
          <w:i/>
          <w:sz w:val="18"/>
        </w:rPr>
        <w:t xml:space="preserve">Information technology, Artificial intelligence, Management system</w:t>
      </w:r>
      <w:r>
        <w:rPr>
          <w:sz w:val="18"/>
        </w:rPr>
        <w:t xml:space="preserve">. International Organization for Standardization, December 2023. https://www.iso.org/standard/42001</w:t>
      </w:r>
    </w:p>
    <w:p>
      <w:pPr>
        <w:pStyle w:val="BodyText"/>
        <w:spacing w:after="60"/>
      </w:pPr>
      <w:r>
        <w:rPr>
          <w:sz w:val="18"/>
        </w:rPr>
        <w:t xml:space="preserve">[151] ISO/IEC 42005:2025.</w:t>
      </w:r>
      <w:r>
        <w:rPr>
          <w:sz w:val="18"/>
        </w:rPr>
        <w:t xml:space="preserve"> </w:t>
      </w:r>
      <w:r>
        <w:rPr>
          <w:iCs/>
          <w:i/>
          <w:sz w:val="18"/>
        </w:rPr>
        <w:t xml:space="preserve">AI system impact assessment</w:t>
      </w:r>
      <w:r>
        <w:rPr>
          <w:sz w:val="18"/>
        </w:rPr>
        <w:t xml:space="preserve">. May 2025; ISO/IEC 42006:2025,</w:t>
      </w:r>
      <w:r>
        <w:rPr>
          <w:sz w:val="18"/>
        </w:rPr>
        <w:t xml:space="preserve"> </w:t>
      </w:r>
      <w:r>
        <w:rPr>
          <w:iCs/>
          <w:i/>
          <w:sz w:val="18"/>
        </w:rPr>
        <w:t xml:space="preserve">Requirements for bodies providing audit and certification of AI management systems</w:t>
      </w:r>
      <w:r>
        <w:rPr>
          <w:sz w:val="18"/>
        </w:rPr>
        <w:t xml:space="preserve">, July 2025. https://www.iso.org/standard/44545.html ; https://www.iso.org/standard/42006</w:t>
      </w:r>
    </w:p>
    <w:p>
      <w:pPr>
        <w:pStyle w:val="BodyText"/>
        <w:spacing w:after="60"/>
      </w:pPr>
      <w:r>
        <w:rPr>
          <w:sz w:val="18"/>
        </w:rPr>
        <w:t xml:space="preserve">[152] ISO/IEC 23894:2023,</w:t>
      </w:r>
      <w:r>
        <w:rPr>
          <w:sz w:val="18"/>
        </w:rPr>
        <w:t xml:space="preserve"> </w:t>
      </w:r>
      <w:r>
        <w:rPr>
          <w:iCs/>
          <w:i/>
          <w:sz w:val="18"/>
        </w:rPr>
        <w:t xml:space="preserve">Guidance on AI risk management</w:t>
      </w:r>
      <w:r>
        <w:rPr>
          <w:sz w:val="18"/>
        </w:rPr>
        <w:t xml:space="preserve">; ISO/IEC 5338:2023,</w:t>
      </w:r>
      <w:r>
        <w:rPr>
          <w:sz w:val="18"/>
        </w:rPr>
        <w:t xml:space="preserve"> </w:t>
      </w:r>
      <w:r>
        <w:rPr>
          <w:iCs/>
          <w:i/>
          <w:sz w:val="18"/>
        </w:rPr>
        <w:t xml:space="preserve">AI system life cycle processes</w:t>
      </w:r>
      <w:r>
        <w:rPr>
          <w:sz w:val="18"/>
        </w:rPr>
        <w:t xml:space="preserve">; ISO/IEC 25059:2023,</w:t>
      </w:r>
      <w:r>
        <w:rPr>
          <w:sz w:val="18"/>
        </w:rPr>
        <w:t xml:space="preserve"> </w:t>
      </w:r>
      <w:r>
        <w:rPr>
          <w:iCs/>
          <w:i/>
          <w:sz w:val="18"/>
        </w:rPr>
        <w:t xml:space="preserve">Quality model for AI systems</w:t>
      </w:r>
      <w:r>
        <w:rPr>
          <w:sz w:val="18"/>
        </w:rPr>
        <w:t xml:space="preserve">. https://www.iso.org/standard/77304.html ; https://www.iso.org/standard/81118.html ; https://www.iso.org/standard/80655.html</w:t>
      </w:r>
    </w:p>
    <w:p>
      <w:pPr>
        <w:pStyle w:val="BodyText"/>
        <w:spacing w:after="60"/>
      </w:pPr>
      <w:r>
        <w:rPr>
          <w:sz w:val="18"/>
        </w:rPr>
        <w:t xml:space="preserve">[153] National Institute of Standards and Technology.</w:t>
      </w:r>
      <w:r>
        <w:rPr>
          <w:sz w:val="18"/>
        </w:rPr>
        <w:t xml:space="preserve"> </w:t>
      </w:r>
      <w:r>
        <w:rPr>
          <w:iCs/>
          <w:i/>
          <w:sz w:val="18"/>
        </w:rPr>
        <w:t xml:space="preserve">Artificial Intelligence Risk Management Framework (AI RMF 1.0)</w:t>
      </w:r>
      <w:r>
        <w:rPr>
          <w:sz w:val="18"/>
        </w:rPr>
        <w:t xml:space="preserve">, NIST AI 100-1. January 2023. https://nvlpubs.nist.gov/nistpubs/ai/NIST.AI.100-1.pdf</w:t>
      </w:r>
    </w:p>
    <w:p>
      <w:pPr>
        <w:pStyle w:val="BodyText"/>
        <w:spacing w:after="60"/>
      </w:pPr>
      <w:r>
        <w:rPr>
          <w:sz w:val="18"/>
        </w:rPr>
        <w:t xml:space="preserve">[154] NIST.</w:t>
      </w:r>
      <w:r>
        <w:rPr>
          <w:sz w:val="18"/>
        </w:rPr>
        <w:t xml:space="preserve"> </w:t>
      </w:r>
      <w:r>
        <w:rPr>
          <w:iCs/>
          <w:i/>
          <w:sz w:val="18"/>
        </w:rPr>
        <w:t xml:space="preserve">AI RMF Playbook</w:t>
      </w:r>
      <w:r>
        <w:rPr>
          <w:sz w:val="18"/>
        </w:rPr>
        <w:t xml:space="preserve">. Updated 18 June 2026. https://airc.nist.gov/airmf-resources/playbook/</w:t>
      </w:r>
    </w:p>
    <w:p>
      <w:pPr>
        <w:pStyle w:val="BodyText"/>
        <w:spacing w:after="60"/>
      </w:pPr>
      <w:r>
        <w:rPr>
          <w:sz w:val="18"/>
        </w:rPr>
        <w:t xml:space="preserve">[155] NIST.</w:t>
      </w:r>
      <w:r>
        <w:rPr>
          <w:sz w:val="18"/>
        </w:rPr>
        <w:t xml:space="preserve"> </w:t>
      </w:r>
      <w:r>
        <w:rPr>
          <w:iCs/>
          <w:i/>
          <w:sz w:val="18"/>
        </w:rPr>
        <w:t xml:space="preserve">Artificial Intelligence Risk Management Framework: Generative Artificial Intelligence Profile</w:t>
      </w:r>
      <w:r>
        <w:rPr>
          <w:sz w:val="18"/>
        </w:rPr>
        <w:t xml:space="preserve">, NIST AI 600-1. July 2024. https://nvlpubs.nist.gov/nistpubs/ai/NIST.AI.600-1.pdf</w:t>
      </w:r>
    </w:p>
    <w:p>
      <w:pPr>
        <w:pStyle w:val="BodyText"/>
        <w:spacing w:after="60"/>
      </w:pPr>
      <w:r>
        <w:rPr>
          <w:sz w:val="18"/>
        </w:rPr>
        <w:t xml:space="preserve">[156] NIST.</w:t>
      </w:r>
      <w:r>
        <w:rPr>
          <w:sz w:val="18"/>
        </w:rPr>
        <w:t xml:space="preserve"> </w:t>
      </w:r>
      <w:r>
        <w:rPr>
          <w:iCs/>
          <w:i/>
          <w:sz w:val="18"/>
        </w:rPr>
        <w:t xml:space="preserve">Secure Software Development Practices for Generative AI and Dual-Use Foundation Models: An SSDF Community Profile</w:t>
      </w:r>
      <w:r>
        <w:rPr>
          <w:sz w:val="18"/>
        </w:rPr>
        <w:t xml:space="preserve">, SP 800-218A. July 2024. https://csrc.nist.gov/pubs/sp/800/218/a/final</w:t>
      </w:r>
    </w:p>
    <w:p>
      <w:pPr>
        <w:pStyle w:val="BodyText"/>
        <w:spacing w:after="60"/>
      </w:pPr>
      <w:r>
        <w:rPr>
          <w:sz w:val="18"/>
        </w:rPr>
        <w:t xml:space="preserve">[157] State of Texas.</w:t>
      </w:r>
      <w:r>
        <w:rPr>
          <w:sz w:val="18"/>
        </w:rPr>
        <w:t xml:space="preserve"> </w:t>
      </w:r>
      <w:r>
        <w:rPr>
          <w:iCs/>
          <w:i/>
          <w:sz w:val="18"/>
        </w:rPr>
        <w:t xml:space="preserve">HB 149, Texas Responsible Artificial Intelligence Governance Act</w:t>
      </w:r>
      <w:r>
        <w:rPr>
          <w:sz w:val="18"/>
        </w:rPr>
        <w:t xml:space="preserve"> </w:t>
      </w:r>
      <w:r>
        <w:rPr>
          <w:sz w:val="18"/>
        </w:rPr>
        <w:t xml:space="preserve">(effective 1 January 2026; safe harbour for NIST AI 600-1 compliance), as summarised by DLA Piper, June 2025. https://www.dlapiper.com/en/insights/publications/2025/06/texas-adopts-the-responsible-ai-governance-act</w:t>
      </w:r>
    </w:p>
    <w:p>
      <w:pPr>
        <w:pStyle w:val="BodyText"/>
        <w:spacing w:after="60"/>
      </w:pPr>
      <w:r>
        <w:rPr>
          <w:sz w:val="18"/>
        </w:rPr>
        <w:t xml:space="preserve">[158] NIST.</w:t>
      </w:r>
      <w:r>
        <w:rPr>
          <w:sz w:val="18"/>
        </w:rPr>
        <w:t xml:space="preserve"> </w:t>
      </w:r>
      <w:r>
        <w:rPr>
          <w:iCs/>
          <w:i/>
          <w:sz w:val="18"/>
        </w:rPr>
        <w:t xml:space="preserve">Control Overlays for Securing AI Systems (COSAiS)</w:t>
      </w:r>
      <w:r>
        <w:rPr>
          <w:sz w:val="18"/>
        </w:rPr>
        <w:t xml:space="preserve">, SP 800-53 overlays project (single-agent and multi-agent use cases). Concept paper August 2025; drafts 2026. https://csrc.nist.gov/projects/cosais</w:t>
      </w:r>
    </w:p>
    <w:p>
      <w:pPr>
        <w:pStyle w:val="BodyText"/>
        <w:spacing w:after="60"/>
      </w:pPr>
      <w:r>
        <w:rPr>
          <w:sz w:val="18"/>
        </w:rPr>
        <w:t xml:space="preserve">[159] NIST.</w:t>
      </w:r>
      <w:r>
        <w:rPr>
          <w:sz w:val="18"/>
        </w:rPr>
        <w:t xml:space="preserve"> </w:t>
      </w:r>
      <w:r>
        <w:rPr>
          <w:iCs/>
          <w:i/>
          <w:sz w:val="18"/>
        </w:rPr>
        <w:t xml:space="preserve">Guidance and Templates for Public-Facing AI Documentation</w:t>
      </w:r>
      <w:r>
        <w:rPr>
          <w:sz w:val="18"/>
        </w:rPr>
        <w:t xml:space="preserve"> </w:t>
      </w:r>
      <w:r>
        <w:rPr>
          <w:sz w:val="18"/>
        </w:rPr>
        <w:t xml:space="preserve">(AI Standards Zero Draft), NIST AI 300-1 initial public draft. 30 July 2026. https://www.nist.gov/publications/guidance-and-templates-public-facing-ai-documentation-ai-standards-zero-draft-initial</w:t>
      </w:r>
    </w:p>
    <w:p>
      <w:pPr>
        <w:pStyle w:val="BodyText"/>
        <w:spacing w:after="60"/>
      </w:pPr>
      <w:r>
        <w:rPr>
          <w:sz w:val="18"/>
        </w:rPr>
        <w:t xml:space="preserve">[160] US Securities and Exchange Commission, Division of Examinations.</w:t>
      </w:r>
      <w:r>
        <w:rPr>
          <w:sz w:val="18"/>
        </w:rPr>
        <w:t xml:space="preserve"> </w:t>
      </w:r>
      <w:r>
        <w:rPr>
          <w:iCs/>
          <w:i/>
          <w:sz w:val="18"/>
        </w:rPr>
        <w:t xml:space="preserve">Fiscal Year 2026 Examination Priorities</w:t>
      </w:r>
      <w:r>
        <w:rPr>
          <w:sz w:val="18"/>
        </w:rPr>
        <w:t xml:space="preserve"> </w:t>
      </w:r>
      <w:r>
        <w:rPr>
          <w:sz w:val="18"/>
        </w:rPr>
        <w:t xml:space="preserve">(AI washing; governance of AI use), 17 November 2025, as summarised by Goodwin, December 2025, https://www.goodwinlaw.com/en/insights/publications/2025/12/alerts-privateequity-pif-2026-sec-exam-priorities-for-registered-investment-advisers ; SEC press release 2025-103,</w:t>
      </w:r>
      <w:r>
        <w:rPr>
          <w:sz w:val="18"/>
        </w:rPr>
        <w:t xml:space="preserve"> </w:t>
      </w:r>
      <w:r>
        <w:rPr>
          <w:iCs/>
          <w:i/>
          <w:sz w:val="18"/>
        </w:rPr>
        <w:t xml:space="preserve">SEC creates task force to tap artificial intelligence</w:t>
      </w:r>
      <w:r>
        <w:rPr>
          <w:sz w:val="18"/>
        </w:rPr>
        <w:t xml:space="preserve">, 1 August 2025, https://www.sec.gov/newsroom/press-releases/2025-103-sec-creates-task-force-tap-artificial-intelligence-enhanced-innovation-efficiency-across-agency</w:t>
      </w:r>
    </w:p>
    <w:p>
      <w:pPr>
        <w:pStyle w:val="BodyText"/>
        <w:spacing w:after="60"/>
      </w:pPr>
      <w:r>
        <w:rPr>
          <w:sz w:val="18"/>
        </w:rPr>
        <w:t xml:space="preserve">[161] US Department of the Treasury.</w:t>
      </w:r>
      <w:r>
        <w:rPr>
          <w:sz w:val="18"/>
        </w:rPr>
        <w:t xml:space="preserve"> </w:t>
      </w:r>
      <w:r>
        <w:rPr>
          <w:iCs/>
          <w:i/>
          <w:sz w:val="18"/>
        </w:rPr>
        <w:t xml:space="preserve">Artificial Intelligence in Financial Services: Report on the Uses, Opportunities, and Risks</w:t>
      </w:r>
      <w:r>
        <w:rPr>
          <w:sz w:val="18"/>
        </w:rPr>
        <w:t xml:space="preserve">. 19 December 2024. https://home.treasury.gov/news/press-releases/jy2760</w:t>
      </w:r>
    </w:p>
    <w:p>
      <w:pPr>
        <w:pStyle w:val="BodyText"/>
        <w:spacing w:after="60"/>
      </w:pPr>
      <w:r>
        <w:rPr>
          <w:sz w:val="18"/>
        </w:rPr>
        <w:t xml:space="preserve">[162] Regulation (EU) 2024/1689 of the European Parliament and of the Council (Artificial Intelligence Act). Official Journal, 12 July 2024. https://eur-lex.europa.eu/eli/reg/2024/1689/oj/eng</w:t>
      </w:r>
    </w:p>
    <w:p>
      <w:pPr>
        <w:pStyle w:val="BodyText"/>
        <w:spacing w:after="60"/>
      </w:pPr>
      <w:r>
        <w:rPr>
          <w:sz w:val="18"/>
        </w:rPr>
        <w:t xml:space="preserve">[163] European Commission, AI Office.</w:t>
      </w:r>
      <w:r>
        <w:rPr>
          <w:sz w:val="18"/>
        </w:rPr>
        <w:t xml:space="preserve"> </w:t>
      </w:r>
      <w:r>
        <w:rPr>
          <w:iCs/>
          <w:i/>
          <w:sz w:val="18"/>
        </w:rPr>
        <w:t xml:space="preserve">The General-Purpose AI Code of Practice</w:t>
      </w:r>
      <w:r>
        <w:rPr>
          <w:sz w:val="18"/>
        </w:rPr>
        <w:t xml:space="preserve">. 10 July 2025. https://digital-strategy.ec.europa.eu/en/policies/contents-code-gpai</w:t>
      </w:r>
    </w:p>
    <w:p>
      <w:pPr>
        <w:pStyle w:val="BodyText"/>
        <w:spacing w:after="60"/>
      </w:pPr>
      <w:r>
        <w:rPr>
          <w:sz w:val="18"/>
        </w:rPr>
        <w:t xml:space="preserve">[164] European Commission.</w:t>
      </w:r>
      <w:r>
        <w:rPr>
          <w:sz w:val="18"/>
        </w:rPr>
        <w:t xml:space="preserve"> </w:t>
      </w:r>
      <w:r>
        <w:rPr>
          <w:iCs/>
          <w:i/>
          <w:sz w:val="18"/>
        </w:rPr>
        <w:t xml:space="preserve">Draft guidelines on the classification of high-risk AI systems (Article 6)</w:t>
      </w:r>
      <w:r>
        <w:rPr>
          <w:sz w:val="18"/>
        </w:rPr>
        <w:t xml:space="preserve">. Consultation, 19 May 2026. https://digital-strategy.ec.europa.eu/en/news/commission-seeks-feedback-draft-guidelines-classification-high-risk-artificial-intelligence-systems</w:t>
      </w:r>
    </w:p>
    <w:p>
      <w:pPr>
        <w:pStyle w:val="BodyText"/>
        <w:spacing w:after="60"/>
      </w:pPr>
      <w:r>
        <w:rPr>
          <w:sz w:val="18"/>
        </w:rPr>
        <w:t xml:space="preserve">[165] Regulation (EU) 2022/2554 on digital operational resilience for the financial sector (DORA). Applicable 17 January 2025. https://eur-lex.europa.eu/eli/reg/2022/2554/oj/eng</w:t>
      </w:r>
    </w:p>
    <w:p>
      <w:pPr>
        <w:pStyle w:val="BodyText"/>
        <w:spacing w:after="60"/>
      </w:pPr>
      <w:r>
        <w:rPr>
          <w:sz w:val="18"/>
        </w:rPr>
        <w:t xml:space="preserve">[166] ESMA.</w:t>
      </w:r>
      <w:r>
        <w:rPr>
          <w:sz w:val="18"/>
        </w:rPr>
        <w:t xml:space="preserve"> </w:t>
      </w:r>
      <w:r>
        <w:rPr>
          <w:iCs/>
          <w:i/>
          <w:sz w:val="18"/>
        </w:rPr>
        <w:t xml:space="preserve">Public Statement on the use of AI in the provision of retail investment services</w:t>
      </w:r>
      <w:r>
        <w:rPr>
          <w:sz w:val="18"/>
        </w:rPr>
        <w:t xml:space="preserve">, 30 May 2024; EIOPA,</w:t>
      </w:r>
      <w:r>
        <w:rPr>
          <w:sz w:val="18"/>
        </w:rPr>
        <w:t xml:space="preserve"> </w:t>
      </w:r>
      <w:r>
        <w:rPr>
          <w:iCs/>
          <w:i/>
          <w:sz w:val="18"/>
        </w:rPr>
        <w:t xml:space="preserve">Opinion on Artificial Intelligence governance and risk management</w:t>
      </w:r>
      <w:r>
        <w:rPr>
          <w:sz w:val="18"/>
        </w:rPr>
        <w:t xml:space="preserve">, 6 August 2025. https://www.esma.europa.eu/press-news/esma-news/esma-provides-guidance-firms-using-artificial-intelligence-investment-services ; https://www.eiopa.europa.eu/eiopa-publishes-opinion-ai-governance-and-risk-management-2025-08-06_en</w:t>
      </w:r>
    </w:p>
    <w:p>
      <w:pPr>
        <w:pStyle w:val="BodyText"/>
        <w:spacing w:after="60"/>
      </w:pPr>
      <w:r>
        <w:rPr>
          <w:sz w:val="18"/>
        </w:rPr>
        <w:t xml:space="preserve">[167] ECB Banking Supervision.</w:t>
      </w:r>
      <w:r>
        <w:rPr>
          <w:sz w:val="18"/>
        </w:rPr>
        <w:t xml:space="preserve"> </w:t>
      </w:r>
      <w:r>
        <w:rPr>
          <w:iCs/>
          <w:i/>
          <w:sz w:val="18"/>
        </w:rPr>
        <w:t xml:space="preserve">SSM supervisory priorities 2026-28</w:t>
      </w:r>
      <w:r>
        <w:rPr>
          <w:sz w:val="18"/>
        </w:rPr>
        <w:t xml:space="preserve">. 18 November 2025. https://www.bankingsupervision.europa.eu/framework/priorities/html/ssm.supervisory_priorities202511.en.html</w:t>
      </w:r>
    </w:p>
    <w:p>
      <w:pPr>
        <w:pStyle w:val="BodyText"/>
        <w:spacing w:after="60"/>
      </w:pPr>
      <w:r>
        <w:rPr>
          <w:sz w:val="18"/>
        </w:rPr>
        <w:t xml:space="preserve">[168] Monetary Authority of Singapore.</w:t>
      </w:r>
      <w:r>
        <w:rPr>
          <w:sz w:val="18"/>
        </w:rPr>
        <w:t xml:space="preserve"> </w:t>
      </w:r>
      <w:r>
        <w:rPr>
          <w:iCs/>
          <w:i/>
          <w:sz w:val="18"/>
        </w:rPr>
        <w:t xml:space="preserve">Principles to Promote Fairness, Ethics, Accountability and Transparency (FEAT) in the Use of AI and Data Analytics in Singapore’s Financial Sector</w:t>
      </w:r>
      <w:r>
        <w:rPr>
          <w:sz w:val="18"/>
        </w:rPr>
        <w:t xml:space="preserve">. November 2018. https://www.mas.gov.sg/publications/monographs-or-information-paper/2018/feat</w:t>
      </w:r>
    </w:p>
    <w:p>
      <w:pPr>
        <w:pStyle w:val="BodyText"/>
        <w:spacing w:after="60"/>
      </w:pPr>
      <w:r>
        <w:rPr>
          <w:sz w:val="18"/>
        </w:rPr>
        <w:t xml:space="preserve">[169] Monetary Authority of Singapore.</w:t>
      </w:r>
      <w:r>
        <w:rPr>
          <w:sz w:val="18"/>
        </w:rPr>
        <w:t xml:space="preserve"> </w:t>
      </w:r>
      <w:r>
        <w:rPr>
          <w:iCs/>
          <w:i/>
          <w:sz w:val="18"/>
        </w:rPr>
        <w:t xml:space="preserve">Veritas Initiative</w:t>
      </w:r>
      <w:r>
        <w:rPr>
          <w:sz w:val="18"/>
        </w:rPr>
        <w:t xml:space="preserve"> </w:t>
      </w:r>
      <w:r>
        <w:rPr>
          <w:sz w:val="18"/>
        </w:rPr>
        <w:t xml:space="preserve">(FEAT assessment methodologies and toolkit). 2019-2023. https://www.mas.gov.sg/schemes-and-initiatives/veritas</w:t>
      </w:r>
    </w:p>
    <w:p>
      <w:pPr>
        <w:pStyle w:val="BodyText"/>
        <w:spacing w:after="60"/>
      </w:pPr>
      <w:r>
        <w:rPr>
          <w:sz w:val="18"/>
        </w:rPr>
        <w:t xml:space="preserve">[170] Monetary Authority of Singapore.</w:t>
      </w:r>
      <w:r>
        <w:rPr>
          <w:sz w:val="18"/>
        </w:rPr>
        <w:t xml:space="preserve"> </w:t>
      </w:r>
      <w:r>
        <w:rPr>
          <w:iCs/>
          <w:i/>
          <w:sz w:val="18"/>
        </w:rPr>
        <w:t xml:space="preserve">Artificial Intelligence Model Risk Management: Observations from a Thematic Review</w:t>
      </w:r>
      <w:r>
        <w:rPr>
          <w:sz w:val="18"/>
        </w:rPr>
        <w:t xml:space="preserve">. Information paper, 5 December 2024. https://www.mas.gov.sg/publications/monographs-or-information-paper/2024/artificial-intelligence-model-risk-management ; summary: https://www.clydeco.com/en/insights/2024/12/singapore-s-ai-model-risk-management-paper-key-ins</w:t>
      </w:r>
    </w:p>
    <w:p>
      <w:pPr>
        <w:pStyle w:val="BodyText"/>
        <w:spacing w:after="60"/>
      </w:pPr>
      <w:r>
        <w:rPr>
          <w:sz w:val="18"/>
        </w:rPr>
        <w:t xml:space="preserve">[171] MAS / Project MindForge consortium.</w:t>
      </w:r>
      <w:r>
        <w:rPr>
          <w:sz w:val="18"/>
        </w:rPr>
        <w:t xml:space="preserve"> </w:t>
      </w:r>
      <w:r>
        <w:rPr>
          <w:iCs/>
          <w:i/>
          <w:sz w:val="18"/>
        </w:rPr>
        <w:t xml:space="preserve">AI Risk Management Executive Handbook</w:t>
      </w:r>
      <w:r>
        <w:rPr>
          <w:sz w:val="18"/>
        </w:rPr>
        <w:t xml:space="preserve"> </w:t>
      </w:r>
      <w:r>
        <w:rPr>
          <w:sz w:val="18"/>
        </w:rPr>
        <w:t xml:space="preserve">(January 2026) and</w:t>
      </w:r>
      <w:r>
        <w:rPr>
          <w:sz w:val="18"/>
        </w:rPr>
        <w:t xml:space="preserve"> </w:t>
      </w:r>
      <w:r>
        <w:rPr>
          <w:iCs/>
          <w:i/>
          <w:sz w:val="18"/>
        </w:rPr>
        <w:t xml:space="preserve">Operationalisation Handbook</w:t>
      </w:r>
      <w:r>
        <w:rPr>
          <w:sz w:val="18"/>
        </w:rPr>
        <w:t xml:space="preserve"> </w:t>
      </w:r>
      <w:r>
        <w:rPr>
          <w:sz w:val="18"/>
        </w:rPr>
        <w:t xml:space="preserve">(20 March 2026). https://www.mas.gov.sg/-/media/mas-media-library/schemes-and-initiatives/ftig/project-mindforge/mindforge-ai-risk-management-operationalisation-handbook.pdf ; summary: https://financialregulation.linklaters.com/post/102m25l/singapore-mas-consortium-releases-comprehensive-ai-risk-management-handbook-for</w:t>
      </w:r>
    </w:p>
    <w:p>
      <w:pPr>
        <w:pStyle w:val="BodyText"/>
        <w:spacing w:after="60"/>
      </w:pPr>
      <w:r>
        <w:rPr>
          <w:sz w:val="18"/>
        </w:rPr>
        <w:t xml:space="preserve">[172] Personal Data Protection Commission / IMDA (Singapore).</w:t>
      </w:r>
      <w:r>
        <w:rPr>
          <w:sz w:val="18"/>
        </w:rPr>
        <w:t xml:space="preserve"> </w:t>
      </w:r>
      <w:r>
        <w:rPr>
          <w:iCs/>
          <w:i/>
          <w:sz w:val="18"/>
        </w:rPr>
        <w:t xml:space="preserve">Model Artificial Intelligence Governance Framework, Second Edition</w:t>
      </w:r>
      <w:r>
        <w:rPr>
          <w:sz w:val="18"/>
        </w:rPr>
        <w:t xml:space="preserve">. 21 January 2020. https://www.pdpc.gov.sg/help-and-resources/2020/01/model-ai-governance-framework</w:t>
      </w:r>
    </w:p>
    <w:p>
      <w:pPr>
        <w:pStyle w:val="BodyText"/>
        <w:spacing w:after="60"/>
      </w:pPr>
      <w:r>
        <w:rPr>
          <w:sz w:val="18"/>
        </w:rPr>
        <w:t xml:space="preserve">[173] IMDA and AI Verify Foundation.</w:t>
      </w:r>
      <w:r>
        <w:rPr>
          <w:sz w:val="18"/>
        </w:rPr>
        <w:t xml:space="preserve"> </w:t>
      </w:r>
      <w:r>
        <w:rPr>
          <w:iCs/>
          <w:i/>
          <w:sz w:val="18"/>
        </w:rPr>
        <w:t xml:space="preserve">Model AI Governance Framework for Generative AI</w:t>
      </w:r>
      <w:r>
        <w:rPr>
          <w:sz w:val="18"/>
        </w:rPr>
        <w:t xml:space="preserve">. 30 May 2024. https://aiverifyfoundation.sg/wp-content/uploads/2024/05/Model-AI-Governance-Framework-for-Generative-AI-May-2024-1-1.pdf</w:t>
      </w:r>
    </w:p>
    <w:p>
      <w:pPr>
        <w:pStyle w:val="BodyText"/>
        <w:spacing w:after="60"/>
      </w:pPr>
      <w:r>
        <w:rPr>
          <w:sz w:val="18"/>
        </w:rPr>
        <w:t xml:space="preserve">[174] AI Verify Foundation.</w:t>
      </w:r>
      <w:r>
        <w:rPr>
          <w:sz w:val="18"/>
        </w:rPr>
        <w:t xml:space="preserve"> </w:t>
      </w:r>
      <w:r>
        <w:rPr>
          <w:iCs/>
          <w:i/>
          <w:sz w:val="18"/>
        </w:rPr>
        <w:t xml:space="preserve">AI Verify testing framework</w:t>
      </w:r>
      <w:r>
        <w:rPr>
          <w:sz w:val="18"/>
        </w:rPr>
        <w:t xml:space="preserve">;</w:t>
      </w:r>
      <w:r>
        <w:rPr>
          <w:sz w:val="18"/>
        </w:rPr>
        <w:t xml:space="preserve"> </w:t>
      </w:r>
      <w:r>
        <w:rPr>
          <w:iCs/>
          <w:i/>
          <w:sz w:val="18"/>
        </w:rPr>
        <w:t xml:space="preserve">Project Moonshot</w:t>
      </w:r>
      <w:r>
        <w:rPr>
          <w:sz w:val="18"/>
        </w:rPr>
        <w:t xml:space="preserve">;</w:t>
      </w:r>
      <w:r>
        <w:rPr>
          <w:sz w:val="18"/>
        </w:rPr>
        <w:t xml:space="preserve"> </w:t>
      </w:r>
      <w:r>
        <w:rPr>
          <w:iCs/>
          <w:i/>
          <w:sz w:val="18"/>
        </w:rPr>
        <w:t xml:space="preserve">Global AI Assurance Pilot</w:t>
      </w:r>
      <w:r>
        <w:rPr>
          <w:sz w:val="18"/>
        </w:rPr>
        <w:t xml:space="preserve"> </w:t>
      </w:r>
      <w:r>
        <w:rPr>
          <w:sz w:val="18"/>
        </w:rPr>
        <w:t xml:space="preserve">report (September 2025). https://aiverifyfoundation.sg/what-is-ai-verify/ ; https://assurance.aiverifyfoundation.sg/main-report/</w:t>
      </w:r>
    </w:p>
    <w:p>
      <w:pPr>
        <w:pStyle w:val="BodyText"/>
        <w:spacing w:after="60"/>
      </w:pPr>
      <w:r>
        <w:rPr>
          <w:sz w:val="18"/>
        </w:rPr>
        <w:t xml:space="preserve">[175] Hong Kong Securities and Futures Commission.</w:t>
      </w:r>
      <w:r>
        <w:rPr>
          <w:sz w:val="18"/>
        </w:rPr>
        <w:t xml:space="preserve"> </w:t>
      </w:r>
      <w:r>
        <w:rPr>
          <w:iCs/>
          <w:i/>
          <w:sz w:val="18"/>
        </w:rPr>
        <w:t xml:space="preserve">Circular to licensed corporations: Use of generative AI language models</w:t>
      </w:r>
      <w:r>
        <w:rPr>
          <w:sz w:val="18"/>
        </w:rPr>
        <w:t xml:space="preserve">. 12 November 2024. https://apps.sfc.hk/edistributionWeb/api/circular/openFile?lang=EN&amp;refNo=24EC55</w:t>
      </w:r>
    </w:p>
    <w:p>
      <w:pPr>
        <w:pStyle w:val="BodyText"/>
        <w:spacing w:after="60"/>
      </w:pPr>
      <w:r>
        <w:rPr>
          <w:sz w:val="18"/>
        </w:rPr>
        <w:t xml:space="preserve">[176] Bank of England, Prudential Regulation Authority.</w:t>
      </w:r>
      <w:r>
        <w:rPr>
          <w:sz w:val="18"/>
        </w:rPr>
        <w:t xml:space="preserve"> </w:t>
      </w:r>
      <w:r>
        <w:rPr>
          <w:iCs/>
          <w:i/>
          <w:sz w:val="18"/>
        </w:rPr>
        <w:t xml:space="preserve">SS1/23: Model risk management principles for banks</w:t>
      </w:r>
      <w:r>
        <w:rPr>
          <w:sz w:val="18"/>
        </w:rPr>
        <w:t xml:space="preserve">. May 2023 (effective 17 May 2024; updated April 2026). https://www.bankofengland.co.uk/prudential-regulation/publication/2023/may/model-risk-management-principles-for-banks-ss</w:t>
      </w:r>
    </w:p>
    <w:p>
      <w:pPr>
        <w:pStyle w:val="BodyText"/>
        <w:spacing w:after="60"/>
      </w:pPr>
      <w:r>
        <w:rPr>
          <w:sz w:val="18"/>
        </w:rPr>
        <w:t xml:space="preserve">[177] Financial Conduct Authority.</w:t>
      </w:r>
      <w:r>
        <w:rPr>
          <w:sz w:val="18"/>
        </w:rPr>
        <w:t xml:space="preserve"> </w:t>
      </w:r>
      <w:r>
        <w:rPr>
          <w:iCs/>
          <w:i/>
          <w:sz w:val="18"/>
        </w:rPr>
        <w:t xml:space="preserve">AI Lab: AI Live Testing, Supercharged Sandbox, AI Input Zone</w:t>
      </w:r>
      <w:r>
        <w:rPr>
          <w:sz w:val="18"/>
        </w:rPr>
        <w:t xml:space="preserve">. 2024-2026. https://www.fca.org.uk/firms/innovation/ai-lab</w:t>
      </w:r>
    </w:p>
    <w:p>
      <w:pPr>
        <w:pStyle w:val="BodyText"/>
        <w:spacing w:after="60"/>
      </w:pPr>
      <w:r>
        <w:rPr>
          <w:sz w:val="18"/>
        </w:rPr>
        <w:t xml:space="preserve">[178] UK Department for Science, Innovation and Technology.</w:t>
      </w:r>
      <w:r>
        <w:rPr>
          <w:sz w:val="18"/>
        </w:rPr>
        <w:t xml:space="preserve"> </w:t>
      </w:r>
      <w:r>
        <w:rPr>
          <w:iCs/>
          <w:i/>
          <w:sz w:val="18"/>
        </w:rPr>
        <w:t xml:space="preserve">Introduction to AI assurance</w:t>
      </w:r>
      <w:r>
        <w:rPr>
          <w:sz w:val="18"/>
        </w:rPr>
        <w:t xml:space="preserve"> </w:t>
      </w:r>
      <w:r>
        <w:rPr>
          <w:sz w:val="18"/>
        </w:rPr>
        <w:t xml:space="preserve">(February 2024) and</w:t>
      </w:r>
      <w:r>
        <w:rPr>
          <w:sz w:val="18"/>
        </w:rPr>
        <w:t xml:space="preserve"> </w:t>
      </w:r>
      <w:r>
        <w:rPr>
          <w:iCs/>
          <w:i/>
          <w:sz w:val="18"/>
        </w:rPr>
        <w:t xml:space="preserve">Trusted third-party AI assurance roadmap</w:t>
      </w:r>
      <w:r>
        <w:rPr>
          <w:sz w:val="18"/>
        </w:rPr>
        <w:t xml:space="preserve"> </w:t>
      </w:r>
      <w:r>
        <w:rPr>
          <w:sz w:val="18"/>
        </w:rPr>
        <w:t xml:space="preserve">(September 2025). https://www.gov.uk/government/publications/introduction-to-ai-assurance</w:t>
      </w:r>
    </w:p>
    <w:p>
      <w:pPr>
        <w:pStyle w:val="BodyText"/>
        <w:spacing w:after="60"/>
      </w:pPr>
      <w:r>
        <w:rPr>
          <w:sz w:val="18"/>
        </w:rPr>
        <w:t xml:space="preserve">[179] Financial Stability Board.</w:t>
      </w:r>
      <w:r>
        <w:rPr>
          <w:sz w:val="18"/>
        </w:rPr>
        <w:t xml:space="preserve"> </w:t>
      </w:r>
      <w:r>
        <w:rPr>
          <w:iCs/>
          <w:i/>
          <w:sz w:val="18"/>
        </w:rPr>
        <w:t xml:space="preserve">The Financial Stability Implications of Artificial Intelligence</w:t>
      </w:r>
      <w:r>
        <w:rPr>
          <w:sz w:val="18"/>
        </w:rPr>
        <w:t xml:space="preserve">. 14 November 2024. https://www.fsb.org/2024/11/the-financial-stability-implications-of-artificial-intelligence/</w:t>
      </w:r>
    </w:p>
    <w:p>
      <w:pPr>
        <w:pStyle w:val="BodyText"/>
        <w:spacing w:after="60"/>
      </w:pPr>
      <w:r>
        <w:rPr>
          <w:sz w:val="18"/>
        </w:rPr>
        <w:t xml:space="preserve">[180] IOSCO.</w:t>
      </w:r>
      <w:r>
        <w:rPr>
          <w:sz w:val="18"/>
        </w:rPr>
        <w:t xml:space="preserve"> </w:t>
      </w:r>
      <w:r>
        <w:rPr>
          <w:iCs/>
          <w:i/>
          <w:sz w:val="18"/>
        </w:rPr>
        <w:t xml:space="preserve">Artificial Intelligence in Capital Markets: Use Cases, Risks, and Challenges</w:t>
      </w:r>
      <w:r>
        <w:rPr>
          <w:sz w:val="18"/>
        </w:rPr>
        <w:t xml:space="preserve"> </w:t>
      </w:r>
      <w:r>
        <w:rPr>
          <w:sz w:val="18"/>
        </w:rPr>
        <w:t xml:space="preserve">(CR/01/2025, March 2025) and</w:t>
      </w:r>
      <w:r>
        <w:rPr>
          <w:sz w:val="18"/>
        </w:rPr>
        <w:t xml:space="preserve"> </w:t>
      </w:r>
      <w:r>
        <w:rPr>
          <w:iCs/>
          <w:i/>
          <w:sz w:val="18"/>
        </w:rPr>
        <w:t xml:space="preserve">Supervisory Toolkit for AI Use in Capital Markets</w:t>
      </w:r>
      <w:r>
        <w:rPr>
          <w:sz w:val="18"/>
        </w:rPr>
        <w:t xml:space="preserve"> </w:t>
      </w:r>
      <w:r>
        <w:rPr>
          <w:sz w:val="18"/>
        </w:rPr>
        <w:t xml:space="preserve">(FR/02/2026, 25 May 2026). https://www.iosco.org/library/pubdocs/pdf/IOSCOPD788.pdf ; https://www.iosco.org/library/pubdocs/pdf/IOSCOPD823.pdf</w:t>
      </w:r>
    </w:p>
    <w:p>
      <w:pPr>
        <w:pStyle w:val="BodyText"/>
        <w:spacing w:after="60"/>
      </w:pPr>
      <w:r>
        <w:rPr>
          <w:sz w:val="18"/>
        </w:rPr>
        <w:t xml:space="preserve">[181] Crisanto, J. C., Leuterio, C. B., Prenio, J., Yong, J.</w:t>
      </w:r>
      <w:r>
        <w:rPr>
          <w:sz w:val="18"/>
        </w:rPr>
        <w:t xml:space="preserve"> </w:t>
      </w:r>
      <w:r>
        <w:rPr>
          <w:iCs/>
          <w:i/>
          <w:sz w:val="18"/>
        </w:rPr>
        <w:t xml:space="preserve">Regulating AI in the financial sector: recent developments and main challenges</w:t>
      </w:r>
      <w:r>
        <w:rPr>
          <w:sz w:val="18"/>
        </w:rPr>
        <w:t xml:space="preserve">. BIS FSI Insights No. 63, December 2024. https://www.bis.org/fsi/publ/insights63.htm</w:t>
      </w:r>
    </w:p>
    <w:p>
      <w:pPr>
        <w:pStyle w:val="BodyText"/>
        <w:spacing w:after="60"/>
      </w:pPr>
      <w:r>
        <w:rPr>
          <w:sz w:val="18"/>
        </w:rPr>
        <w:t xml:space="preserve">[182] OECD.</w:t>
      </w:r>
      <w:r>
        <w:rPr>
          <w:sz w:val="18"/>
        </w:rPr>
        <w:t xml:space="preserve"> </w:t>
      </w:r>
      <w:r>
        <w:rPr>
          <w:iCs/>
          <w:i/>
          <w:sz w:val="18"/>
        </w:rPr>
        <w:t xml:space="preserve">Recommendation of the Council on Artificial Intelligence</w:t>
      </w:r>
      <w:r>
        <w:rPr>
          <w:sz w:val="18"/>
        </w:rPr>
        <w:t xml:space="preserve"> </w:t>
      </w:r>
      <w:r>
        <w:rPr>
          <w:sz w:val="18"/>
        </w:rPr>
        <w:t xml:space="preserve">(OECD AI Principles), updated May 2024. https://oecd.ai/en/ai-principles</w:t>
      </w:r>
    </w:p>
    <w:p>
      <w:pPr>
        <w:pStyle w:val="BodyText"/>
        <w:spacing w:after="60"/>
      </w:pPr>
      <w:r>
        <w:rPr>
          <w:sz w:val="18"/>
        </w:rPr>
        <w:t xml:space="preserve">[183] OWASP GenAI Security Project.</w:t>
      </w:r>
      <w:r>
        <w:rPr>
          <w:sz w:val="18"/>
        </w:rPr>
        <w:t xml:space="preserve"> </w:t>
      </w:r>
      <w:r>
        <w:rPr>
          <w:iCs/>
          <w:i/>
          <w:sz w:val="18"/>
        </w:rPr>
        <w:t xml:space="preserve">OWASP Top 10 for LLM Applications 2025</w:t>
      </w:r>
      <w:r>
        <w:rPr>
          <w:sz w:val="18"/>
        </w:rPr>
        <w:t xml:space="preserve">. https://genai.owasp.org/llm-top-10/</w:t>
      </w:r>
    </w:p>
    <w:p>
      <w:pPr>
        <w:pStyle w:val="BodyText"/>
        <w:spacing w:after="60"/>
      </w:pPr>
      <w:r>
        <w:rPr>
          <w:sz w:val="18"/>
        </w:rPr>
        <w:t xml:space="preserve">[184] MITRE.</w:t>
      </w:r>
      <w:r>
        <w:rPr>
          <w:sz w:val="18"/>
        </w:rPr>
        <w:t xml:space="preserve"> </w:t>
      </w:r>
      <w:r>
        <w:rPr>
          <w:iCs/>
          <w:i/>
          <w:sz w:val="18"/>
        </w:rPr>
        <w:t xml:space="preserve">ATLAS: Adversarial Threat Landscape for Artificial-Intelligence Systems</w:t>
      </w:r>
      <w:r>
        <w:rPr>
          <w:sz w:val="18"/>
        </w:rPr>
        <w:t xml:space="preserve">. https://atlas.mitre.org/</w:t>
      </w:r>
    </w:p>
    <w:p>
      <w:pPr>
        <w:pStyle w:val="BodyText"/>
        <w:spacing w:after="60"/>
      </w:pPr>
      <w:r>
        <w:rPr>
          <w:sz w:val="18"/>
        </w:rPr>
        <w:t xml:space="preserve">[185] Cloud Security Alliance.</w:t>
      </w:r>
      <w:r>
        <w:rPr>
          <w:sz w:val="18"/>
        </w:rPr>
        <w:t xml:space="preserve"> </w:t>
      </w:r>
      <w:r>
        <w:rPr>
          <w:iCs/>
          <w:i/>
          <w:sz w:val="18"/>
        </w:rPr>
        <w:t xml:space="preserve">AI Controls Matrix (AICM) v1</w:t>
      </w:r>
      <w:r>
        <w:rPr>
          <w:sz w:val="18"/>
        </w:rPr>
        <w:t xml:space="preserve"> </w:t>
      </w:r>
      <w:r>
        <w:rPr>
          <w:sz w:val="18"/>
        </w:rPr>
        <w:t xml:space="preserve">(243 control objectives, 18 domains). July 2025. https://cloudsecurityalliance.org/artifacts/ai-controls-matrix</w:t>
      </w:r>
    </w:p>
    <w:p>
      <w:pPr>
        <w:pStyle w:val="BodyText"/>
        <w:spacing w:after="60"/>
      </w:pPr>
      <w:r>
        <w:rPr>
          <w:sz w:val="18"/>
        </w:rPr>
        <w:t xml:space="preserve">[186] UK NCSC, US CISA et al. </w:t>
      </w:r>
      <w:r>
        <w:rPr>
          <w:iCs/>
          <w:i/>
          <w:sz w:val="18"/>
        </w:rPr>
        <w:t xml:space="preserve">Guidelines for secure AI system development</w:t>
      </w:r>
      <w:r>
        <w:rPr>
          <w:sz w:val="18"/>
        </w:rPr>
        <w:t xml:space="preserve">. 27 November 2023. https://www.ncsc.gov.uk/collection/guidelines-secure-ai-system-development</w:t>
      </w:r>
    </w:p>
    <w:p>
      <w:pPr>
        <w:pStyle w:val="BodyText"/>
        <w:spacing w:after="60"/>
      </w:pPr>
      <w:r>
        <w:rPr>
          <w:sz w:val="18"/>
        </w:rPr>
        <w:t xml:space="preserve">[187] NSA AI Security Center, CISA, FBI et al. </w:t>
      </w:r>
      <w:r>
        <w:rPr>
          <w:iCs/>
          <w:i/>
          <w:sz w:val="18"/>
        </w:rPr>
        <w:t xml:space="preserve">AI Data Security: Best Practices for Securing Data Used to Train and Operate AI Systems</w:t>
      </w:r>
      <w:r>
        <w:rPr>
          <w:sz w:val="18"/>
        </w:rPr>
        <w:t xml:space="preserve">. May 2025. https://media.defense.gov/2025/May/22/2003720601/-1/-1/0/CSI_AI_DATA_SECURITY.PDF</w:t>
      </w:r>
    </w:p>
    <w:p>
      <w:pPr>
        <w:pStyle w:val="BodyText"/>
        <w:spacing w:after="60"/>
      </w:pPr>
      <w:r>
        <w:rPr>
          <w:sz w:val="18"/>
        </w:rPr>
        <w:t xml:space="preserve">[188] OpenSSF.</w:t>
      </w:r>
      <w:r>
        <w:rPr>
          <w:sz w:val="18"/>
        </w:rPr>
        <w:t xml:space="preserve"> </w:t>
      </w:r>
      <w:r>
        <w:rPr>
          <w:iCs/>
          <w:i/>
          <w:sz w:val="18"/>
        </w:rPr>
        <w:t xml:space="preserve">SLSA v1.2 specification</w:t>
      </w:r>
      <w:r>
        <w:rPr>
          <w:sz w:val="18"/>
        </w:rPr>
        <w:t xml:space="preserve">; OWASP CycloneDX,</w:t>
      </w:r>
      <w:r>
        <w:rPr>
          <w:sz w:val="18"/>
        </w:rPr>
        <w:t xml:space="preserve"> </w:t>
      </w:r>
      <w:r>
        <w:rPr>
          <w:iCs/>
          <w:i/>
          <w:sz w:val="18"/>
        </w:rPr>
        <w:t xml:space="preserve">ML-BOM (ECMA-424)</w:t>
      </w:r>
      <w:r>
        <w:rPr>
          <w:sz w:val="18"/>
        </w:rPr>
        <w:t xml:space="preserve">. https://slsa.dev/spec/v1.2/ ; https://cyclonedx.org/capabilities/mlbom/</w:t>
      </w:r>
    </w:p>
    <w:p>
      <w:pPr>
        <w:pStyle w:val="BodyText"/>
        <w:spacing w:after="60"/>
      </w:pPr>
      <w:r>
        <w:rPr>
          <w:sz w:val="18"/>
        </w:rPr>
        <w:t xml:space="preserve">[189] Mitchell, M. et al. </w:t>
      </w:r>
      <w:r>
        <w:rPr>
          <w:iCs/>
          <w:i/>
          <w:sz w:val="18"/>
        </w:rPr>
        <w:t xml:space="preserve">Model Cards for Model Reporting</w:t>
      </w:r>
      <w:r>
        <w:rPr>
          <w:sz w:val="18"/>
        </w:rPr>
        <w:t xml:space="preserve">. FAT* 2019; arXiv:1810.03993. Gebru, T. et al. </w:t>
      </w:r>
      <w:r>
        <w:rPr>
          <w:iCs/>
          <w:i/>
          <w:sz w:val="18"/>
        </w:rPr>
        <w:t xml:space="preserve">Datasheets for Datasets</w:t>
      </w:r>
      <w:r>
        <w:rPr>
          <w:sz w:val="18"/>
        </w:rPr>
        <w:t xml:space="preserve">. Communications of the ACM 64(12), 2021. https://arxiv.org/abs/1810.03993</w:t>
      </w:r>
    </w:p>
    <w:p>
      <w:pPr>
        <w:pStyle w:val="BodyText"/>
        <w:spacing w:after="60"/>
      </w:pPr>
      <w:r>
        <w:rPr>
          <w:sz w:val="18"/>
        </w:rPr>
        <w:t xml:space="preserve">[190] IAPP.</w:t>
      </w:r>
      <w:r>
        <w:rPr>
          <w:sz w:val="18"/>
        </w:rPr>
        <w:t xml:space="preserve"> </w:t>
      </w:r>
      <w:r>
        <w:rPr>
          <w:iCs/>
          <w:i/>
          <w:sz w:val="18"/>
        </w:rPr>
        <w:t xml:space="preserve">AI Governance Profession Report 2025</w:t>
      </w:r>
      <w:r>
        <w:rPr>
          <w:sz w:val="18"/>
        </w:rPr>
        <w:t xml:space="preserve">. 16 April 2025. https://iapp.org/resources/article/ai-governance-profession-report/</w:t>
      </w:r>
    </w:p>
    <w:p>
      <w:pPr>
        <w:pStyle w:val="BodyText"/>
        <w:spacing w:after="60"/>
      </w:pPr>
      <w:r>
        <w:rPr>
          <w:sz w:val="18"/>
        </w:rPr>
        <w:t xml:space="preserve">[191] ISACA.</w:t>
      </w:r>
      <w:r>
        <w:rPr>
          <w:sz w:val="18"/>
        </w:rPr>
        <w:t xml:space="preserve"> </w:t>
      </w:r>
      <w:r>
        <w:rPr>
          <w:iCs/>
          <w:i/>
          <w:sz w:val="18"/>
        </w:rPr>
        <w:t xml:space="preserve">Artificial Intelligence Audit Toolkit</w:t>
      </w:r>
      <w:r>
        <w:rPr>
          <w:sz w:val="18"/>
        </w:rPr>
        <w:t xml:space="preserve"> </w:t>
      </w:r>
      <w:r>
        <w:rPr>
          <w:sz w:val="18"/>
        </w:rPr>
        <w:t xml:space="preserve">and</w:t>
      </w:r>
      <w:r>
        <w:rPr>
          <w:sz w:val="18"/>
        </w:rPr>
        <w:t xml:space="preserve"> </w:t>
      </w:r>
      <w:r>
        <w:rPr>
          <w:iCs/>
          <w:i/>
          <w:sz w:val="18"/>
        </w:rPr>
        <w:t xml:space="preserve">Advanced in AI Audit (AAIA)</w:t>
      </w:r>
      <w:r>
        <w:rPr>
          <w:sz w:val="18"/>
        </w:rPr>
        <w:t xml:space="preserve">. https://www.isaca.org/resources/artificial-intelligence</w:t>
      </w:r>
    </w:p>
    <w:p>
      <w:pPr>
        <w:pStyle w:val="BodyText"/>
        <w:spacing w:after="60"/>
      </w:pPr>
      <w:r>
        <w:rPr>
          <w:sz w:val="18"/>
        </w:rPr>
        <w:t xml:space="preserve">[192] Fortune.</w:t>
      </w:r>
      <w:r>
        <w:rPr>
          <w:sz w:val="18"/>
        </w:rPr>
        <w:t xml:space="preserve"> </w:t>
      </w:r>
      <w:r>
        <w:rPr>
          <w:iCs/>
          <w:i/>
          <w:sz w:val="18"/>
        </w:rPr>
        <w:t xml:space="preserve">Goldman Sachs rolls out GS AI Assistant firmwide</w:t>
      </w:r>
      <w:r>
        <w:rPr>
          <w:sz w:val="18"/>
        </w:rPr>
        <w:t xml:space="preserve"> </w:t>
      </w:r>
      <w:r>
        <w:rPr>
          <w:sz w:val="18"/>
        </w:rPr>
        <w:t xml:space="preserve">(Argenti memo). 24 June 2025. https://fortune.com/2025/06/24/goldman-sachs-internal-ai-assistant</w:t>
      </w:r>
    </w:p>
    <w:p>
      <w:pPr>
        <w:pStyle w:val="BodyText"/>
        <w:spacing w:after="60"/>
      </w:pPr>
      <w:r>
        <w:rPr>
          <w:sz w:val="18"/>
        </w:rPr>
        <w:t xml:space="preserve">[193] Son, H.</w:t>
      </w:r>
      <w:r>
        <w:rPr>
          <w:sz w:val="18"/>
        </w:rPr>
        <w:t xml:space="preserve"> </w:t>
      </w:r>
      <w:r>
        <w:rPr>
          <w:iCs/>
          <w:i/>
          <w:sz w:val="18"/>
        </w:rPr>
        <w:t xml:space="preserve">Goldman Sachs is piloting its first autonomous coder in major AI milestone for Wall Street</w:t>
      </w:r>
      <w:r>
        <w:rPr>
          <w:sz w:val="18"/>
        </w:rPr>
        <w:t xml:space="preserve">. CNBC, 11 July 2025 (syndicated by NBC New York); see also TechCrunch, 11 July 2025. https://www.cnbc.com/2025/07/11/goldman-sachs-autonomous-coder-pilot-marks-major-ai-milestone.html</w:t>
      </w:r>
    </w:p>
    <w:p>
      <w:pPr>
        <w:pStyle w:val="BodyText"/>
        <w:spacing w:after="60"/>
      </w:pPr>
      <w:r>
        <w:rPr>
          <w:sz w:val="18"/>
        </w:rPr>
        <w:t xml:space="preserve">[194] Banking Dive.</w:t>
      </w:r>
      <w:r>
        <w:rPr>
          <w:sz w:val="18"/>
        </w:rPr>
        <w:t xml:space="preserve"> </w:t>
      </w:r>
      <w:r>
        <w:rPr>
          <w:iCs/>
          <w:i/>
          <w:sz w:val="18"/>
        </w:rPr>
        <w:t xml:space="preserve">Goldman Sachs</w:t>
      </w:r>
      <w:r>
        <w:rPr>
          <w:iCs/>
          <w:i/>
          <w:sz w:val="18"/>
        </w:rPr>
        <w:t xml:space="preserve"> </w:t>
      </w:r>
      <w:r>
        <w:rPr>
          <w:iCs/>
          <w:i/>
          <w:sz w:val="18"/>
        </w:rPr>
        <w:t xml:space="preserve">‘</w:t>
      </w:r>
      <w:r>
        <w:rPr>
          <w:iCs/>
          <w:i/>
          <w:sz w:val="18"/>
        </w:rPr>
        <w:t xml:space="preserve">OneGS 3.0</w:t>
      </w:r>
      <w:r>
        <w:rPr>
          <w:iCs/>
          <w:i/>
          <w:sz w:val="18"/>
        </w:rPr>
        <w:t xml:space="preserve">’</w:t>
      </w:r>
      <w:r>
        <w:rPr>
          <w:iCs/>
          <w:i/>
          <w:sz w:val="18"/>
        </w:rPr>
        <w:t xml:space="preserve"> </w:t>
      </w:r>
      <w:r>
        <w:rPr>
          <w:iCs/>
          <w:i/>
          <w:sz w:val="18"/>
        </w:rPr>
        <w:t xml:space="preserve">memo: limited cuts as AI reshapes operating model</w:t>
      </w:r>
      <w:r>
        <w:rPr>
          <w:sz w:val="18"/>
        </w:rPr>
        <w:t xml:space="preserve">. 14 October 2025. https://www.bankingdive.com/news/goldman-sachs-limited-cuts-ai-acquisition-industry-ventures-965-million-solomon-q3-earnings/802869/</w:t>
      </w:r>
    </w:p>
    <w:p>
      <w:pPr>
        <w:pStyle w:val="BodyText"/>
        <w:spacing w:after="60"/>
      </w:pPr>
      <w:r>
        <w:rPr>
          <w:sz w:val="18"/>
        </w:rPr>
        <w:t xml:space="preserve">[195] Son, H.</w:t>
      </w:r>
      <w:r>
        <w:rPr>
          <w:sz w:val="18"/>
        </w:rPr>
        <w:t xml:space="preserve"> </w:t>
      </w:r>
      <w:r>
        <w:rPr>
          <w:iCs/>
          <w:i/>
          <w:sz w:val="18"/>
        </w:rPr>
        <w:t xml:space="preserve">Goldman Sachs taps Anthropic’s Claude to automate accounting, compliance roles</w:t>
      </w:r>
      <w:r>
        <w:rPr>
          <w:sz w:val="18"/>
        </w:rPr>
        <w:t xml:space="preserve">. CNBC, 6 February 2026 (syndicated by PYMNTS). https://www.cnbc.com/2026/02/06/anthropic-goldman-sachs-ai-model-accounting.html</w:t>
      </w:r>
    </w:p>
    <w:p>
      <w:pPr>
        <w:pStyle w:val="BodyText"/>
        <w:spacing w:after="60"/>
      </w:pPr>
      <w:r>
        <w:rPr>
          <w:sz w:val="18"/>
        </w:rPr>
        <w:t xml:space="preserve">[196] Marr, B.</w:t>
      </w:r>
      <w:r>
        <w:rPr>
          <w:sz w:val="18"/>
        </w:rPr>
        <w:t xml:space="preserve"> </w:t>
      </w:r>
      <w:r>
        <w:rPr>
          <w:iCs/>
          <w:i/>
          <w:sz w:val="18"/>
        </w:rPr>
        <w:t xml:space="preserve">How Goldman Sachs Is Using Agentic AI For Software Engineering At Scale</w:t>
      </w:r>
      <w:r>
        <w:rPr>
          <w:sz w:val="18"/>
        </w:rPr>
        <w:t xml:space="preserve">. Forbes, 6 August 2026 (secondary synthesis; author repost at https://bernardmarr.com/how-goldman-sachs-is-using-agentic-ai-for-software-engineering-at-scale/). https://www.forbes.com/sites/bernardmarr/2026/08/06/how-goldman-sachs-is-using-agentic-ai-for-software-engineering-at-scale/</w:t>
      </w:r>
    </w:p>
    <w:p>
      <w:pPr>
        <w:pStyle w:val="BodyText"/>
        <w:spacing w:after="60"/>
      </w:pPr>
      <w:r>
        <w:rPr>
          <w:sz w:val="18"/>
        </w:rPr>
        <w:t xml:space="preserve">[197] Argenti, M.</w:t>
      </w:r>
      <w:r>
        <w:rPr>
          <w:sz w:val="18"/>
        </w:rPr>
        <w:t xml:space="preserve"> </w:t>
      </w:r>
      <w:r>
        <w:rPr>
          <w:iCs/>
          <w:i/>
          <w:sz w:val="18"/>
        </w:rPr>
        <w:t xml:space="preserve">Why Engineers Should Study Philosophy</w:t>
      </w:r>
      <w:r>
        <w:rPr>
          <w:sz w:val="18"/>
        </w:rPr>
        <w:t xml:space="preserve">. Harvard Business Review, 16 April 2024. https://hbr.org/2024/04/why-engineers-should-study-philosophy</w:t>
      </w:r>
    </w:p>
    <w:p>
      <w:pPr>
        <w:pStyle w:val="BodyText"/>
        <w:spacing w:after="60"/>
      </w:pPr>
      <w:r>
        <w:rPr>
          <w:sz w:val="18"/>
        </w:rPr>
        <w:t xml:space="preserve">[198] JPMorganChase.</w:t>
      </w:r>
      <w:r>
        <w:rPr>
          <w:sz w:val="18"/>
        </w:rPr>
        <w:t xml:space="preserve"> </w:t>
      </w:r>
      <w:r>
        <w:rPr>
          <w:iCs/>
          <w:i/>
          <w:sz w:val="18"/>
        </w:rPr>
        <w:t xml:space="preserve">2025 Investor Day: full transcript</w:t>
      </w:r>
      <w:r>
        <w:rPr>
          <w:sz w:val="18"/>
        </w:rPr>
        <w:t xml:space="preserve">. 19 May 2025. https://www.jpmorganchase.com/content/dam/jpmc/jpmorgan-chase-and-co/investor-relations/documents/events/2025/jpmc-2025-investor-day/full-transcript.pdf</w:t>
      </w:r>
    </w:p>
    <w:p>
      <w:pPr>
        <w:pStyle w:val="BodyText"/>
        <w:spacing w:after="60"/>
      </w:pPr>
      <w:r>
        <w:rPr>
          <w:sz w:val="18"/>
        </w:rPr>
        <w:t xml:space="preserve">[199] McKinsey &amp; Company.</w:t>
      </w:r>
      <w:r>
        <w:rPr>
          <w:sz w:val="18"/>
        </w:rPr>
        <w:t xml:space="preserve"> </w:t>
      </w:r>
      <w:r>
        <w:rPr>
          <w:iCs/>
          <w:i/>
          <w:sz w:val="18"/>
        </w:rPr>
        <w:t xml:space="preserve">JPMorgan Chase’s Derek Waldron on building an AI-first bank culture</w:t>
      </w:r>
      <w:r>
        <w:rPr>
          <w:sz w:val="18"/>
        </w:rPr>
        <w:t xml:space="preserve">. 29 October 2025. https://www.mckinsey.com/industries/financial-services/our-insights/jpmorgan-chases-derek-waldron-on-building-an-ai-first-bank-culture</w:t>
      </w:r>
    </w:p>
    <w:p>
      <w:pPr>
        <w:pStyle w:val="BodyText"/>
        <w:spacing w:after="60"/>
      </w:pPr>
      <w:r>
        <w:rPr>
          <w:sz w:val="18"/>
        </w:rPr>
        <w:t xml:space="preserve">[200] Anand, N.</w:t>
      </w:r>
      <w:r>
        <w:rPr>
          <w:sz w:val="18"/>
        </w:rPr>
        <w:t xml:space="preserve"> </w:t>
      </w:r>
      <w:r>
        <w:rPr>
          <w:iCs/>
          <w:i/>
          <w:sz w:val="18"/>
        </w:rPr>
        <w:t xml:space="preserve">JPMorgan engineers’ efficiency jumps as much as 20% from using coding assistant</w:t>
      </w:r>
      <w:r>
        <w:rPr>
          <w:sz w:val="18"/>
        </w:rPr>
        <w:t xml:space="preserve">. Reuters, 13 March 2025. https://finance.yahoo.com/news/jpmorgan-engineers-efficiency-jumps-much-190410471.html</w:t>
      </w:r>
    </w:p>
    <w:p>
      <w:pPr>
        <w:pStyle w:val="BodyText"/>
        <w:spacing w:after="60"/>
      </w:pPr>
      <w:r>
        <w:rPr>
          <w:sz w:val="18"/>
        </w:rPr>
        <w:t xml:space="preserve">[201] HR Grapevine.</w:t>
      </w:r>
      <w:r>
        <w:rPr>
          <w:sz w:val="18"/>
        </w:rPr>
        <w:t xml:space="preserve"> </w:t>
      </w:r>
      <w:r>
        <w:rPr>
          <w:iCs/>
          <w:i/>
          <w:sz w:val="18"/>
        </w:rPr>
        <w:t xml:space="preserve">JPMorgan CEO Jamie Dimon says society must consider AI job impact; firm has</w:t>
      </w:r>
      <w:r>
        <w:rPr>
          <w:iCs/>
          <w:i/>
          <w:sz w:val="18"/>
        </w:rPr>
        <w:t xml:space="preserve"> </w:t>
      </w:r>
      <w:r>
        <w:rPr>
          <w:iCs/>
          <w:i/>
          <w:sz w:val="18"/>
        </w:rPr>
        <w:t xml:space="preserve">‘</w:t>
      </w:r>
      <w:r>
        <w:rPr>
          <w:iCs/>
          <w:i/>
          <w:sz w:val="18"/>
        </w:rPr>
        <w:t xml:space="preserve">huge redeployment plans</w:t>
      </w:r>
      <w:r>
        <w:rPr>
          <w:iCs/>
          <w:i/>
          <w:sz w:val="18"/>
        </w:rPr>
        <w:t xml:space="preserve">’</w:t>
      </w:r>
      <w:r>
        <w:rPr>
          <w:sz w:val="18"/>
        </w:rPr>
        <w:t xml:space="preserve"> </w:t>
      </w:r>
      <w:r>
        <w:rPr>
          <w:sz w:val="18"/>
        </w:rPr>
        <w:t xml:space="preserve">(Q4-2025 disclosures incl. software engineer efficiency improved 10%). 25 February 2026. https://www.hrgrapevine.com/us/content/article/2026-02-25-jpmorgan-ceo-jamie-dimon-says-society-must-consider-ai-job-impact</w:t>
      </w:r>
    </w:p>
    <w:p>
      <w:pPr>
        <w:pStyle w:val="BodyText"/>
        <w:spacing w:after="60"/>
      </w:pPr>
      <w:r>
        <w:rPr>
          <w:sz w:val="18"/>
        </w:rPr>
        <w:t xml:space="preserve">[202] Tekedia.</w:t>
      </w:r>
      <w:r>
        <w:rPr>
          <w:sz w:val="18"/>
        </w:rPr>
        <w:t xml:space="preserve"> </w:t>
      </w:r>
      <w:r>
        <w:rPr>
          <w:iCs/>
          <w:i/>
          <w:sz w:val="18"/>
        </w:rPr>
        <w:t xml:space="preserve">JPMorgan raises the bar for engineers, ties performance to AI adoption</w:t>
      </w:r>
      <w:r>
        <w:rPr>
          <w:sz w:val="18"/>
        </w:rPr>
        <w:t xml:space="preserve"> </w:t>
      </w:r>
      <w:r>
        <w:rPr>
          <w:sz w:val="18"/>
        </w:rPr>
        <w:t xml:space="preserve">(reporting Business Insider), 27 March 2026; AI News,</w:t>
      </w:r>
      <w:r>
        <w:rPr>
          <w:sz w:val="18"/>
        </w:rPr>
        <w:t xml:space="preserve"> </w:t>
      </w:r>
      <w:r>
        <w:rPr>
          <w:iCs/>
          <w:i/>
          <w:sz w:val="18"/>
        </w:rPr>
        <w:t xml:space="preserve">JPMorgan begins tracking how employees use AI at work</w:t>
      </w:r>
      <w:r>
        <w:rPr>
          <w:sz w:val="18"/>
        </w:rPr>
        <w:t xml:space="preserve">, 30 March 2026. https://www.tekedia.com/jpmorgan-raises-the-bar-for-engineers-ties-performance-to-ai-adoption/</w:t>
      </w:r>
    </w:p>
    <w:p>
      <w:pPr>
        <w:pStyle w:val="BodyText"/>
        <w:spacing w:after="60"/>
      </w:pPr>
      <w:r>
        <w:rPr>
          <w:sz w:val="18"/>
        </w:rPr>
        <w:t xml:space="preserve">[203] Dimon, J.</w:t>
      </w:r>
      <w:r>
        <w:rPr>
          <w:sz w:val="18"/>
        </w:rPr>
        <w:t xml:space="preserve"> </w:t>
      </w:r>
      <w:r>
        <w:rPr>
          <w:iCs/>
          <w:i/>
          <w:sz w:val="18"/>
        </w:rPr>
        <w:t xml:space="preserve">Letter to Shareholders, Annual Report 2025</w:t>
      </w:r>
      <w:r>
        <w:rPr>
          <w:sz w:val="18"/>
        </w:rPr>
        <w:t xml:space="preserve">. JPMorganChase, 6 April 2026. https://www.jpmorganchase.com/ir/annual-report/2025/ar-ceo-letters</w:t>
      </w:r>
    </w:p>
    <w:p>
      <w:pPr>
        <w:pStyle w:val="BodyText"/>
        <w:spacing w:after="60"/>
      </w:pPr>
      <w:r>
        <w:rPr>
          <w:sz w:val="18"/>
        </w:rPr>
        <w:t xml:space="preserve">[204] OpenAI.</w:t>
      </w:r>
      <w:r>
        <w:rPr>
          <w:sz w:val="18"/>
        </w:rPr>
        <w:t xml:space="preserve"> </w:t>
      </w:r>
      <w:r>
        <w:rPr>
          <w:iCs/>
          <w:i/>
          <w:sz w:val="18"/>
        </w:rPr>
        <w:t xml:space="preserve">Morgan Stanley uses AI evals to shape the future of financial services</w:t>
      </w:r>
      <w:r>
        <w:rPr>
          <w:sz w:val="18"/>
        </w:rPr>
        <w:t xml:space="preserve">. Customer story, 2024. https://openai.com/index/morgan-stanley/</w:t>
      </w:r>
    </w:p>
    <w:p>
      <w:pPr>
        <w:pStyle w:val="BodyText"/>
        <w:spacing w:after="60"/>
      </w:pPr>
      <w:r>
        <w:rPr>
          <w:sz w:val="18"/>
        </w:rPr>
        <w:t xml:space="preserve">[205] Bousquette, I.</w:t>
      </w:r>
      <w:r>
        <w:rPr>
          <w:sz w:val="18"/>
        </w:rPr>
        <w:t xml:space="preserve"> </w:t>
      </w:r>
      <w:r>
        <w:rPr>
          <w:iCs/>
          <w:i/>
          <w:sz w:val="18"/>
        </w:rPr>
        <w:t xml:space="preserve">How Morgan Stanley Tackled One of Coding’s Toughest Problems</w:t>
      </w:r>
      <w:r>
        <w:rPr>
          <w:sz w:val="18"/>
        </w:rPr>
        <w:t xml:space="preserve">. Wall Street Journal, June 2025 (as summarised by Entrepreneur). https://www.entrepreneur.com/business-news/morgan-stanley-builds-ai-tool-that-fixes-major-coding-issue/492697</w:t>
      </w:r>
    </w:p>
    <w:p>
      <w:pPr>
        <w:pStyle w:val="BodyText"/>
        <w:spacing w:after="60"/>
      </w:pPr>
      <w:r>
        <w:rPr>
          <w:sz w:val="18"/>
        </w:rPr>
        <w:t xml:space="preserve">[206] AI Street.</w:t>
      </w:r>
      <w:r>
        <w:rPr>
          <w:sz w:val="18"/>
        </w:rPr>
        <w:t xml:space="preserve"> </w:t>
      </w:r>
      <w:r>
        <w:rPr>
          <w:iCs/>
          <w:i/>
          <w:sz w:val="18"/>
        </w:rPr>
        <w:t xml:space="preserve">Morgan Stanley’s ex-AI head on scaling AI beyond pilots</w:t>
      </w:r>
      <w:r>
        <w:rPr>
          <w:sz w:val="18"/>
        </w:rPr>
        <w:t xml:space="preserve"> </w:t>
      </w:r>
      <w:r>
        <w:rPr>
          <w:sz w:val="18"/>
        </w:rPr>
        <w:t xml:space="preserve">(interview with Jeff McMillan). 25 March 2026. https://www.ai-street.co/p/morgan-stanleys-ex-ai-head-on-scaling</w:t>
      </w:r>
    </w:p>
    <w:p>
      <w:pPr>
        <w:pStyle w:val="BodyText"/>
        <w:spacing w:after="60"/>
      </w:pPr>
      <w:r>
        <w:rPr>
          <w:sz w:val="18"/>
        </w:rPr>
        <w:t xml:space="preserve">[207] CIO Dive.</w:t>
      </w:r>
      <w:r>
        <w:rPr>
          <w:sz w:val="18"/>
        </w:rPr>
        <w:t xml:space="preserve"> </w:t>
      </w:r>
      <w:r>
        <w:rPr>
          <w:iCs/>
          <w:i/>
          <w:sz w:val="18"/>
        </w:rPr>
        <w:t xml:space="preserve">Citi deploys AI coding tools to 30K developers in modernization push</w:t>
      </w:r>
      <w:r>
        <w:rPr>
          <w:sz w:val="18"/>
        </w:rPr>
        <w:t xml:space="preserve">. 16 January 2025. https://www.ciodive.com/news/citi-bank-modernization-generative-ai-coding-assistant/737624/</w:t>
      </w:r>
    </w:p>
    <w:p>
      <w:pPr>
        <w:pStyle w:val="BodyText"/>
        <w:spacing w:after="60"/>
      </w:pPr>
      <w:r>
        <w:rPr>
          <w:sz w:val="18"/>
        </w:rPr>
        <w:t xml:space="preserve">[208] American Banker.</w:t>
      </w:r>
      <w:r>
        <w:rPr>
          <w:sz w:val="18"/>
        </w:rPr>
        <w:t xml:space="preserve"> </w:t>
      </w:r>
      <w:r>
        <w:rPr>
          <w:iCs/>
          <w:i/>
          <w:sz w:val="18"/>
        </w:rPr>
        <w:t xml:space="preserve">Citi is rolling out agentic AI to its 40,000 developers</w:t>
      </w:r>
      <w:r>
        <w:rPr>
          <w:sz w:val="18"/>
        </w:rPr>
        <w:t xml:space="preserve">. 14 July 2025. https://www.americanbanker.com/news/citi-is-rolling-out-agentic-ai-to-its-40-000-developers</w:t>
      </w:r>
    </w:p>
    <w:p>
      <w:pPr>
        <w:pStyle w:val="BodyText"/>
        <w:spacing w:after="60"/>
      </w:pPr>
      <w:r>
        <w:rPr>
          <w:sz w:val="18"/>
        </w:rPr>
        <w:t xml:space="preserve">[209] Constellation Research.</w:t>
      </w:r>
      <w:r>
        <w:rPr>
          <w:sz w:val="18"/>
        </w:rPr>
        <w:t xml:space="preserve"> </w:t>
      </w:r>
      <w:r>
        <w:rPr>
          <w:iCs/>
          <w:i/>
          <w:sz w:val="18"/>
        </w:rPr>
        <w:t xml:space="preserve">Citigroup AI agent pilot underway for 5,000 workers</w:t>
      </w:r>
      <w:r>
        <w:rPr>
          <w:sz w:val="18"/>
        </w:rPr>
        <w:t xml:space="preserve">. 15 October 2025; Citigroup press release,</w:t>
      </w:r>
      <w:r>
        <w:rPr>
          <w:sz w:val="18"/>
        </w:rPr>
        <w:t xml:space="preserve"> </w:t>
      </w:r>
      <w:r>
        <w:rPr>
          <w:iCs/>
          <w:i/>
          <w:sz w:val="18"/>
        </w:rPr>
        <w:t xml:space="preserve">Citi unveils Citi Stylus Workspaces with agentic AI</w:t>
      </w:r>
      <w:r>
        <w:rPr>
          <w:sz w:val="18"/>
        </w:rPr>
        <w:t xml:space="preserve">, 22 September 2025. https://www.constellationr.com/insights/news/citigroup-ai-agent-pilot-underway-5000-workers</w:t>
      </w:r>
    </w:p>
    <w:p>
      <w:pPr>
        <w:pStyle w:val="BodyText"/>
        <w:spacing w:after="60"/>
      </w:pPr>
      <w:r>
        <w:rPr>
          <w:sz w:val="18"/>
        </w:rPr>
        <w:t xml:space="preserve">[210] DBS Bank.</w:t>
      </w:r>
      <w:r>
        <w:rPr>
          <w:sz w:val="18"/>
        </w:rPr>
        <w:t xml:space="preserve"> </w:t>
      </w:r>
      <w:r>
        <w:rPr>
          <w:iCs/>
          <w:i/>
          <w:sz w:val="18"/>
        </w:rPr>
        <w:t xml:space="preserve">Singapore Fintech Festival 2025: Powering DBS’ next phase of growth with AI</w:t>
      </w:r>
      <w:r>
        <w:rPr>
          <w:sz w:val="18"/>
        </w:rPr>
        <w:t xml:space="preserve">. 12 November 2025. https://www.dbs.com/artificial-intelligence-machine-learning/artificial-intelligence/singapore-finTech-festival-2025-powering-dbs-next-phase-of-growth-with-ai.html</w:t>
      </w:r>
    </w:p>
    <w:p>
      <w:pPr>
        <w:pStyle w:val="BodyText"/>
        <w:spacing w:after="60"/>
      </w:pPr>
      <w:r>
        <w:rPr>
          <w:sz w:val="18"/>
        </w:rPr>
        <w:t xml:space="preserve">[211] DBS Bank.</w:t>
      </w:r>
      <w:r>
        <w:rPr>
          <w:sz w:val="18"/>
        </w:rPr>
        <w:t xml:space="preserve"> </w:t>
      </w:r>
      <w:r>
        <w:rPr>
          <w:iCs/>
          <w:i/>
          <w:sz w:val="18"/>
        </w:rPr>
        <w:t xml:space="preserve">AI in banking: Transforming the way we work with AI</w:t>
      </w:r>
      <w:r>
        <w:rPr>
          <w:sz w:val="18"/>
        </w:rPr>
        <w:t xml:space="preserve"> </w:t>
      </w:r>
      <w:r>
        <w:rPr>
          <w:sz w:val="18"/>
        </w:rPr>
        <w:t xml:space="preserve">(Singapore Fintech Festival 2024). 5 November 2024. https://www.dbs.com/artificial-intelligence-machine-learning/artificial-intelligence/singapore-fintech-festival-ai-in-banking-finance.html</w:t>
      </w:r>
    </w:p>
    <w:p>
      <w:pPr>
        <w:pStyle w:val="BodyText"/>
        <w:spacing w:after="60"/>
      </w:pPr>
      <w:r>
        <w:rPr>
          <w:sz w:val="18"/>
        </w:rPr>
        <w:t xml:space="preserve">[212] DBS Bank.</w:t>
      </w:r>
      <w:r>
        <w:rPr>
          <w:sz w:val="18"/>
        </w:rPr>
        <w:t xml:space="preserve"> </w:t>
      </w:r>
      <w:r>
        <w:rPr>
          <w:iCs/>
          <w:i/>
          <w:sz w:val="18"/>
        </w:rPr>
        <w:t xml:space="preserve">DBS’ AI-Powered Digital Transformation</w:t>
      </w:r>
      <w:r>
        <w:rPr>
          <w:sz w:val="18"/>
        </w:rPr>
        <w:t xml:space="preserve"> </w:t>
      </w:r>
      <w:r>
        <w:rPr>
          <w:sz w:val="18"/>
        </w:rPr>
        <w:t xml:space="preserve">(ALAN, ADA, PURE). https://www.dbs.com/artificial-intelligence-machine-learning/artificial-intelligence/dbs-ai-powered-digital-transformation.html</w:t>
      </w:r>
    </w:p>
    <w:p>
      <w:pPr>
        <w:pStyle w:val="BodyText"/>
        <w:spacing w:after="60"/>
      </w:pPr>
      <w:r>
        <w:rPr>
          <w:sz w:val="18"/>
        </w:rPr>
        <w:t xml:space="preserve">[213] Tan, A.</w:t>
      </w:r>
      <w:r>
        <w:rPr>
          <w:sz w:val="18"/>
        </w:rPr>
        <w:t xml:space="preserve"> </w:t>
      </w:r>
      <w:r>
        <w:rPr>
          <w:iCs/>
          <w:i/>
          <w:sz w:val="18"/>
        </w:rPr>
        <w:t xml:space="preserve">DBS rewires operating models for AI reasoning era</w:t>
      </w:r>
      <w:r>
        <w:rPr>
          <w:sz w:val="18"/>
        </w:rPr>
        <w:t xml:space="preserve">. Computer Weekly, 9 March 2026. https://www.computerweekly.com/news/366639844/DBS-rewires-operating-models-for-AI-reasoning-era</w:t>
      </w:r>
    </w:p>
    <w:p>
      <w:pPr>
        <w:pStyle w:val="BodyText"/>
        <w:spacing w:after="60"/>
      </w:pPr>
      <w:r>
        <w:rPr>
          <w:sz w:val="18"/>
        </w:rPr>
        <w:t xml:space="preserve">[214] Forrester.</w:t>
      </w:r>
      <w:r>
        <w:rPr>
          <w:sz w:val="18"/>
        </w:rPr>
        <w:t xml:space="preserve"> </w:t>
      </w:r>
      <w:r>
        <w:rPr>
          <w:iCs/>
          <w:i/>
          <w:sz w:val="18"/>
        </w:rPr>
        <w:t xml:space="preserve">OCBC’s Journey To Becoming A Generative AI Pioneer</w:t>
      </w:r>
      <w:r>
        <w:rPr>
          <w:sz w:val="18"/>
        </w:rPr>
        <w:t xml:space="preserve">. 2025. https://www.forrester.com/blogs/ocbcs-journey-to-becoming-a-generative-ai-pioneer</w:t>
      </w:r>
    </w:p>
    <w:p>
      <w:pPr>
        <w:pStyle w:val="BodyText"/>
        <w:spacing w:after="60"/>
      </w:pPr>
      <w:r>
        <w:rPr>
          <w:sz w:val="18"/>
        </w:rPr>
        <w:t xml:space="preserve">[215] Bank of America.</w:t>
      </w:r>
      <w:r>
        <w:rPr>
          <w:sz w:val="18"/>
        </w:rPr>
        <w:t xml:space="preserve"> </w:t>
      </w:r>
      <w:r>
        <w:rPr>
          <w:iCs/>
          <w:i/>
          <w:sz w:val="18"/>
        </w:rPr>
        <w:t xml:space="preserve">AI Adoption by BofA’s Global Workforce Improves Productivity, Client Service</w:t>
      </w:r>
      <w:r>
        <w:rPr>
          <w:sz w:val="18"/>
        </w:rPr>
        <w:t xml:space="preserve">. Press release, 8 April 2025. https://newsroom.bankofamerica.com/content/newsroom/press-releases/2025/04/ai-adoption-by-bofa-s-global-workforce-improves-productivity–cl.html</w:t>
      </w:r>
    </w:p>
    <w:p>
      <w:pPr>
        <w:pStyle w:val="BodyText"/>
        <w:spacing w:after="60"/>
      </w:pPr>
      <w:r>
        <w:rPr>
          <w:sz w:val="18"/>
        </w:rPr>
        <w:t xml:space="preserve">[216] VentureBeat.</w:t>
      </w:r>
      <w:r>
        <w:rPr>
          <w:sz w:val="18"/>
        </w:rPr>
        <w:t xml:space="preserve"> </w:t>
      </w:r>
      <w:r>
        <w:rPr>
          <w:iCs/>
          <w:i/>
          <w:sz w:val="18"/>
        </w:rPr>
        <w:t xml:space="preserve">Wells Fargo’s AI assistant just crossed 245 million interactions with zero PII to the LLM</w:t>
      </w:r>
      <w:r>
        <w:rPr>
          <w:sz w:val="18"/>
        </w:rPr>
        <w:t xml:space="preserve">. 8 April 2025; American Banker,</w:t>
      </w:r>
      <w:r>
        <w:rPr>
          <w:sz w:val="18"/>
        </w:rPr>
        <w:t xml:space="preserve"> </w:t>
      </w:r>
      <w:r>
        <w:rPr>
          <w:iCs/>
          <w:i/>
          <w:sz w:val="18"/>
        </w:rPr>
        <w:t xml:space="preserve">How Wells Fargo is building agentic AI into its workflows</w:t>
      </w:r>
      <w:r>
        <w:rPr>
          <w:sz w:val="18"/>
        </w:rPr>
        <w:t xml:space="preserve">, 3 November 2025. https://venturebeat.com/ai/wells-fargos-ai-assistant-just-crossed-245-million-interactions-with-zero-humans-in-the-loop-and-zero-pii-to-the-llm</w:t>
      </w:r>
    </w:p>
    <w:p>
      <w:pPr>
        <w:pStyle w:val="BodyText"/>
        <w:spacing w:after="60"/>
      </w:pPr>
      <w:r>
        <w:rPr>
          <w:sz w:val="18"/>
        </w:rPr>
        <w:t xml:space="preserve">[217] CIO.com.</w:t>
      </w:r>
      <w:r>
        <w:rPr>
          <w:sz w:val="18"/>
        </w:rPr>
        <w:t xml:space="preserve"> </w:t>
      </w:r>
      <w:r>
        <w:rPr>
          <w:iCs/>
          <w:i/>
          <w:sz w:val="18"/>
        </w:rPr>
        <w:t xml:space="preserve">How Capital One drives returns on its AI investments</w:t>
      </w:r>
      <w:r>
        <w:rPr>
          <w:sz w:val="18"/>
        </w:rPr>
        <w:t xml:space="preserve">. 11 July 2025; Fortune,</w:t>
      </w:r>
      <w:r>
        <w:rPr>
          <w:sz w:val="18"/>
        </w:rPr>
        <w:t xml:space="preserve"> </w:t>
      </w:r>
      <w:r>
        <w:rPr>
          <w:iCs/>
          <w:i/>
          <w:sz w:val="18"/>
        </w:rPr>
        <w:t xml:space="preserve">Capital One’s agentic AI results</w:t>
      </w:r>
      <w:r>
        <w:rPr>
          <w:sz w:val="18"/>
        </w:rPr>
        <w:t xml:space="preserve">, 15 December 2025. https://www.cio.com/article/4019828/how-capital-one-drives-returns-on-its-ai-investments.html</w:t>
      </w:r>
    </w:p>
    <w:p>
      <w:pPr>
        <w:pStyle w:val="BodyText"/>
        <w:spacing w:after="60"/>
      </w:pPr>
      <w:r>
        <w:rPr>
          <w:sz w:val="18"/>
        </w:rPr>
        <w:t xml:space="preserve">[218] Evident Insights.</w:t>
      </w:r>
      <w:r>
        <w:rPr>
          <w:sz w:val="18"/>
        </w:rPr>
        <w:t xml:space="preserve"> </w:t>
      </w:r>
      <w:r>
        <w:rPr>
          <w:iCs/>
          <w:i/>
          <w:sz w:val="18"/>
        </w:rPr>
        <w:t xml:space="preserve">Evident AI Index, 4th edition</w:t>
      </w:r>
      <w:r>
        <w:rPr>
          <w:sz w:val="18"/>
        </w:rPr>
        <w:t xml:space="preserve"> </w:t>
      </w:r>
      <w:r>
        <w:rPr>
          <w:sz w:val="18"/>
        </w:rPr>
        <w:t xml:space="preserve">(50 largest banks; talent, innovation, leadership, transparency). October 2025. https://evidentinsights.com/ai-index/</w:t>
      </w:r>
    </w:p>
    <w:p>
      <w:pPr>
        <w:pStyle w:val="BodyText"/>
        <w:spacing w:after="60"/>
      </w:pPr>
      <w:r>
        <w:rPr>
          <w:sz w:val="18"/>
        </w:rPr>
        <w:t xml:space="preserve">[219] Ramel, D.</w:t>
      </w:r>
      <w:r>
        <w:rPr>
          <w:sz w:val="18"/>
        </w:rPr>
        <w:t xml:space="preserve"> </w:t>
      </w:r>
      <w:r>
        <w:rPr>
          <w:iCs/>
          <w:i/>
          <w:sz w:val="18"/>
        </w:rPr>
        <w:t xml:space="preserve">GitHub introduces Agent HQ to orchestrate any agent, any way you work</w:t>
      </w:r>
      <w:r>
        <w:rPr>
          <w:sz w:val="18"/>
        </w:rPr>
        <w:t xml:space="preserve">. Visual Studio Magazine, 28 October 2025. https://visualstudiomagazine.com/articles/2025/10/28/github-introduces-agent-hq-to-orchestrate-any-agent-any-way-you-work.aspx</w:t>
      </w:r>
    </w:p>
    <w:p>
      <w:pPr>
        <w:pStyle w:val="BodyText"/>
        <w:spacing w:after="60"/>
      </w:pPr>
      <w:r>
        <w:rPr>
          <w:sz w:val="18"/>
        </w:rPr>
        <w:t xml:space="preserve">[220] AWS DevOps Blog.</w:t>
      </w:r>
      <w:r>
        <w:rPr>
          <w:sz w:val="18"/>
        </w:rPr>
        <w:t xml:space="preserve"> </w:t>
      </w:r>
      <w:r>
        <w:rPr>
          <w:iCs/>
          <w:i/>
          <w:sz w:val="18"/>
        </w:rPr>
        <w:t xml:space="preserve">Amazon Q Developer just reached a $260 million milestone</w:t>
      </w:r>
      <w:r>
        <w:rPr>
          <w:sz w:val="18"/>
        </w:rPr>
        <w:t xml:space="preserve"> </w:t>
      </w:r>
      <w:r>
        <w:rPr>
          <w:sz w:val="18"/>
        </w:rPr>
        <w:t xml:space="preserve">(Java upgrades; 4,500 developer-years). 1 August 2024. https://aws.amazon.com/blogs/devops/amazon-q-developer-just-reached-a-260-million-dollar-milestone</w:t>
      </w:r>
    </w:p>
    <w:p>
      <w:pPr>
        <w:pStyle w:val="BodyText"/>
        <w:spacing w:after="60"/>
      </w:pPr>
      <w:r>
        <w:rPr>
          <w:sz w:val="18"/>
        </w:rPr>
        <w:t xml:space="preserve">[221] Jassy, A.</w:t>
      </w:r>
      <w:r>
        <w:rPr>
          <w:sz w:val="18"/>
        </w:rPr>
        <w:t xml:space="preserve"> </w:t>
      </w:r>
      <w:r>
        <w:rPr>
          <w:iCs/>
          <w:i/>
          <w:sz w:val="18"/>
        </w:rPr>
        <w:t xml:space="preserve">Message from CEO Andy Jassy: Some thoughts on Generative AI</w:t>
      </w:r>
      <w:r>
        <w:rPr>
          <w:sz w:val="18"/>
        </w:rPr>
        <w:t xml:space="preserve">. Amazon, 17 June 2025. https://www.aboutamazon.com/news/company-news/amazon-ceo-andy-jassy-on-generative-ai</w:t>
      </w:r>
    </w:p>
    <w:p>
      <w:pPr>
        <w:pStyle w:val="BodyText"/>
        <w:spacing w:after="60"/>
      </w:pPr>
      <w:r>
        <w:rPr>
          <w:sz w:val="18"/>
        </w:rPr>
        <w:t xml:space="preserve">[222] Anthropic.</w:t>
      </w:r>
      <w:r>
        <w:rPr>
          <w:sz w:val="18"/>
        </w:rPr>
        <w:t xml:space="preserve"> </w:t>
      </w:r>
      <w:r>
        <w:rPr>
          <w:iCs/>
          <w:i/>
          <w:sz w:val="18"/>
        </w:rPr>
        <w:t xml:space="preserve">How AI Is Transforming Work at Anthropic</w:t>
      </w:r>
      <w:r>
        <w:rPr>
          <w:sz w:val="18"/>
        </w:rPr>
        <w:t xml:space="preserve">. 2 December 2025. https://www.anthropic.com/research/how-ai-is-transforming-work-at-anthropic</w:t>
      </w:r>
    </w:p>
    <w:p>
      <w:pPr>
        <w:pStyle w:val="BodyText"/>
        <w:spacing w:after="60"/>
      </w:pPr>
      <w:r>
        <w:rPr>
          <w:sz w:val="18"/>
        </w:rPr>
        <w:t xml:space="preserve">[223] Tom’s Hardware.</w:t>
      </w:r>
      <w:r>
        <w:rPr>
          <w:sz w:val="18"/>
        </w:rPr>
        <w:t xml:space="preserve"> </w:t>
      </w:r>
      <w:r>
        <w:rPr>
          <w:iCs/>
          <w:i/>
          <w:sz w:val="18"/>
        </w:rPr>
        <w:t xml:space="preserve">Shopify CEO: teams must prove AI can’t do a task before asking for new hires</w:t>
      </w:r>
      <w:r>
        <w:rPr>
          <w:sz w:val="18"/>
        </w:rPr>
        <w:t xml:space="preserve"> </w:t>
      </w:r>
      <w:r>
        <w:rPr>
          <w:sz w:val="18"/>
        </w:rPr>
        <w:t xml:space="preserve">(Lütke memo). 7 April 2025. https://www.tomshardware.com/tech-industry/artificial-intelligence/shopify-ceo-teams-must-prove-ai-cant-do-a-task-before-asking-for-new-hires-resources</w:t>
      </w:r>
    </w:p>
    <w:p>
      <w:pPr>
        <w:pStyle w:val="BodyText"/>
        <w:spacing w:after="60"/>
      </w:pPr>
      <w:r>
        <w:rPr>
          <w:sz w:val="18"/>
        </w:rPr>
        <w:t xml:space="preserve">[224] TechRadar,</w:t>
      </w:r>
      <w:r>
        <w:rPr>
          <w:sz w:val="18"/>
        </w:rPr>
        <w:t xml:space="preserve"> </w:t>
      </w:r>
      <w:r>
        <w:rPr>
          <w:iCs/>
          <w:i/>
          <w:sz w:val="18"/>
        </w:rPr>
        <w:t xml:space="preserve">Salesforce CEO says no plans to hire more engineers as AI is doing a great job</w:t>
      </w:r>
      <w:r>
        <w:rPr>
          <w:sz w:val="18"/>
        </w:rPr>
        <w:t xml:space="preserve">, 28 February 2025; Fortune,</w:t>
      </w:r>
      <w:r>
        <w:rPr>
          <w:sz w:val="18"/>
        </w:rPr>
        <w:t xml:space="preserve"> </w:t>
      </w:r>
      <w:r>
        <w:rPr>
          <w:iCs/>
          <w:i/>
          <w:sz w:val="18"/>
        </w:rPr>
        <w:t xml:space="preserve">Benioff on agents, jobs and customer service headcount</w:t>
      </w:r>
      <w:r>
        <w:rPr>
          <w:sz w:val="18"/>
        </w:rPr>
        <w:t xml:space="preserve">, 2 September 2025. https://www.techradar.com/pro/salesforce-ceo-says-no-plans-to-hire-more-engineers-as-ai-is-doing-a-great-job</w:t>
      </w:r>
    </w:p>
    <w:p>
      <w:pPr>
        <w:pStyle w:val="BodyText"/>
        <w:spacing w:after="60"/>
      </w:pPr>
      <w:r>
        <w:rPr>
          <w:sz w:val="18"/>
        </w:rPr>
        <w:t xml:space="preserve">[225] Fortune.</w:t>
      </w:r>
      <w:r>
        <w:rPr>
          <w:sz w:val="18"/>
        </w:rPr>
        <w:t xml:space="preserve"> </w:t>
      </w:r>
      <w:r>
        <w:rPr>
          <w:iCs/>
          <w:i/>
          <w:sz w:val="18"/>
        </w:rPr>
        <w:t xml:space="preserve">Klarna: humans return after AI customer-service push</w:t>
      </w:r>
      <w:r>
        <w:rPr>
          <w:sz w:val="18"/>
        </w:rPr>
        <w:t xml:space="preserve"> </w:t>
      </w:r>
      <w:r>
        <w:rPr>
          <w:sz w:val="18"/>
        </w:rPr>
        <w:t xml:space="preserve">(Siemiatkowski interview). 9 May 2025; CX Dive, 9 May 2025. https://www.fortune.com/2025/05/09/klarna-ai-humans-return-on-investment</w:t>
      </w:r>
    </w:p>
    <w:p>
      <w:pPr>
        <w:pStyle w:val="BodyText"/>
        <w:spacing w:after="60"/>
      </w:pPr>
      <w:r>
        <w:rPr>
          <w:sz w:val="18"/>
        </w:rPr>
        <w:t xml:space="preserve">[226] de Bruin, T., Rosemann, M., Freeze, R., Kulkarni, U.</w:t>
      </w:r>
      <w:r>
        <w:rPr>
          <w:sz w:val="18"/>
        </w:rPr>
        <w:t xml:space="preserve"> </w:t>
      </w:r>
      <w:r>
        <w:rPr>
          <w:iCs/>
          <w:i/>
          <w:sz w:val="18"/>
        </w:rPr>
        <w:t xml:space="preserve">Understanding the Main Phases of Developing a Maturity Assessment Model</w:t>
      </w:r>
      <w:r>
        <w:rPr>
          <w:sz w:val="18"/>
        </w:rPr>
        <w:t xml:space="preserve">. Proc. 16th Australasian Conference on Information Systems (ACIS 2005). https://aisel.aisnet.org/acis2005/109/</w:t>
      </w:r>
    </w:p>
    <w:p>
      <w:pPr>
        <w:pStyle w:val="BodyText"/>
        <w:spacing w:after="60"/>
      </w:pPr>
      <w:r>
        <w:rPr>
          <w:sz w:val="18"/>
        </w:rPr>
        <w:t xml:space="preserve">[227] Mikalef, P., Gupta, M.</w:t>
      </w:r>
      <w:r>
        <w:rPr>
          <w:sz w:val="18"/>
        </w:rPr>
        <w:t xml:space="preserve"> </w:t>
      </w:r>
      <w:r>
        <w:rPr>
          <w:iCs/>
          <w:i/>
          <w:sz w:val="18"/>
        </w:rPr>
        <w:t xml:space="preserve">Artificial intelligence capability: Conceptualization, measurement calibration, and empirical study on its impact on organizational creativity and firm performance</w:t>
      </w:r>
      <w:r>
        <w:rPr>
          <w:sz w:val="18"/>
        </w:rPr>
        <w:t xml:space="preserve">. Information &amp; Management 58(3):103434, 2021. https://www.sciencedirect.com/science/article/pii/S0378720621000082</w:t>
      </w:r>
    </w:p>
    <w:p>
      <w:pPr>
        <w:pStyle w:val="BodyText"/>
        <w:spacing w:after="60"/>
      </w:pPr>
      <w:r>
        <w:rPr>
          <w:sz w:val="18"/>
        </w:rPr>
        <w:t xml:space="preserve">[228] Uren, V., Edwards, J. S.</w:t>
      </w:r>
      <w:r>
        <w:rPr>
          <w:sz w:val="18"/>
        </w:rPr>
        <w:t xml:space="preserve"> </w:t>
      </w:r>
      <w:r>
        <w:rPr>
          <w:iCs/>
          <w:i/>
          <w:sz w:val="18"/>
        </w:rPr>
        <w:t xml:space="preserve">Technology readiness and the organizational journey towards AI adoption: An empirical study</w:t>
      </w:r>
      <w:r>
        <w:rPr>
          <w:sz w:val="18"/>
        </w:rPr>
        <w:t xml:space="preserve">. International Journal of Information Management 68:102588, 2023. https://www.sciencedirect.com/science/article/pii/S0268401222001220</w:t>
      </w:r>
    </w:p>
    <w:p>
      <w:pPr>
        <w:pStyle w:val="BodyText"/>
        <w:spacing w:after="60"/>
      </w:pPr>
      <w:r>
        <w:rPr>
          <w:sz w:val="18"/>
        </w:rPr>
        <w:t xml:space="preserve">[229] Tehrani, A. N., Ray, S., Roy, S. K., Gruner, R. L., Appio, F. P.</w:t>
      </w:r>
      <w:r>
        <w:rPr>
          <w:sz w:val="18"/>
        </w:rPr>
        <w:t xml:space="preserve"> </w:t>
      </w:r>
      <w:r>
        <w:rPr>
          <w:iCs/>
          <w:i/>
          <w:sz w:val="18"/>
        </w:rPr>
        <w:t xml:space="preserve">Decoding AI readiness: An in-depth analysis of key dimensions in multinational corporations</w:t>
      </w:r>
      <w:r>
        <w:rPr>
          <w:sz w:val="18"/>
        </w:rPr>
        <w:t xml:space="preserve">. Technovation 131:102948, 2024. https://www.sciencedirect.com/science/article/abs/pii/S0166497223002596</w:t>
      </w:r>
    </w:p>
    <w:p>
      <w:pPr>
        <w:pStyle w:val="BodyText"/>
        <w:spacing w:after="60"/>
      </w:pPr>
      <w:r>
        <w:rPr>
          <w:sz w:val="18"/>
        </w:rPr>
        <w:t xml:space="preserve">[230] Hirtranusi, S. A., Ranti, B., Nugroho, W. S., Jatmiko, W.</w:t>
      </w:r>
      <w:r>
        <w:rPr>
          <w:sz w:val="18"/>
        </w:rPr>
        <w:t xml:space="preserve"> </w:t>
      </w:r>
      <w:r>
        <w:rPr>
          <w:iCs/>
          <w:i/>
          <w:sz w:val="18"/>
        </w:rPr>
        <w:t xml:space="preserve">A Systematic Literature Review on Organizational Readiness for AI Adoption Based on the TOE Framework</w:t>
      </w:r>
      <w:r>
        <w:rPr>
          <w:sz w:val="18"/>
        </w:rPr>
        <w:t xml:space="preserve">. International Journal of Advanced Computer Science and Applications 17(1), 2026. https://thesai.org/Publications/ViewPaper?Volume=17&amp;Issue=1&amp;Code=IJACSA&amp;SerialNo=47</w:t>
      </w:r>
    </w:p>
    <w:p>
      <w:pPr>
        <w:pStyle w:val="BodyText"/>
        <w:spacing w:after="60"/>
      </w:pPr>
      <w:r>
        <w:rPr>
          <w:sz w:val="18"/>
        </w:rPr>
        <w:t xml:space="preserve">[231] Alsheibani, S., Cheung, Y., Messom, C.</w:t>
      </w:r>
      <w:r>
        <w:rPr>
          <w:sz w:val="18"/>
        </w:rPr>
        <w:t xml:space="preserve"> </w:t>
      </w:r>
      <w:r>
        <w:rPr>
          <w:iCs/>
          <w:i/>
          <w:sz w:val="18"/>
        </w:rPr>
        <w:t xml:space="preserve">Artificial Intelligence Adoption: AI-readiness at Firm-Level</w:t>
      </w:r>
      <w:r>
        <w:rPr>
          <w:sz w:val="18"/>
        </w:rPr>
        <w:t xml:space="preserve">. Proc. PACIS 2018, paper 37. https://aisel.aisnet.org/pacis2018/37/</w:t>
      </w:r>
    </w:p>
    <w:p>
      <w:pPr>
        <w:pStyle w:val="BodyText"/>
        <w:spacing w:after="60"/>
      </w:pPr>
      <w:r>
        <w:rPr>
          <w:sz w:val="18"/>
        </w:rPr>
        <w:t xml:space="preserve">[232] Hamm, P., Klesel, M.</w:t>
      </w:r>
      <w:r>
        <w:rPr>
          <w:sz w:val="18"/>
        </w:rPr>
        <w:t xml:space="preserve"> </w:t>
      </w:r>
      <w:r>
        <w:rPr>
          <w:iCs/>
          <w:i/>
          <w:sz w:val="18"/>
        </w:rPr>
        <w:t xml:space="preserve">Success Factors for the Adoption of Artificial Intelligence in Organizations: A Literature Review</w:t>
      </w:r>
      <w:r>
        <w:rPr>
          <w:sz w:val="18"/>
        </w:rPr>
        <w:t xml:space="preserve">. Proc. AMCIS 2021. https://aisel.aisnet.org/amcis2021/art_intel_sem_tech_intelligent_systems/art_intel_sem_tech_intelligent_systems/10/</w:t>
      </w:r>
    </w:p>
    <w:p>
      <w:pPr>
        <w:pStyle w:val="BodyText"/>
        <w:spacing w:after="60"/>
      </w:pPr>
      <w:r>
        <w:rPr>
          <w:sz w:val="18"/>
        </w:rPr>
        <w:t xml:space="preserve">[233] Holmström, J.</w:t>
      </w:r>
      <w:r>
        <w:rPr>
          <w:sz w:val="18"/>
        </w:rPr>
        <w:t xml:space="preserve"> </w:t>
      </w:r>
      <w:r>
        <w:rPr>
          <w:iCs/>
          <w:i/>
          <w:sz w:val="18"/>
        </w:rPr>
        <w:t xml:space="preserve">From AI to digital transformation: The AI readiness framework</w:t>
      </w:r>
      <w:r>
        <w:rPr>
          <w:sz w:val="18"/>
        </w:rPr>
        <w:t xml:space="preserve">. Business Horizons 65(3):329-339, 2022. https://www.sciencedirect.com/science/article/pii/S0007681321000744</w:t>
      </w:r>
    </w:p>
    <w:p>
      <w:pPr>
        <w:pStyle w:val="BodyText"/>
        <w:spacing w:after="60"/>
      </w:pPr>
      <w:r>
        <w:rPr>
          <w:sz w:val="18"/>
        </w:rPr>
        <w:t xml:space="preserve">[234] Lichtenthaler, U.</w:t>
      </w:r>
      <w:r>
        <w:rPr>
          <w:sz w:val="18"/>
        </w:rPr>
        <w:t xml:space="preserve"> </w:t>
      </w:r>
      <w:r>
        <w:rPr>
          <w:iCs/>
          <w:i/>
          <w:sz w:val="18"/>
        </w:rPr>
        <w:t xml:space="preserve">Five Maturity Levels of Managing AI: From Isolated Ignorance to Integrated Intelligence</w:t>
      </w:r>
      <w:r>
        <w:rPr>
          <w:sz w:val="18"/>
        </w:rPr>
        <w:t xml:space="preserve">. Journal of Innovation Management 8(1):39-50, 2020. https://journalsojs3.fe.up.pt/index.php/jim/article/view/2183-0606_008.001_0005</w:t>
      </w:r>
    </w:p>
    <w:p>
      <w:pPr>
        <w:pStyle w:val="BodyText"/>
        <w:spacing w:after="60"/>
      </w:pPr>
      <w:r>
        <w:rPr>
          <w:sz w:val="18"/>
        </w:rPr>
        <w:t xml:space="preserve">[235] Enholm, I. M., Papagiannidis, E., Mikalef, P., Krogstie, J.</w:t>
      </w:r>
      <w:r>
        <w:rPr>
          <w:sz w:val="18"/>
        </w:rPr>
        <w:t xml:space="preserve"> </w:t>
      </w:r>
      <w:r>
        <w:rPr>
          <w:iCs/>
          <w:i/>
          <w:sz w:val="18"/>
        </w:rPr>
        <w:t xml:space="preserve">Artificial Intelligence and Business Value: a Literature Review</w:t>
      </w:r>
      <w:r>
        <w:rPr>
          <w:sz w:val="18"/>
        </w:rPr>
        <w:t xml:space="preserve">. Information Systems Frontiers 24(5):1709-1734, 2022. https://link.springer.com/article/10.1007/s10796-021-10186-w</w:t>
      </w:r>
    </w:p>
    <w:p>
      <w:pPr>
        <w:pStyle w:val="BodyText"/>
        <w:spacing w:after="60"/>
      </w:pPr>
      <w:r>
        <w:rPr>
          <w:sz w:val="18"/>
        </w:rPr>
        <w:t xml:space="preserve">[236] Atlassian.</w:t>
      </w:r>
      <w:r>
        <w:rPr>
          <w:sz w:val="18"/>
        </w:rPr>
        <w:t xml:space="preserve"> </w:t>
      </w:r>
      <w:r>
        <w:rPr>
          <w:iCs/>
          <w:i/>
          <w:sz w:val="18"/>
        </w:rPr>
        <w:t xml:space="preserve">State of Developer Experience Report 2025</w:t>
      </w:r>
      <w:r>
        <w:rPr>
          <w:sz w:val="18"/>
        </w:rPr>
        <w:t xml:space="preserve">. 9 July 2025. https://www.atlassian.com/blog/developer/developer-experience-report-2025</w:t>
      </w:r>
    </w:p>
    <w:p>
      <w:pPr>
        <w:pStyle w:val="BodyText"/>
        <w:spacing w:after="60"/>
      </w:pPr>
      <w:r>
        <w:rPr>
          <w:sz w:val="18"/>
        </w:rPr>
        <w:t xml:space="preserve">[237] Anthropic.</w:t>
      </w:r>
      <w:r>
        <w:rPr>
          <w:sz w:val="18"/>
        </w:rPr>
        <w:t xml:space="preserve"> </w:t>
      </w:r>
      <w:r>
        <w:rPr>
          <w:iCs/>
          <w:i/>
          <w:sz w:val="18"/>
        </w:rPr>
        <w:t xml:space="preserve">Anthropic Economic Index, March 2026 report: Learning curves</w:t>
      </w:r>
      <w:r>
        <w:rPr>
          <w:sz w:val="18"/>
        </w:rPr>
        <w:t xml:space="preserve">. 24 March 2026. https://www.anthropic.com/research/economic-index-march-2026-report</w:t>
      </w:r>
    </w:p>
    <w:p>
      <w:pPr>
        <w:pStyle w:val="BodyText"/>
        <w:spacing w:after="60"/>
      </w:pPr>
      <w:r>
        <w:rPr>
          <w:sz w:val="18"/>
        </w:rPr>
        <w:t xml:space="preserve">[238] Hassan, A. E., Oliva, G. A., Lin, D., Chen, B., Jiang, Z. M.</w:t>
      </w:r>
      <w:r>
        <w:rPr>
          <w:sz w:val="18"/>
        </w:rPr>
        <w:t xml:space="preserve"> </w:t>
      </w:r>
      <w:r>
        <w:rPr>
          <w:iCs/>
          <w:i/>
          <w:sz w:val="18"/>
        </w:rPr>
        <w:t xml:space="preserve">Towards AI-Native Software Engineering (SE 3.0): A Vision and a Challenge Roadmap</w:t>
      </w:r>
      <w:r>
        <w:rPr>
          <w:sz w:val="18"/>
        </w:rPr>
        <w:t xml:space="preserve">. arXiv:2410.06107, 2024 (rev. January 2026). https://arxiv.org/abs/2410.06107</w:t>
      </w:r>
    </w:p>
    <w:bookmarkEnd w:id="56"/>
    <w:sectPr>
      <w:footerReference w:type="default" r:id="rId9"/>
      <w:pgSz w:w="11906" w:h="16838"/>
      <w:pgMar w:left="1247" w:right="124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791"/>
        <w:sz w:val="16"/>
      </w:rPr>
      <w:t>Assessing AI Maturity in the Agentic Era · Working paper v1.0 · September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eastAsia="Calibri" w:cs="Calibri"/>
      <w:sz w:val="21"/>
    </w:rPr>
  </w:style>
  <w:style w:styleId="BodyText" w:type="paragraph">
    <w:name w:val="Body Text"/>
    <w:basedOn w:val="Normal"/>
    <w:link w:val="BodyTextChar"/>
    <w:pPr>
      <w:spacing w:after="120" w:before="180" w:line="276" w:lineRule="auto"/>
    </w:pPr>
    <w:qFormat/>
    <w:rPr>
      <w:rFonts w:ascii="Calibri" w:hAnsi="Calibri" w:eastAsia="Calibri" w:cs="Calibri"/>
      <w:sz w:val="21"/>
    </w:rPr>
  </w:style>
  <w:style w:customStyle="1" w:styleId="FirstParagraph" w:type="paragraph">
    <w:name w:val="First Paragraph"/>
    <w:basedOn w:val="BodyText"/>
    <w:next w:val="BodyText"/>
    <w:qFormat/>
    <w:pPr>
      <w:spacing w:after="120" w:line="276" w:lineRule="auto"/>
    </w:pPr>
    <w:rPr>
      <w:rFonts w:ascii="Calibri" w:hAnsi="Calibri" w:eastAsia="Calibri" w:cs="Calibri"/>
      <w:sz w:val="21"/>
    </w:rPr>
  </w:style>
  <w:style w:customStyle="1" w:styleId="Compact" w:type="paragraph">
    <w:name w:val="Compact"/>
    <w:basedOn w:val="BodyText"/>
    <w:qFormat/>
    <w:pPr>
      <w:spacing w:after="120" w:before="36" w:line="276" w:lineRule="auto"/>
    </w:pPr>
    <w:rPr>
      <w:rFonts w:ascii="Calibri" w:hAnsi="Calibri" w:eastAsia="Calibri" w:cs="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Georgia" w:hAnsi="Georgia" w:eastAsia="Georgia" w:cs="Georgia"/>
      <w:b/>
      <w:bCs/>
      <w:color w:val="18232C"/>
      <w:sz w:val="48"/>
      <w:szCs w:val="36"/>
    </w:rPr>
  </w:style>
  <w:style w:styleId="Subtitle" w:type="paragraph">
    <w:name w:val="Subtitle"/>
    <w:basedOn w:val="Title"/>
    <w:next w:val="BodyText"/>
    <w:qFormat/>
    <w:pPr>
      <w:keepNext/>
      <w:keepLines/>
      <w:spacing w:after="240" w:before="240"/>
      <w:jc w:val="center"/>
    </w:pPr>
    <w:rPr>
      <w:rFonts w:ascii="Georgia" w:hAnsi="Georgia" w:eastAsia="Georgia" w:cs="Georgia"/>
      <w:b w:val="0"/>
      <w:i/>
      <w:color w:val="4A5762"/>
      <w:sz w:val="28"/>
      <w:szCs w:val="30"/>
    </w:rPr>
  </w:style>
  <w:style w:customStyle="1" w:styleId="Author" w:type="paragraph">
    <w:name w:val="Author"/>
    <w:next w:val="BodyText"/>
    <w:qFormat/>
    <w:pPr>
      <w:keepNext/>
      <w:keepLines/>
      <w:jc w:val="center"/>
    </w:pPr>
    <w:rPr>
      <w:rFonts w:ascii="Calibri" w:hAnsi="Calibri" w:eastAsia="Calibri" w:cs="Calibri"/>
      <w:b w:val="0"/>
      <w:color w:val="4A5762"/>
      <w:sz w:val="19"/>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120" w:before="100" w:line="276" w:lineRule="auto"/>
    </w:pPr>
    <w:rPr>
      <w:rFonts w:ascii="Calibri" w:hAnsi="Calibri" w:eastAsia="Calibri" w:cs="Calibri"/>
      <w:sz w:val="21"/>
      <w:szCs w:val="20"/>
    </w:rPr>
  </w:style>
  <w:style w:styleId="Bibliography" w:type="paragraph">
    <w:name w:val="Bibliography"/>
    <w:basedOn w:val="Normal"/>
    <w:next w:val="Bibliography"/>
    <w:qFormat/>
    <w:pPr>
      <w:spacing w:after="120" w:line="276" w:lineRule="auto"/>
    </w:pPr>
    <w:rPr>
      <w:rFonts w:ascii="Calibri" w:hAnsi="Calibri" w:eastAsia="Calibri" w:cs="Calibri"/>
      <w:sz w:val="21"/>
    </w:rPr>
  </w:style>
  <w:style w:styleId="Heading1" w:type="paragraph">
    <w:name w:val="Heading 1"/>
    <w:basedOn w:val="Normal"/>
    <w:next w:val="BodyText"/>
    <w:uiPriority w:val="9"/>
    <w:qFormat/>
    <w:pPr>
      <w:keepNext/>
      <w:keepLines/>
      <w:spacing w:after="120" w:before="360"/>
      <w:outlineLvl w:val="0"/>
    </w:pPr>
    <w:rPr>
      <w:rFonts w:asciiTheme="majorHAnsi" w:cstheme="majorBidi" w:eastAsiaTheme="majorEastAsia" w:hAnsiTheme="majorHAnsi" w:ascii="Georgia" w:hAnsi="Georgia" w:eastAsia="Georgia" w:cs="Georgia"/>
      <w:b/>
      <w:bCs/>
      <w:color w:val="0E6B6E"/>
      <w:sz w:val="36"/>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Georgia" w:hAnsi="Georgia" w:eastAsia="Georgia" w:cs="Georgia"/>
      <w:b/>
      <w:bCs/>
      <w:color w:val="18232C"/>
      <w:sz w:val="28"/>
      <w:szCs w:val="28"/>
    </w:rPr>
  </w:style>
  <w:style w:styleId="Heading3" w:type="paragraph">
    <w:name w:val="Heading 3"/>
    <w:basedOn w:val="Normal"/>
    <w:next w:val="BodyText"/>
    <w:uiPriority w:val="9"/>
    <w:unhideWhenUsed/>
    <w:qFormat/>
    <w:pPr>
      <w:keepNext/>
      <w:keepLines/>
      <w:spacing w:after="120" w:before="240"/>
      <w:outlineLvl w:val="2"/>
    </w:pPr>
    <w:rPr>
      <w:rFonts w:asciiTheme="majorHAnsi" w:cstheme="majorBidi" w:eastAsiaTheme="majorEastAsia" w:hAnsiTheme="majorHAnsi" w:ascii="Georgia" w:hAnsi="Georgia" w:eastAsia="Georgia" w:cs="Georgia"/>
      <w:b/>
      <w:bCs/>
      <w:color w:val="18232C"/>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Georgia" w:hAnsi="Georgia" w:eastAsia="Georgia" w:cs="Georgia"/>
      <w:b w:val="0"/>
      <w:i/>
      <w:color w:val="18232C"/>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Assessing AI Maturity in the Agentic Era</dc:title>
  <dc:creator>Working paper, version 1.0. September 2026. Written from the standpoint of an AI/ML researcher and Distinguished Engineer in a large technology organization operating under regulatory and compliance obligations. All sources are public.</dc:creator>
  <cp:keywords/>
  <dcterms:created xsi:type="dcterms:W3CDTF">2026-09-16T03:41:08Z</dcterms:created>
  <dcterms:modified xsi:type="dcterms:W3CDTF">2026-09-16T03:41:08Z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Measuring AI effectiveness and readiness across the enterprise and the engineering estate</vt:lpwstr>
  </property>
</Properties>
</file>