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pPr>
        <w:pStyle w:val="Title"/>
        <w:spacing w:line="240" w:lineRule="auto"/>
        <w:rPr>
          <w:rFonts w:ascii="Helvetica Neue Light" w:cs="Helvetica Neue Light" w:eastAsia="Helvetica Neue Light" w:hAnsi="Helvetica Neue Light"/>
          <w:b w:val="0"/>
          <w:bCs w:val="0"/>
          <w:color w:val="000000"/>
          <w:sz w:val="72"/>
          <w:szCs w:val="72"/>
        </w:rPr>
      </w:pPr>
      <w:r>
        <w:rPr>
          <w:rFonts w:ascii="Helvetica Neue Light" w:cs="Helvetica Neue Light" w:eastAsia="Helvetica Neue Light" w:hAnsi="Helvetica Neue Light"/>
          <w:b w:val="0"/>
          <w:bCs w:val="0"/>
          <w:color w:val="000000"/>
          <w:sz w:val="72"/>
          <w:szCs w:val="72"/>
          <w:rtl w:val="0"/>
        </w:rPr>
        <w:t xml:space="preserve">AI maturity</w:t>
      </w:r>
    </w:p>
    <w:p>
      <w:pPr>
        <w:pStyle w:val="Title"/>
        <w:spacing w:line="240" w:lineRule="auto"/>
        <w:rPr>
          <w:rFonts w:ascii="Helvetica Neue" w:cs="Helvetica Neue" w:eastAsia="Helvetica Neue" w:hAnsi="Helvetica Neue"/>
          <w:sz w:val="72"/>
          <w:szCs w:val="72"/>
          <w:color w:val="000000"/>
        </w:rPr>
      </w:pPr>
      <w:r>
        <w:rPr>
          <w:rFonts w:ascii="Helvetica Neue" w:cs="Helvetica Neue" w:eastAsia="Helvetica Neue" w:hAnsi="Helvetica Neue"/>
          <w:sz w:val="72"/>
          <w:szCs w:val="72"/>
          <w:rtl w:val="0"/>
          <w:color w:val="000000"/>
        </w:rPr>
        <w:t xml:space="preserve">Assessing readiness</w:t>
        <w:br/>
        <w:t xml:space="preserve">and effectiveness</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pPr>
              <w:pStyle w:val="Heading3"/>
              <w:rPr/>
            </w:pPr>
            <w:r>
              <w:rPr>
                <w:rtl w:val="0"/>
              </w:rPr>
              <w:t xml:space="preserve">DOCUMENT</w:t>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Research paper</w:t>
            </w:r>
          </w:p>
        </w:tc>
        <w:tc>
          <w:tcPr/>
          <w:p w14:paraId="00000017">
            <w:pPr>
              <w:rPr>
                <w:rFonts w:ascii="Helvetica Neue" w:cs="Helvetica Neue" w:eastAsia="Helvetica Neue" w:hAnsi="Helvetica Neue"/>
              </w:rPr>
            </w:pPr>
            <w:r>
              <w:rPr>
                <w:rtl w:val="0"/>
              </w:rPr>
            </w:r>
          </w:p>
        </w:tc>
        <w:tc>
          <w:tcPr/>
          <w:p>
            <w:pPr>
              <w:pStyle w:val="Heading3"/>
              <w:rPr/>
            </w:pPr>
            <w:r>
              <w:rPr>
                <w:rtl w:val="0"/>
              </w:rPr>
              <w:t xml:space="preserve">AUDIENCE</w:t>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Technology and business leaders</w:t>
            </w:r>
          </w:p>
        </w:tc>
        <w:tc>
          <w:tcPr/>
          <w:p w14:paraId="0000001A">
            <w:pPr>
              <w:rPr>
                <w:rFonts w:ascii="Helvetica Neue" w:cs="Helvetica Neue" w:eastAsia="Helvetica Neue" w:hAnsi="Helvetica Neue"/>
              </w:rPr>
            </w:pPr>
            <w:r>
              <w:rPr>
                <w:rtl w:val="0"/>
              </w:rPr>
            </w:r>
          </w:p>
        </w:tc>
        <w:tc>
          <w:tcPr/>
          <w:p>
            <w:pPr>
              <w:pStyle w:val="Heading3"/>
              <w:rPr/>
            </w:pPr>
            <w:r>
              <w:rPr>
                <w:rtl w:val="0"/>
              </w:rPr>
              <w:t xml:space="preserve">DATE</w:t>
            </w:r>
          </w:p>
          <w:p>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15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Perspective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AI and ML research and enterprise engineering</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Evidence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34 research papers and primary-source references</w:t>
            </w:r>
          </w:p>
        </w:tc>
      </w:tr>
      <w:tr>
        <w:trPr>
          <w:cantSplit w:val="1"/>
          <w:tblHeader w:val="0"/>
        </w:trPr>
        <w:tc>
          <w:tcPr>
            <w:shd w:fill="cfe2f3"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Coverage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Readiness, effectiveness, agent context and governance</w:t>
            </w:r>
          </w:p>
        </w:tc>
      </w:tr>
      <w:tr>
        <w:trPr>
          <w:cantSplit w:val="1"/>
          <w:tblHeader w:val="0"/>
        </w:trPr>
        <w:tc>
          <w:tcPr>
            <w:shd w:fill="cfe2f3"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Purpose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Assess capabilities and make workflow deployment decisions</w:t>
            </w:r>
          </w:p>
        </w:tc>
      </w:tr>
    </w:tbl>
    <w:p>
      <w:pPr>
        <w:spacing w:after="100" w:line="280" w:lineRule="auto" w:before="160"/>
        <w:jc w:val="left"/>
        <w:rPr>
          <w:rFonts w:ascii="Helvetica Neue" w:cs="Helvetica Neue" w:eastAsia="Helvetica Neue" w:hAnsi="Helvetica Neue"/>
        </w:rPr>
        <w:pStyle w:val="Heading1"/>
        <w:outlineLvl w:val="0"/>
        <w:keepNext w:val="1"/>
        <w:keepLines w:val="1"/>
        <w:pageBreakBefore w:val="1"/>
      </w:pPr>
      <w:bookmarkStart w:id="1001" w:name="abstract"/>
      <w:r>
        <w:rPr>
          <w:rFonts w:ascii="Helvetica Neue" w:cs="Helvetica Neue" w:eastAsia="Helvetica Neue" w:hAnsi="Helvetica Neue"/>
          <w:color w:val="000000"/>
          <w:rtl w:val="0"/>
          <w:b w:val="1"/>
          <w:sz w:val="27"/>
        </w:rPr>
        <w:t xml:space="preserve">Abstract</w:t>
      </w:r>
      <w:bookmarkEnd w:id="1001"/>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AI maturity should be assessed as an organization's demonstrated ability to select, deploy, operate, and improve AI-enabled workflows that produce worthwhile outcomes under explicit constraints. Readiness is specific to an intended deployment; effectiveness is an observed change in outcomes; maturity is the repeatability of the capabilities that connect them. Confusing these constructs produces misleading rankings, premature automation, and business cases built on activity rather than value. This paper synthesizes organizational research, production engineering guidance, governance standards, and documented deployments to propose an evidence-based assessment approach.</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The proposed approach combines eight capability dimensions with workflow-specific readiness gates, a separate effectiveness scorecard, and a record of evidence quality. It treats knowledge and context as managed production dependencies, particularly for agents that retrieve information and take actions. Cases from technology, banking, professional services, customer support, and healthcare show why technical performance, adoption, and financial benefit must be measured separately. A practical implementation can begin with two bounded workflows, existing enterprise systems, accountable business owners, and a 90-day cycle of baseline measurement, controlled evaluation, and staged deployment. The objective is justified investment and reliable operation, with the level of autonomy chosen to fit the task.</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Keywords:</w:t>
      </w:r>
      <w:r>
        <w:rPr>
          <w:rFonts w:ascii="Helvetica Neue" w:cs="Helvetica Neue" w:eastAsia="Helvetica Neue" w:hAnsi="Helvetica Neue"/>
          <w:color w:val="233447"/>
          <w:rtl w:val="0"/>
          <w:sz w:val="22"/>
        </w:rPr>
        <w:t xml:space="preserve"> AI maturity; organizational readiness; AI effectiveness; agent context; MLOps; evaluation; AI governance; business value.</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02" w:name="heading-1"/>
      <w:r>
        <w:rPr>
          <w:rFonts w:ascii="Helvetica Neue" w:cs="Helvetica Neue" w:eastAsia="Helvetica Neue" w:hAnsi="Helvetica Neue"/>
          <w:color w:val="000000"/>
          <w:rtl w:val="0"/>
          <w:b w:val="1"/>
          <w:sz w:val="22"/>
        </w:rPr>
        <w:t xml:space="preserve">Scope and evidence method</w:t>
      </w:r>
      <w:bookmarkEnd w:id="1002"/>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This is a critical narrative synthesis and proposed engineering framework, not a systematic review or an original empirical study. Sources were selected for direct relevance to organizational capability, production readiness, workflow outcomes, and agent operation. The evidence base includes peer-reviewed research, clearly identified preprints, public standards descriptions, official engineering publications, and company disclosures. Sources were checked on 15 September 2026; historical case outcomes retain their original reporting periods. The paper covers predictive ML, generative AI, and agents across organizations that build AI and those that buy or deploy it.</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Three distinctions govern interpretation. First, experimental results support claims within their studied populations and tasks; they are not universal productivity forecasts. Second, company-reported adoption and economic value are disclosures, not independently established causal effects. Third, the assessment dimensions, thresholds, examples, and roadmap proposed here are recommendations requiring local calibration. They are not an accredited standard or an empirically validated cross-industry ranking. Numbered citations link to the bibliography and original sources.</w:t>
      </w:r>
    </w:p>
    <w:p>
      <w:pPr>
        <w:spacing w:after="100" w:line="280" w:lineRule="auto" w:before="160"/>
        <w:jc w:val="left"/>
        <w:rPr>
          <w:rFonts w:ascii="Helvetica Neue" w:cs="Helvetica Neue" w:eastAsia="Helvetica Neue" w:hAnsi="Helvetica Neue"/>
        </w:rPr>
        <w:pStyle w:val="Heading1"/>
        <w:outlineLvl w:val="0"/>
        <w:keepNext w:val="1"/>
        <w:keepLines w:val="1"/>
        <w:pageBreakBefore w:val="1"/>
      </w:pPr>
      <w:bookmarkStart w:id="1003" w:name="problem"/>
      <w:r>
        <w:rPr>
          <w:rFonts w:ascii="Helvetica Neue" w:cs="Helvetica Neue" w:eastAsia="Helvetica Neue" w:hAnsi="Helvetica Neue"/>
          <w:color w:val="000000"/>
          <w:rtl w:val="0"/>
          <w:b w:val="1"/>
          <w:sz w:val="27"/>
        </w:rPr>
        <w:t xml:space="preserve">1 What is the problem</w:t>
      </w:r>
      <w:bookmarkEnd w:id="1003"/>
    </w:p>
    <w:p>
      <w:pPr>
        <w:spacing w:after="100" w:line="280" w:lineRule="auto" w:before="260"/>
        <w:jc w:val="left"/>
        <w:rPr>
          <w:rFonts w:ascii="Helvetica Neue" w:cs="Helvetica Neue" w:eastAsia="Helvetica Neue" w:hAnsi="Helvetica Neue"/>
        </w:rPr>
        <w:pStyle w:val="Heading3"/>
        <w:outlineLvl w:val="1"/>
        <w:keepNext w:val="1"/>
        <w:keepLines w:val="1"/>
      </w:pPr>
      <w:bookmarkStart w:id="1004" w:name="heading-2"/>
      <w:r>
        <w:rPr>
          <w:rFonts w:ascii="Helvetica Neue" w:cs="Helvetica Neue" w:eastAsia="Helvetica Neue" w:hAnsi="Helvetica Neue"/>
          <w:color w:val="000000"/>
          <w:rtl w:val="0"/>
          <w:b w:val="1"/>
          <w:sz w:val="22"/>
        </w:rPr>
        <w:t xml:space="preserve">1.1 Five different questions are often collapsed into one score</w:t>
      </w:r>
      <w:bookmarkEnd w:id="1004"/>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An organization can have widespread AI access, excellent data scientists, and an active governance committee while being unready for a particular automated workflow. Conversely, a modest company using a purchased service can run a narrow AI application effectively. Assessment should therefore begin with the decision being made: whether to fund an experiment, authorize a release, expand its use, or improve an enterprise capability.</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49"/>
        <w:gridCol w:w="3578"/>
        <w:gridCol w:w="439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Construct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Question it answers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Evidence that belongs here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Adoption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Is AI being used by the intended population?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Eligible users and tasks; active usage; sustained use; abandonment</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Capability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Can the organization perform the required activities?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Skills, data access, evaluation practices, operations, decision rights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Readiness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Can this version enter this workflow under these conditions?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Passed deployment gates; local validation; supported operating envelope</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Effectiveness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Does the deployed workflow improve outcomes?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Incremental quality, throughput, cost, revenue, risk, or user outcomes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Maturity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Are the relevant capabilities repeatable and improving?</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Consistent practices and outcomes across releases, teams, and time</w:t>
            </w:r>
          </w:p>
        </w:tc>
      </w:tr>
    </w:tbl>
    <w:p>
      <w:pPr>
        <w:spacing w:after="50" w:line="50" w:lineRule="exact"/>
        <w:jc w:val="both"/>
        <w:rPr>
          <w:rFonts w:ascii="Helvetica Neue" w:cs="Helvetica Neue" w:eastAsia="Helvetica Neue" w:hAnsi="Helvetica Neue"/>
        </w:rPr>
        <w:keepNext w:val="0"/>
        <w:keepLines w:val="0"/>
        <w:widowControl w:val="1"/>
      </w:pP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This distinction builds on organizational readiness research and the resource-based view of AI capability. Jöhnk, Weißert, and Wyrtki identify readiness factors around strategic alignment, resources, knowledge, culture, and data. Mikalef and Gupta frame AI capability as a combination of tangible resources, human skills, and organizational resources. Neither perspective reduces readiness to model quality or computing capacity. </w:t>
      </w:r>
      <w:hyperlink w:anchor="ref-1">
        <w:r>
          <w:rPr>
            <w:rFonts w:ascii="Helvetica Neue" w:cs="Helvetica Neue" w:eastAsia="Helvetica Neue" w:hAnsi="Helvetica Neue"/>
            <w:color w:val="2F6B9A"/>
            <w:rtl w:val="0"/>
            <w:sz w:val="22"/>
          </w:rPr>
          <w:t xml:space="preserve">[1]</w:t>
        </w:r>
      </w:hyperlink>
      <w:r>
        <w:rPr>
          <w:rFonts w:ascii="Helvetica Neue" w:cs="Helvetica Neue" w:eastAsia="Helvetica Neue" w:hAnsi="Helvetica Neue"/>
          <w:color w:val="233447"/>
          <w:rtl w:val="0"/>
          <w:sz w:val="22"/>
        </w:rPr>
        <w:t xml:space="preserve"> </w:t>
      </w:r>
      <w:hyperlink w:anchor="ref-2">
        <w:r>
          <w:rPr>
            <w:rFonts w:ascii="Helvetica Neue" w:cs="Helvetica Neue" w:eastAsia="Helvetica Neue" w:hAnsi="Helvetica Neue"/>
            <w:color w:val="2F6B9A"/>
            <w:rtl w:val="0"/>
            <w:sz w:val="22"/>
          </w:rPr>
          <w:t xml:space="preserve">[2]</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Assessment needs three units of analysis: the </w:t>
      </w:r>
      <w:r>
        <w:rPr>
          <w:rFonts w:ascii="Helvetica Neue" w:cs="Helvetica Neue" w:eastAsia="Helvetica Neue" w:hAnsi="Helvetica Neue"/>
          <w:color w:val="233447"/>
          <w:rtl w:val="0"/>
          <w:sz w:val="22"/>
          <w:b w:val="1"/>
        </w:rPr>
        <w:t xml:space="preserve">enterprise</w:t>
      </w:r>
      <w:r>
        <w:rPr>
          <w:rFonts w:ascii="Helvetica Neue" w:cs="Helvetica Neue" w:eastAsia="Helvetica Neue" w:hAnsi="Helvetica Neue"/>
          <w:color w:val="233447"/>
          <w:rtl w:val="0"/>
          <w:sz w:val="22"/>
        </w:rPr>
        <w:t xml:space="preserve">, which supplies shared capabilities and accountability; the </w:t>
      </w:r>
      <w:r>
        <w:rPr>
          <w:rFonts w:ascii="Helvetica Neue" w:cs="Helvetica Neue" w:eastAsia="Helvetica Neue" w:hAnsi="Helvetica Neue"/>
          <w:color w:val="233447"/>
          <w:rtl w:val="0"/>
          <w:sz w:val="22"/>
          <w:b w:val="1"/>
        </w:rPr>
        <w:t xml:space="preserve">workflow</w:t>
      </w:r>
      <w:r>
        <w:rPr>
          <w:rFonts w:ascii="Helvetica Neue" w:cs="Helvetica Neue" w:eastAsia="Helvetica Neue" w:hAnsi="Helvetica Neue"/>
          <w:color w:val="233447"/>
          <w:rtl w:val="0"/>
          <w:sz w:val="22"/>
        </w:rPr>
        <w:t xml:space="preserve">, where value and harm occur; and the </w:t>
      </w:r>
      <w:r>
        <w:rPr>
          <w:rFonts w:ascii="Helvetica Neue" w:cs="Helvetica Neue" w:eastAsia="Helvetica Neue" w:hAnsi="Helvetica Neue"/>
          <w:color w:val="233447"/>
          <w:rtl w:val="0"/>
          <w:sz w:val="22"/>
          <w:b w:val="1"/>
        </w:rPr>
        <w:t xml:space="preserve">system version</w:t>
      </w:r>
      <w:r>
        <w:rPr>
          <w:rFonts w:ascii="Helvetica Neue" w:cs="Helvetica Neue" w:eastAsia="Helvetica Neue" w:hAnsi="Helvetica Neue"/>
          <w:color w:val="233447"/>
          <w:rtl w:val="0"/>
          <w:sz w:val="22"/>
        </w:rPr>
        <w:t xml:space="preserve">, whose behavior depends on its model, data, instructions, tools, and configuration. A credible enterprise report preserves all three. It should state, for example, that a business has repeatable evaluation practices across most customer-service workflows while a newly introduced payment agent has not passed its authorization tests.</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05" w:name="heading-3"/>
      <w:r>
        <w:rPr>
          <w:rFonts w:ascii="Helvetica Neue" w:cs="Helvetica Neue" w:eastAsia="Helvetica Neue" w:hAnsi="Helvetica Neue"/>
          <w:color w:val="000000"/>
          <w:rtl w:val="0"/>
          <w:b w:val="1"/>
          <w:sz w:val="22"/>
        </w:rPr>
        <w:t xml:space="preserve">1.2 Why existing assessments can mislead</w:t>
      </w:r>
      <w:bookmarkEnd w:id="1005"/>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Inputs masquerade as outcomes.</w:t>
      </w:r>
      <w:r>
        <w:rPr>
          <w:rFonts w:ascii="Helvetica Neue" w:cs="Helvetica Neue" w:eastAsia="Helvetica Neue" w:hAnsi="Helvetica Neue"/>
          <w:color w:val="233447"/>
          <w:rtl w:val="0"/>
          <w:sz w:val="22"/>
        </w:rPr>
        <w:t xml:space="preserve"> License purchases, training completions, prompt counts, model counts, and prototypes indicate activity or capacity. They cannot by themselves establish better decisions, lower cost, or customer benefit. Self-reported time savings are useful for discovering candidate improvements, but require operational validation before being recognized as financial value.</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Averages hide consequential gaps.</w:t>
      </w:r>
      <w:r>
        <w:rPr>
          <w:rFonts w:ascii="Helvetica Neue" w:cs="Helvetica Neue" w:eastAsia="Helvetica Neue" w:hAnsi="Helvetica Neue"/>
          <w:color w:val="233447"/>
          <w:rtl w:val="0"/>
          <w:sz w:val="22"/>
        </w:rPr>
        <w:t xml:space="preserve"> A weighted score can allow strong infrastructure to offset missing data rights, untested failure handling, or absent accountability. Some capabilities are complementary; some are mandatory constraints. The proposed framework reports a profile and explicit gates so that a material unresolved dependency remains visible.</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Benchmarks test a narrower system than the organization operates.</w:t>
      </w:r>
      <w:r>
        <w:rPr>
          <w:rFonts w:ascii="Helvetica Neue" w:cs="Helvetica Neue" w:eastAsia="Helvetica Neue" w:hAnsi="Helvetica Neue"/>
          <w:color w:val="233447"/>
          <w:rtl w:val="0"/>
          <w:sz w:val="22"/>
        </w:rPr>
        <w:t xml:space="preserve"> A model may answer public questions correctly yet fail when policies conflict, data are stale, transactions are partially completed, or users have different permissions. Production ML research describes dependencies, feedback loops, and maintenance burdens beyond model code. The ML Test Score makes this concrete through 28 tests for production readiness. </w:t>
      </w:r>
      <w:hyperlink w:anchor="ref-3">
        <w:r>
          <w:rPr>
            <w:rFonts w:ascii="Helvetica Neue" w:cs="Helvetica Neue" w:eastAsia="Helvetica Neue" w:hAnsi="Helvetica Neue"/>
            <w:color w:val="2F6B9A"/>
            <w:rtl w:val="0"/>
            <w:sz w:val="22"/>
          </w:rPr>
          <w:t xml:space="preserve">[3]</w:t>
        </w:r>
      </w:hyperlink>
      <w:r>
        <w:rPr>
          <w:rFonts w:ascii="Helvetica Neue" w:cs="Helvetica Neue" w:eastAsia="Helvetica Neue" w:hAnsi="Helvetica Neue"/>
          <w:color w:val="233447"/>
          <w:rtl w:val="0"/>
          <w:sz w:val="22"/>
        </w:rPr>
        <w:t xml:space="preserve"> </w:t>
      </w:r>
      <w:hyperlink w:anchor="ref-4">
        <w:r>
          <w:rPr>
            <w:rFonts w:ascii="Helvetica Neue" w:cs="Helvetica Neue" w:eastAsia="Helvetica Neue" w:hAnsi="Helvetica Neue"/>
            <w:color w:val="2F6B9A"/>
            <w:rtl w:val="0"/>
            <w:sz w:val="22"/>
          </w:rPr>
          <w:t xml:space="preserve">[4]</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Cross-company comparisons lack a common denominator.</w:t>
      </w:r>
      <w:r>
        <w:rPr>
          <w:rFonts w:ascii="Helvetica Neue" w:cs="Helvetica Neue" w:eastAsia="Helvetica Neue" w:hAnsi="Helvetica Neue"/>
          <w:color w:val="233447"/>
          <w:rtl w:val="0"/>
          <w:sz w:val="22"/>
        </w:rPr>
        <w:t xml:space="preserve"> A bank's credit decision, a retailer's product description, and a manufacturer's defect detector have different error costs and operating constraints. The OECD classification framework explicitly characterizes AI through people and planet, economic context, data and input, the model, and task and output. Those distinctions should precede peer comparison. </w:t>
      </w:r>
      <w:hyperlink w:anchor="ref-5">
        <w:r>
          <w:rPr>
            <w:rFonts w:ascii="Helvetica Neue" w:cs="Helvetica Neue" w:eastAsia="Helvetica Neue" w:hAnsi="Helvetica Neue"/>
            <w:color w:val="2F6B9A"/>
            <w:rtl w:val="0"/>
            <w:sz w:val="22"/>
          </w:rPr>
          <w:t xml:space="preserve">[5]</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The intervention changes while it is being measured.</w:t>
      </w:r>
      <w:r>
        <w:rPr>
          <w:rFonts w:ascii="Helvetica Neue" w:cs="Helvetica Neue" w:eastAsia="Helvetica Neue" w:hAnsi="Helvetica Neue"/>
          <w:color w:val="233447"/>
          <w:rtl w:val="0"/>
          <w:sz w:val="22"/>
        </w:rPr>
        <w:t xml:space="preserve"> Provider updates, retrieval changes, user learning, policy changes, and new tool permissions can alter outcomes. A claim about readiness needs a version, date, intended population, and expiration or reassessment trigger. A mature process can conclude that a once-useful system should be constrained or retired.</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06" w:name="heading-4"/>
      <w:r>
        <w:rPr>
          <w:rFonts w:ascii="Helvetica Neue" w:cs="Helvetica Neue" w:eastAsia="Helvetica Neue" w:hAnsi="Helvetica Neue"/>
          <w:color w:val="000000"/>
          <w:rtl w:val="0"/>
          <w:b w:val="1"/>
          <w:sz w:val="22"/>
        </w:rPr>
        <w:t xml:space="preserve">1.3 The central measurement problem is attribution</w:t>
      </w:r>
      <w:bookmarkEnd w:id="1006"/>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Business effectiveness is the difference between what happened with the AI-enabled workflow and what would plausibly have happened without it. A simple before-and-after comparison can be confounded by seasonality, staffing, product changes, case difficulty, or simultaneous process improvements. Define the treatment precisely: a model alone, an assistant plus training, or a redesigned workflow with new routing and review rules. Attribute the result to that treatment bundle unless the experiment isolates individual components.</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Where feasible, randomly assign eligible tasks or teams to the current process and the proposed process. Use team-level assignment when workers share knowledge or systems and contamination is likely. Predeclare the primary outcome, quality constraints, minimum meaningful effect, analysis population, and decision rule. Use power analysis to determine sample size; account for repeated observations from the same worker or customer. Report uncertainty, adoption, and attrition along with the point estimate.</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When randomization is infeasible, use a defensible comparison group, an interrupted time series, or difference-in-differences with its assumptions examined. A matched comparison does not automatically remove unobserved confounding. Report the strength of the design and alternative explanations. For high-consequence decisions, combine offline validation and shadow deployment with a supervised prospective evaluation before increasing exposure.</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Evaluate </w:t>
      </w:r>
      <w:r>
        <w:rPr>
          <w:rFonts w:ascii="Helvetica Neue" w:cs="Helvetica Neue" w:eastAsia="Helvetica Neue" w:hAnsi="Helvetica Neue"/>
          <w:color w:val="233447"/>
          <w:rtl w:val="0"/>
          <w:sz w:val="22"/>
          <w:b w:val="1"/>
        </w:rPr>
        <w:t xml:space="preserve">human-only, AI-only where appropriate, and human-plus-AI</w:t>
      </w:r>
      <w:r>
        <w:rPr>
          <w:rFonts w:ascii="Helvetica Neue" w:cs="Helvetica Neue" w:eastAsia="Helvetica Neue" w:hAnsi="Helvetica Neue"/>
          <w:color w:val="233447"/>
          <w:rtl w:val="0"/>
          <w:sz w:val="22"/>
        </w:rPr>
        <w:t xml:space="preserve"> configurations separately. A meta-analysis of 106 experiments found that human-AI combinations improved on humans alone on average but underperformed the better of humans or AI alone. Results varied by task and study design. Human involvement is therefore an intervention to design and evaluate, not evidence that a system is automatically effective. </w:t>
      </w:r>
      <w:hyperlink w:anchor="ref-6">
        <w:r>
          <w:rPr>
            <w:rFonts w:ascii="Helvetica Neue" w:cs="Helvetica Neue" w:eastAsia="Helvetica Neue" w:hAnsi="Helvetica Neue"/>
            <w:color w:val="2F6B9A"/>
            <w:rtl w:val="0"/>
            <w:sz w:val="22"/>
          </w:rPr>
          <w:t xml:space="preserve">[6]</w:t>
        </w:r>
      </w:hyperlink>
    </w:p>
    <w:p>
      <w:pPr>
        <w:spacing w:after="100" w:line="280" w:lineRule="auto" w:before="260"/>
        <w:jc w:val="left"/>
        <w:rPr>
          <w:rFonts w:ascii="Helvetica Neue" w:cs="Helvetica Neue" w:eastAsia="Helvetica Neue" w:hAnsi="Helvetica Neue"/>
        </w:rPr>
        <w:pStyle w:val="Heading3"/>
        <w:outlineLvl w:val="1"/>
        <w:keepNext w:val="1"/>
        <w:keepLines w:val="1"/>
      </w:pPr>
      <w:bookmarkStart w:id="1007" w:name="heading-5"/>
      <w:r>
        <w:rPr>
          <w:rFonts w:ascii="Helvetica Neue" w:cs="Helvetica Neue" w:eastAsia="Helvetica Neue" w:hAnsi="Helvetica Neue"/>
          <w:color w:val="000000"/>
          <w:rtl w:val="0"/>
          <w:b w:val="1"/>
          <w:sz w:val="22"/>
        </w:rPr>
        <w:t xml:space="preserve">1.4 Effectiveness has economic and operational boundaries</w:t>
      </w:r>
      <w:bookmarkEnd w:id="1007"/>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Use end-to-end measures: a correctly resolved support issue, a reviewed and accepted software change, a completed claims decision, or a usable forecast. Track waiting time, verification, rework, escalations, and downstream corrections. A faster draft can increase total work if reviewers must repair unsupported claims. A higher automation rate can worsen outcomes if difficult cases are silently excluded from the denominator.</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Maintain a benefit ledger that distinguishes </w:t>
      </w:r>
      <w:r>
        <w:rPr>
          <w:rFonts w:ascii="Helvetica Neue" w:cs="Helvetica Neue" w:eastAsia="Helvetica Neue" w:hAnsi="Helvetica Neue"/>
          <w:color w:val="233447"/>
          <w:rtl w:val="0"/>
          <w:sz w:val="22"/>
          <w:b w:val="1"/>
        </w:rPr>
        <w:t xml:space="preserve">cash savings</w:t>
      </w:r>
      <w:r>
        <w:rPr>
          <w:rFonts w:ascii="Helvetica Neue" w:cs="Helvetica Neue" w:eastAsia="Helvetica Neue" w:hAnsi="Helvetica Neue"/>
          <w:color w:val="233447"/>
          <w:rtl w:val="0"/>
          <w:sz w:val="22"/>
        </w:rPr>
        <w:t xml:space="preserve">, </w:t>
      </w:r>
      <w:r>
        <w:rPr>
          <w:rFonts w:ascii="Helvetica Neue" w:cs="Helvetica Neue" w:eastAsia="Helvetica Neue" w:hAnsi="Helvetica Neue"/>
          <w:color w:val="233447"/>
          <w:rtl w:val="0"/>
          <w:sz w:val="22"/>
          <w:b w:val="1"/>
        </w:rPr>
        <w:t xml:space="preserve">redeployable capacity</w:t>
      </w:r>
      <w:r>
        <w:rPr>
          <w:rFonts w:ascii="Helvetica Neue" w:cs="Helvetica Neue" w:eastAsia="Helvetica Neue" w:hAnsi="Helvetica Neue"/>
          <w:color w:val="233447"/>
          <w:rtl w:val="0"/>
          <w:sz w:val="22"/>
        </w:rPr>
        <w:t xml:space="preserve">, </w:t>
      </w:r>
      <w:r>
        <w:rPr>
          <w:rFonts w:ascii="Helvetica Neue" w:cs="Helvetica Neue" w:eastAsia="Helvetica Neue" w:hAnsi="Helvetica Neue"/>
          <w:color w:val="233447"/>
          <w:rtl w:val="0"/>
          <w:sz w:val="22"/>
          <w:b w:val="1"/>
        </w:rPr>
        <w:t xml:space="preserve">incremental contribution margin</w:t>
      </w:r>
      <w:r>
        <w:rPr>
          <w:rFonts w:ascii="Helvetica Neue" w:cs="Helvetica Neue" w:eastAsia="Helvetica Neue" w:hAnsi="Helvetica Neue"/>
          <w:color w:val="233447"/>
          <w:rtl w:val="0"/>
          <w:sz w:val="22"/>
        </w:rPr>
        <w:t xml:space="preserve">, and </w:t>
      </w:r>
      <w:r>
        <w:rPr>
          <w:rFonts w:ascii="Helvetica Neue" w:cs="Helvetica Neue" w:eastAsia="Helvetica Neue" w:hAnsi="Helvetica Neue"/>
          <w:color w:val="233447"/>
          <w:rtl w:val="0"/>
          <w:sz w:val="22"/>
          <w:b w:val="1"/>
        </w:rPr>
        <w:t xml:space="preserve">nonfinancial outcomes</w:t>
      </w:r>
      <w:r>
        <w:rPr>
          <w:rFonts w:ascii="Helvetica Neue" w:cs="Helvetica Neue" w:eastAsia="Helvetica Neue" w:hAnsi="Helvetica Neue"/>
          <w:color w:val="233447"/>
          <w:rtl w:val="0"/>
          <w:sz w:val="22"/>
        </w:rPr>
        <w:t xml:space="preserve">. Time released is capacity until staffing, overtime, outsourcing, or output changes make its value observable. Avoid counting the same minutes as both cost savings and increased output. Revenue claims should account for substitution and cannibalization, and use margin when calculating net value.</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Total cost includes licenses and inference, integration, data preparation, human review, evaluation, security, monitoring, incident response, training, and replacement or exit. Complementary investments can delay benefits: the productivity J-curve literature explains why general-purpose technologies require organizational investments whose costs and returns emerge at different times. This supports an explicit investment horizon, not an exemption from measuring results. </w:t>
      </w:r>
      <w:hyperlink w:anchor="ref-7">
        <w:r>
          <w:rPr>
            <w:rFonts w:ascii="Helvetica Neue" w:cs="Helvetica Neue" w:eastAsia="Helvetica Neue" w:hAnsi="Helvetica Neue"/>
            <w:color w:val="2F6B9A"/>
            <w:rtl w:val="0"/>
            <w:sz w:val="22"/>
          </w:rPr>
          <w:t xml:space="preserve">[7]</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The management decision should consider measured benefits and operating costs alongside a separate risk judgment. Rare but severe harms should not disappear inside a convenient expected-dollar estimate. A system with positive average economics can remain unready because a mandatory safety, authorization, privacy, or fairness condition is unmet.</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08" w:name="heading-6"/>
      <w:r>
        <w:rPr>
          <w:rFonts w:ascii="Helvetica Neue" w:cs="Helvetica Neue" w:eastAsia="Helvetica Neue" w:hAnsi="Helvetica Neue"/>
          <w:color w:val="000000"/>
          <w:rtl w:val="0"/>
          <w:b w:val="1"/>
          <w:sz w:val="22"/>
        </w:rPr>
        <w:t xml:space="preserve">1.5 What a useful assessment must produce</w:t>
      </w:r>
      <w:bookmarkEnd w:id="1008"/>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The assessment should answer four actionable questions: which workflows deserve investment; which dependencies prevent their next deployment stage; which deployed workflows have demonstrated benefit; and which shared capabilities would remove recurring bottlenecks. Its output is a prioritized improvement portfolio with accountable owners, evidence, deadlines, and reassessment triggers.</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The desired architecture is an evidence chain: </w:t>
      </w:r>
      <w:r>
        <w:rPr>
          <w:rFonts w:ascii="Helvetica Neue" w:cs="Helvetica Neue" w:eastAsia="Helvetica Neue" w:hAnsi="Helvetica Neue"/>
          <w:color w:val="233447"/>
          <w:rtl w:val="0"/>
          <w:sz w:val="22"/>
          <w:b w:val="1"/>
        </w:rPr>
        <w:t xml:space="preserve">business objective → workflow definition → capability and context requirements → evaluation → deployment decision → observed outcomes → improvement</w:t>
      </w:r>
      <w:r>
        <w:rPr>
          <w:rFonts w:ascii="Helvetica Neue" w:cs="Helvetica Neue" w:eastAsia="Helvetica Neue" w:hAnsi="Helvetica Neue"/>
          <w:color w:val="233447"/>
          <w:rtl w:val="0"/>
          <w:sz w:val="22"/>
        </w:rPr>
        <w:t xml:space="preserve">. Standards, tests, and maturity questionnaires contribute different evidence to this chain. No individual component substitutes for the entire chain.</w:t>
      </w:r>
    </w:p>
    <w:p>
      <w:pPr>
        <w:spacing w:after="100" w:line="280" w:lineRule="auto" w:before="160"/>
        <w:jc w:val="left"/>
        <w:rPr>
          <w:rFonts w:ascii="Helvetica Neue" w:cs="Helvetica Neue" w:eastAsia="Helvetica Neue" w:hAnsi="Helvetica Neue"/>
        </w:rPr>
        <w:pStyle w:val="Heading1"/>
        <w:outlineLvl w:val="0"/>
        <w:keepNext w:val="1"/>
        <w:keepLines w:val="1"/>
        <w:pageBreakBefore w:val="1"/>
      </w:pPr>
      <w:bookmarkStart w:id="1009" w:name="context"/>
      <w:r>
        <w:rPr>
          <w:rFonts w:ascii="Helvetica Neue" w:cs="Helvetica Neue" w:eastAsia="Helvetica Neue" w:hAnsi="Helvetica Neue"/>
          <w:color w:val="000000"/>
          <w:rtl w:val="0"/>
          <w:b w:val="1"/>
          <w:sz w:val="27"/>
        </w:rPr>
        <w:t xml:space="preserve">2 What agents need as context</w:t>
      </w:r>
      <w:bookmarkEnd w:id="1009"/>
    </w:p>
    <w:p>
      <w:pPr>
        <w:spacing w:after="100" w:line="280" w:lineRule="auto" w:before="260"/>
        <w:jc w:val="left"/>
        <w:rPr>
          <w:rFonts w:ascii="Helvetica Neue" w:cs="Helvetica Neue" w:eastAsia="Helvetica Neue" w:hAnsi="Helvetica Neue"/>
        </w:rPr>
        <w:pStyle w:val="Heading3"/>
        <w:outlineLvl w:val="1"/>
        <w:keepNext w:val="1"/>
        <w:keepLines w:val="1"/>
      </w:pPr>
      <w:bookmarkStart w:id="1010" w:name="heading-7"/>
      <w:r>
        <w:rPr>
          <w:rFonts w:ascii="Helvetica Neue" w:cs="Helvetica Neue" w:eastAsia="Helvetica Neue" w:hAnsi="Helvetica Neue"/>
          <w:color w:val="000000"/>
          <w:rtl w:val="0"/>
          <w:b w:val="1"/>
          <w:sz w:val="22"/>
        </w:rPr>
        <w:t xml:space="preserve">2.1 Two agent roles require different information</w:t>
      </w:r>
      <w:bookmarkEnd w:id="1010"/>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An </w:t>
      </w:r>
      <w:r>
        <w:rPr>
          <w:rFonts w:ascii="Helvetica Neue" w:cs="Helvetica Neue" w:eastAsia="Helvetica Neue" w:hAnsi="Helvetica Neue"/>
          <w:color w:val="233447"/>
          <w:rtl w:val="0"/>
          <w:sz w:val="22"/>
          <w:b w:val="1"/>
        </w:rPr>
        <w:t xml:space="preserve">assessment agent</w:t>
      </w:r>
      <w:r>
        <w:rPr>
          <w:rFonts w:ascii="Helvetica Neue" w:cs="Helvetica Neue" w:eastAsia="Helvetica Neue" w:hAnsi="Helvetica Neue"/>
          <w:color w:val="233447"/>
          <w:rtl w:val="0"/>
          <w:sz w:val="22"/>
        </w:rPr>
        <w:t xml:space="preserve"> helps collect evidence, map it to a rubric, identify inconsistencies, and prepare an assessment for accountable reviewers. An </w:t>
      </w:r>
      <w:r>
        <w:rPr>
          <w:rFonts w:ascii="Helvetica Neue" w:cs="Helvetica Neue" w:eastAsia="Helvetica Neue" w:hAnsi="Helvetica Neue"/>
          <w:color w:val="233447"/>
          <w:rtl w:val="0"/>
          <w:sz w:val="22"/>
          <w:b w:val="1"/>
        </w:rPr>
        <w:t xml:space="preserve">operational agent</w:t>
      </w:r>
      <w:r>
        <w:rPr>
          <w:rFonts w:ascii="Helvetica Neue" w:cs="Helvetica Neue" w:eastAsia="Helvetica Neue" w:hAnsi="Helvetica Neue"/>
          <w:color w:val="233447"/>
          <w:rtl w:val="0"/>
          <w:sz w:val="22"/>
        </w:rPr>
        <w:t xml:space="preserve"> performs part of a business workflow, such as researching a support case, proposing a refund, or updating a record. The former needs evidence about organizational practices; the latter needs current instructions, knowledge, state, and bounded authority for the exact task. Both need provenance and explicit handling of missing or contradictory information.</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Here, context means information made available for a particular decision or step. It is broader than the text of a prompt. Some context should enter the model input; other context must remain in external enforcement mechanisms, such as access controls, policy checks, and transaction ledgers. Telling a model about a restriction is different from preventing a prohibited action.</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49"/>
        <w:gridCol w:w="3578"/>
        <w:gridCol w:w="439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Context layer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Knowledge or system source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Required contract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Purpose and success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Workflow charter, KPI dictionary, service owner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Desired outcome, baseline, exclusions, quality constraints, stopping condition</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Rules and authority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Approved policies, control catalog, delegation matrix</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Applicable version, jurisdiction, precedence, approval limits, prohibited actions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Domain knowledge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Product manuals, procedures, knowledge base, contracts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Owner, source ID, effective date, scope, provenance, access labels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Live case state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CRM, ERP, ticketing, order and transaction systems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Record version, timestamp, identity, current status, concurrency rules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Tools and interfaces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API catalog, schemas, service documentation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Allowed operations, preconditions, errors, retries, rate and cost limits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Examples and evaluation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Expert-labeled cases, incident corpus, held-out tests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Correct outcomes, counterexamples, rubric, separation of tests from retrieval</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Session and memory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Task state, prior decisions, approved preferences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Source, confidence, retention, permitted reuse, reset and deletion rules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Operating conditions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Service health, budgets, escalation directory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Timeouts, fallback mode, human availability, incident and recovery procedures</w:t>
            </w:r>
          </w:p>
        </w:tc>
      </w:tr>
    </w:tbl>
    <w:p>
      <w:pPr>
        <w:spacing w:after="50" w:line="50" w:lineRule="exact"/>
        <w:jc w:val="both"/>
        <w:rPr>
          <w:rFonts w:ascii="Helvetica Neue" w:cs="Helvetica Neue" w:eastAsia="Helvetica Neue" w:hAnsi="Helvetica Neue"/>
        </w:rPr>
        <w:keepNext w:val="0"/>
        <w:keepLines w:val="0"/>
        <w:widowControl w:val="1"/>
      </w:pP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Retrieval-augmented generation combines a language model with retrieved information; the foundational RAG paper demonstrates this approach on knowledge-intensive NLP tasks. ReAct illustrates how language-model reasoning and actions can interact with external information and environments. These are enabling techniques, not guarantees that the information is current, authorized, or sufficient for an enterprise task. </w:t>
      </w:r>
      <w:hyperlink w:anchor="ref-8">
        <w:r>
          <w:rPr>
            <w:rFonts w:ascii="Helvetica Neue" w:cs="Helvetica Neue" w:eastAsia="Helvetica Neue" w:hAnsi="Helvetica Neue"/>
            <w:color w:val="2F6B9A"/>
            <w:rtl w:val="0"/>
            <w:sz w:val="22"/>
          </w:rPr>
          <w:t xml:space="preserve">[8]</w:t>
        </w:r>
      </w:hyperlink>
      <w:r>
        <w:rPr>
          <w:rFonts w:ascii="Helvetica Neue" w:cs="Helvetica Neue" w:eastAsia="Helvetica Neue" w:hAnsi="Helvetica Neue"/>
          <w:color w:val="233447"/>
          <w:rtl w:val="0"/>
          <w:sz w:val="22"/>
        </w:rPr>
        <w:t xml:space="preserve"> </w:t>
      </w:r>
      <w:hyperlink w:anchor="ref-9">
        <w:r>
          <w:rPr>
            <w:rFonts w:ascii="Helvetica Neue" w:cs="Helvetica Neue" w:eastAsia="Helvetica Neue" w:hAnsi="Helvetica Neue"/>
            <w:color w:val="2F6B9A"/>
            <w:rtl w:val="0"/>
            <w:sz w:val="22"/>
          </w:rPr>
          <w:t xml:space="preserve">[9]</w:t>
        </w:r>
      </w:hyperlink>
    </w:p>
    <w:p>
      <w:pPr>
        <w:spacing w:after="100" w:line="280" w:lineRule="auto" w:before="260"/>
        <w:jc w:val="left"/>
        <w:rPr>
          <w:rFonts w:ascii="Helvetica Neue" w:cs="Helvetica Neue" w:eastAsia="Helvetica Neue" w:hAnsi="Helvetica Neue"/>
        </w:rPr>
        <w:pStyle w:val="Heading3"/>
        <w:outlineLvl w:val="1"/>
        <w:keepNext w:val="1"/>
        <w:keepLines w:val="1"/>
      </w:pPr>
      <w:bookmarkStart w:id="1011" w:name="heading-8"/>
      <w:r>
        <w:rPr>
          <w:rFonts w:ascii="Helvetica Neue" w:cs="Helvetica Neue" w:eastAsia="Helvetica Neue" w:hAnsi="Helvetica Neue"/>
          <w:color w:val="000000"/>
          <w:rtl w:val="0"/>
          <w:b w:val="1"/>
          <w:sz w:val="22"/>
        </w:rPr>
        <w:t xml:space="preserve">2.2 Exact workflow for an AI maturity assessment agent</w:t>
      </w:r>
      <w:bookmarkEnd w:id="1011"/>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The following workflow is a proposed design. The agent supports evidence work; named humans own scope, scoring disputes, risk acceptance, and investment decisions. Its default permissions should be read-only, with assessment drafts written to a designated review space.</w:t>
      </w:r>
    </w:p>
    <w:p>
      <w:pPr>
        <w:spacing w:after="110" w:line="300" w:lineRule="auto"/>
        <w:jc w:val="both"/>
        <w:rPr>
          <w:rFonts w:ascii="Helvetica Neue" w:cs="Helvetica Neue" w:eastAsia="Helvetica Neue" w:hAnsi="Helvetica Neue"/>
        </w:rPr>
        <w:keepNext w:val="0"/>
        <w:keepLines w:val="0"/>
        <w:widowControl w:val="1"/>
        <w:ind w:left="300" w:hanging="300"/>
      </w:pPr>
      <w:r>
        <w:t xml:space="preserve">1. </w:t>
      </w:r>
      <w:r>
        <w:rPr>
          <w:rFonts w:ascii="Helvetica Neue" w:cs="Helvetica Neue" w:eastAsia="Helvetica Neue" w:hAnsi="Helvetica Neue"/>
          <w:color w:val="233447"/>
          <w:rtl w:val="0"/>
          <w:sz w:val="22"/>
          <w:b w:val="1"/>
        </w:rPr>
        <w:t xml:space="preserve">Register scope.</w:t>
      </w:r>
      <w:r>
        <w:rPr>
          <w:rFonts w:ascii="Helvetica Neue" w:cs="Helvetica Neue" w:eastAsia="Helvetica Neue" w:hAnsi="Helvetica Neue"/>
          <w:color w:val="233447"/>
          <w:rtl w:val="0"/>
          <w:sz w:val="22"/>
        </w:rPr>
        <w:t xml:space="preserve"> Load the business-unit boundary, assessed workflow inventory, deployment types, geographic scope, reporting period, accountable sponsors, and rubric version. Record sampling criteria so the agent does not assess only the most visible success stories.</w:t>
      </w:r>
    </w:p>
    <w:p>
      <w:pPr>
        <w:spacing w:after="110" w:line="300" w:lineRule="auto"/>
        <w:jc w:val="both"/>
        <w:rPr>
          <w:rFonts w:ascii="Helvetica Neue" w:cs="Helvetica Neue" w:eastAsia="Helvetica Neue" w:hAnsi="Helvetica Neue"/>
        </w:rPr>
        <w:keepNext w:val="0"/>
        <w:keepLines w:val="0"/>
        <w:widowControl w:val="1"/>
        <w:ind w:left="300" w:hanging="300"/>
      </w:pPr>
      <w:r>
        <w:t xml:space="preserve">2. </w:t>
      </w:r>
      <w:r>
        <w:rPr>
          <w:rFonts w:ascii="Helvetica Neue" w:cs="Helvetica Neue" w:eastAsia="Helvetica Neue" w:hAnsi="Helvetica Neue"/>
          <w:color w:val="233447"/>
          <w:rtl w:val="0"/>
          <w:sz w:val="22"/>
          <w:b w:val="1"/>
        </w:rPr>
        <w:t xml:space="preserve">Discover evidence.</w:t>
      </w:r>
      <w:r>
        <w:rPr>
          <w:rFonts w:ascii="Helvetica Neue" w:cs="Helvetica Neue" w:eastAsia="Helvetica Neue" w:hAnsi="Helvetica Neue"/>
          <w:color w:val="233447"/>
          <w:rtl w:val="0"/>
          <w:sz w:val="22"/>
        </w:rPr>
        <w:t xml:space="preserve"> Connect to the approved system inventory, procurement register, architecture records, data catalog, evaluation store, release records, incident system, finance ledger, and training records. Capture source identifiers, owners, timestamps, and access permissions.</w:t>
      </w:r>
    </w:p>
    <w:p>
      <w:pPr>
        <w:spacing w:after="110" w:line="300" w:lineRule="auto"/>
        <w:jc w:val="both"/>
        <w:rPr>
          <w:rFonts w:ascii="Helvetica Neue" w:cs="Helvetica Neue" w:eastAsia="Helvetica Neue" w:hAnsi="Helvetica Neue"/>
        </w:rPr>
        <w:keepNext w:val="0"/>
        <w:keepLines w:val="0"/>
        <w:widowControl w:val="1"/>
        <w:ind w:left="300" w:hanging="300"/>
      </w:pPr>
      <w:r>
        <w:t xml:space="preserve">3. </w:t>
      </w:r>
      <w:r>
        <w:rPr>
          <w:rFonts w:ascii="Helvetica Neue" w:cs="Helvetica Neue" w:eastAsia="Helvetica Neue" w:hAnsi="Helvetica Neue"/>
          <w:color w:val="233447"/>
          <w:rtl w:val="0"/>
          <w:sz w:val="22"/>
          <w:b w:val="1"/>
        </w:rPr>
        <w:t xml:space="preserve">Map evidence to claims.</w:t>
      </w:r>
      <w:r>
        <w:rPr>
          <w:rFonts w:ascii="Helvetica Neue" w:cs="Helvetica Neue" w:eastAsia="Helvetica Neue" w:hAnsi="Helvetica Neue"/>
          <w:color w:val="233447"/>
          <w:rtl w:val="0"/>
          <w:sz w:val="22"/>
        </w:rPr>
        <w:t xml:space="preserve"> Translate each rubric item into an observable claim. For example, “rollback is operational” requires a relevant tested procedure, a recent execution record, and the system version it covers. A policy document alone supports the existence of a policy.</w:t>
      </w:r>
    </w:p>
    <w:p>
      <w:pPr>
        <w:spacing w:after="110" w:line="300" w:lineRule="auto"/>
        <w:jc w:val="both"/>
        <w:rPr>
          <w:rFonts w:ascii="Helvetica Neue" w:cs="Helvetica Neue" w:eastAsia="Helvetica Neue" w:hAnsi="Helvetica Neue"/>
        </w:rPr>
        <w:keepNext w:val="0"/>
        <w:keepLines w:val="0"/>
        <w:widowControl w:val="1"/>
        <w:ind w:left="300" w:hanging="300"/>
      </w:pPr>
      <w:r>
        <w:t xml:space="preserve">4. </w:t>
      </w:r>
      <w:r>
        <w:rPr>
          <w:rFonts w:ascii="Helvetica Neue" w:cs="Helvetica Neue" w:eastAsia="Helvetica Neue" w:hAnsi="Helvetica Neue"/>
          <w:color w:val="233447"/>
          <w:rtl w:val="0"/>
          <w:sz w:val="22"/>
          <w:b w:val="1"/>
        </w:rPr>
        <w:t xml:space="preserve">Check completeness and contradictions.</w:t>
      </w:r>
      <w:r>
        <w:rPr>
          <w:rFonts w:ascii="Helvetica Neue" w:cs="Helvetica Neue" w:eastAsia="Helvetica Neue" w:hAnsi="Helvetica Neue"/>
          <w:color w:val="233447"/>
          <w:rtl w:val="0"/>
          <w:sz w:val="22"/>
        </w:rPr>
        <w:t xml:space="preserve"> Compare inventory with available usage and billing records; compare release claims with deployed versions; compare claimed savings with review time and finance records. Mark unavailable evidence as unknown. Distinguish absent practices from absent access to evidence.</w:t>
      </w:r>
    </w:p>
    <w:p>
      <w:pPr>
        <w:spacing w:after="110" w:line="300" w:lineRule="auto"/>
        <w:jc w:val="both"/>
        <w:rPr>
          <w:rFonts w:ascii="Helvetica Neue" w:cs="Helvetica Neue" w:eastAsia="Helvetica Neue" w:hAnsi="Helvetica Neue"/>
        </w:rPr>
        <w:keepNext w:val="0"/>
        <w:keepLines w:val="0"/>
        <w:widowControl w:val="1"/>
        <w:ind w:left="300" w:hanging="300"/>
      </w:pPr>
      <w:r>
        <w:t xml:space="preserve">5. </w:t>
      </w:r>
      <w:r>
        <w:rPr>
          <w:rFonts w:ascii="Helvetica Neue" w:cs="Helvetica Neue" w:eastAsia="Helvetica Neue" w:hAnsi="Helvetica Neue"/>
          <w:color w:val="233447"/>
          <w:rtl w:val="0"/>
          <w:sz w:val="22"/>
          <w:b w:val="1"/>
        </w:rPr>
        <w:t xml:space="preserve">Sample and verify.</w:t>
      </w:r>
      <w:r>
        <w:rPr>
          <w:rFonts w:ascii="Helvetica Neue" w:cs="Helvetica Neue" w:eastAsia="Helvetica Neue" w:hAnsi="Helvetica Neue"/>
          <w:color w:val="233447"/>
          <w:rtl w:val="0"/>
          <w:sz w:val="22"/>
        </w:rPr>
        <w:t xml:space="preserve"> Select representative deployments across risk tiers, teams, suppliers, and maturity stages. Include retired or failed projects. Review a sample of actual traces and operating records; ask evidence owners to resolve specific discrepancies.</w:t>
      </w:r>
    </w:p>
    <w:p>
      <w:pPr>
        <w:spacing w:after="110" w:line="300" w:lineRule="auto"/>
        <w:jc w:val="both"/>
        <w:rPr>
          <w:rFonts w:ascii="Helvetica Neue" w:cs="Helvetica Neue" w:eastAsia="Helvetica Neue" w:hAnsi="Helvetica Neue"/>
        </w:rPr>
        <w:keepNext w:val="0"/>
        <w:keepLines w:val="0"/>
        <w:widowControl w:val="1"/>
        <w:ind w:left="300" w:hanging="300"/>
      </w:pPr>
      <w:r>
        <w:t xml:space="preserve">6. </w:t>
      </w:r>
      <w:r>
        <w:rPr>
          <w:rFonts w:ascii="Helvetica Neue" w:cs="Helvetica Neue" w:eastAsia="Helvetica Neue" w:hAnsi="Helvetica Neue"/>
          <w:color w:val="233447"/>
          <w:rtl w:val="0"/>
          <w:sz w:val="22"/>
          <w:b w:val="1"/>
        </w:rPr>
        <w:t xml:space="preserve">Draft scores and readiness findings.</w:t>
      </w:r>
      <w:r>
        <w:rPr>
          <w:rFonts w:ascii="Helvetica Neue" w:cs="Helvetica Neue" w:eastAsia="Helvetica Neue" w:hAnsi="Helvetica Neue"/>
          <w:color w:val="233447"/>
          <w:rtl w:val="0"/>
          <w:sz w:val="22"/>
        </w:rPr>
        <w:t xml:space="preserve"> For every proposed rating, attach the criterion, observed fact, supporting source, observation period, exceptions, and confidence. Separate the agent's inference from the evidence. Do not infer deployed controls from design intentions.</w:t>
      </w:r>
    </w:p>
    <w:p>
      <w:pPr>
        <w:spacing w:after="110" w:line="300" w:lineRule="auto"/>
        <w:jc w:val="both"/>
        <w:rPr>
          <w:rFonts w:ascii="Helvetica Neue" w:cs="Helvetica Neue" w:eastAsia="Helvetica Neue" w:hAnsi="Helvetica Neue"/>
        </w:rPr>
        <w:keepNext w:val="0"/>
        <w:keepLines w:val="0"/>
        <w:widowControl w:val="1"/>
        <w:ind w:left="300" w:hanging="300"/>
      </w:pPr>
      <w:r>
        <w:t xml:space="preserve">7. </w:t>
      </w:r>
      <w:r>
        <w:rPr>
          <w:rFonts w:ascii="Helvetica Neue" w:cs="Helvetica Neue" w:eastAsia="Helvetica Neue" w:hAnsi="Helvetica Neue"/>
          <w:color w:val="233447"/>
          <w:rtl w:val="0"/>
          <w:sz w:val="22"/>
          <w:b w:val="1"/>
        </w:rPr>
        <w:t xml:space="preserve">Adjudicate with humans.</w:t>
      </w:r>
      <w:r>
        <w:rPr>
          <w:rFonts w:ascii="Helvetica Neue" w:cs="Helvetica Neue" w:eastAsia="Helvetica Neue" w:hAnsi="Helvetica Neue"/>
          <w:color w:val="233447"/>
          <w:rtl w:val="0"/>
          <w:sz w:val="22"/>
        </w:rPr>
        <w:t xml:space="preserve"> Domain owners verify workflow facts; engineering verifies operational claims; finance verifies benefits; risk and security functions review the applicable controls. A reviewer resolves disagreements and signs the assessment decision.</w:t>
      </w:r>
    </w:p>
    <w:p>
      <w:pPr>
        <w:spacing w:after="110" w:line="300" w:lineRule="auto"/>
        <w:jc w:val="both"/>
        <w:rPr>
          <w:rFonts w:ascii="Helvetica Neue" w:cs="Helvetica Neue" w:eastAsia="Helvetica Neue" w:hAnsi="Helvetica Neue"/>
        </w:rPr>
        <w:keepNext w:val="0"/>
        <w:keepLines w:val="0"/>
        <w:widowControl w:val="1"/>
        <w:ind w:left="300" w:hanging="300"/>
      </w:pPr>
      <w:r>
        <w:t xml:space="preserve">8. </w:t>
      </w:r>
      <w:r>
        <w:rPr>
          <w:rFonts w:ascii="Helvetica Neue" w:cs="Helvetica Neue" w:eastAsia="Helvetica Neue" w:hAnsi="Helvetica Neue"/>
          <w:color w:val="233447"/>
          <w:rtl w:val="0"/>
          <w:sz w:val="22"/>
          <w:b w:val="1"/>
        </w:rPr>
        <w:t xml:space="preserve">Create the improvement backlog.</w:t>
      </w:r>
      <w:r>
        <w:rPr>
          <w:rFonts w:ascii="Helvetica Neue" w:cs="Helvetica Neue" w:eastAsia="Helvetica Neue" w:hAnsi="Helvetica Neue"/>
          <w:color w:val="233447"/>
          <w:rtl w:val="0"/>
          <w:sz w:val="22"/>
        </w:rPr>
        <w:t xml:space="preserve"> Convert gaps into specific actions with an owner, expected effect, dependencies, cost range, due date, and evidence required for closure. Reassess after material changes and at the agreed portfolio cadence.</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The resulting evidence record should contain: assessment ID; workflow and system version; rubric criterion; evidence location and excerpt; evidence owner and observation date; assessment-agent output; reviewer decision; unresolved limitations; and next review trigger. These records make a rating inspectable without requiring reviewers to reconstruct an entire conversation.</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Evaluate the assessment agent itself. Measure evidence retrieval recall on expert-constructed questions, citation correctness, false claims of compliance, missed critical gaps, score agreement with independent reviewers, and review effort. Hold back a test set that includes stale policies, inaccessible systems, conflicting records, and polished but unsupported benefit claims. Never use its agreement with its own previous answers as a reliability measure.</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12" w:name="heading-9"/>
      <w:r>
        <w:rPr>
          <w:rFonts w:ascii="Helvetica Neue" w:cs="Helvetica Neue" w:eastAsia="Helvetica Neue" w:hAnsi="Helvetica Neue"/>
          <w:color w:val="000000"/>
          <w:rtl w:val="0"/>
          <w:b w:val="1"/>
          <w:sz w:val="22"/>
        </w:rPr>
        <w:t xml:space="preserve">2.3 Exact workflow for a customer support refund agent</w:t>
      </w:r>
      <w:bookmarkEnd w:id="1012"/>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Consider a hypothetical retailer that permits an agent to draft refund decisions. This is a design example, not a reported company deployment. The initial task is “prepare a policy-compliant resolution for this verified customer's order.” The live order record establishes what happened; the applicable policy establishes what is permitted; the authorization service establishes what the agent may execute. These sources have different authority.</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49"/>
        <w:gridCol w:w="3578"/>
        <w:gridCol w:w="439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Step</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Minimum context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Required behavior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Identify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Verified customer, order ID, tenant, staff role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Resolve identity and access before retrieving private records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Inspect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Order, delivery state, prior refunds, active dispute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Read current versions; flag missing or inconsistent state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Retrieve policy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Product, purchase date, region, effective policy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Return applicable clauses with version and source references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Propose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Eligibility facts, evidence, allowed remedies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Produce structured decision, amount, rationale, and unresolved questions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Authorize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Delegation limit, risk rules, reviewer decision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Enforce limits outside the model; bind approval to the specific proposal</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Execute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Approved amount, fresh order state, transaction key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Recheck preconditions; prevent duplicate refund; record result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Verify and close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Payment status, case state, approved response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Confirm the actual outcome; escalate partial failure; preserve audit evidence</w:t>
            </w:r>
          </w:p>
        </w:tc>
      </w:tr>
    </w:tbl>
    <w:p>
      <w:pPr>
        <w:spacing w:after="50" w:line="50" w:lineRule="exact"/>
        <w:jc w:val="both"/>
        <w:rPr>
          <w:rFonts w:ascii="Helvetica Neue" w:cs="Helvetica Neue" w:eastAsia="Helvetica Neue" w:hAnsi="Helvetica Neue"/>
        </w:rPr>
        <w:keepNext w:val="0"/>
        <w:keepLines w:val="0"/>
        <w:widowControl w:val="1"/>
      </w:pP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 successful tool call is insufficient: the correct customer must receive the correct outcome once, with the case and payment records consistent. The tau-bench research provides a useful evaluation pattern by checking final database state and repeated-trial reliability in simulated service domains. Its historical model scores should not be treated as current enterprise performance predictions. </w:t>
      </w:r>
      <w:hyperlink w:anchor="ref-10">
        <w:r>
          <w:rPr>
            <w:rFonts w:ascii="Helvetica Neue" w:cs="Helvetica Neue" w:eastAsia="Helvetica Neue" w:hAnsi="Helvetica Neue"/>
            <w:color w:val="2F6B9A"/>
            <w:rtl w:val="0"/>
            <w:sz w:val="22"/>
          </w:rPr>
          <w:t xml:space="preserve">[10]</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Exceptions determine the operating boundary. If a refund request contains instructions to disregard policy, those words remain customer data. If the applicable policy cannot be established, the agent routes the case for review. If a payment request times out, it checks the transaction state before retrying. If the approval refers to an earlier amount or an obsolete record version, it requests renewed authorization. A reviewer needs the relevant facts and uncertainty, not merely a fluent recommendation.</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13" w:name="heading-10"/>
      <w:r>
        <w:rPr>
          <w:rFonts w:ascii="Helvetica Neue" w:cs="Helvetica Neue" w:eastAsia="Helvetica Neue" w:hAnsi="Helvetica Neue"/>
          <w:color w:val="000000"/>
          <w:rtl w:val="0"/>
          <w:b w:val="1"/>
          <w:sz w:val="22"/>
        </w:rPr>
        <w:t xml:space="preserve">2.4 Managing context as a production dependency</w:t>
      </w:r>
      <w:bookmarkEnd w:id="1013"/>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Create a knowledge lifecycle with owners, ingestion rules, versioning, access control, freshness checks, and retirement. Preserve document structure, effective dates, and source links during indexing. Retrieve according to the current user's permissions, and apply restrictions to cached answers, memories, and logs as well as source documents. High-value records should be read from systems of record when current state matters; a search index may be too stale for a transaction.</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More context is not automatically better context. “Lost in the Middle” shows that language models can use relevant information unevenly depending on where it appears in long inputs. Anthropic's engineering guidance describes context curation, tool design, compaction, and structured notes for long-running agents. The practical implication is to test context selection and composition, including the effect of omitted and distracting information, for the actual workload. </w:t>
      </w:r>
      <w:hyperlink w:anchor="ref-11">
        <w:r>
          <w:rPr>
            <w:rFonts w:ascii="Helvetica Neue" w:cs="Helvetica Neue" w:eastAsia="Helvetica Neue" w:hAnsi="Helvetica Neue"/>
            <w:color w:val="2F6B9A"/>
            <w:rtl w:val="0"/>
            <w:sz w:val="22"/>
          </w:rPr>
          <w:t xml:space="preserve">[11]</w:t>
        </w:r>
      </w:hyperlink>
      <w:r>
        <w:rPr>
          <w:rFonts w:ascii="Helvetica Neue" w:cs="Helvetica Neue" w:eastAsia="Helvetica Neue" w:hAnsi="Helvetica Neue"/>
          <w:color w:val="233447"/>
          <w:rtl w:val="0"/>
          <w:sz w:val="22"/>
        </w:rPr>
        <w:t xml:space="preserve"> </w:t>
      </w:r>
      <w:hyperlink w:anchor="ref-12">
        <w:r>
          <w:rPr>
            <w:rFonts w:ascii="Helvetica Neue" w:cs="Helvetica Neue" w:eastAsia="Helvetica Neue" w:hAnsi="Helvetica Neue"/>
            <w:color w:val="2F6B9A"/>
            <w:rtl w:val="0"/>
            <w:sz w:val="22"/>
          </w:rPr>
          <w:t xml:space="preserve">[12]</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Preserve a trust boundary between instructions and retrieved content. External documents, tickets, emails, and tool responses can contain prompt-injection attempts. OWASP describes both direct and indirect injection and recommends layered controls. Constrain tool capabilities, validate structured arguments, minimize privileges, and require authorization where the consequence warrants it. Retrieval and system prompts alone do not eliminate this class of failure. </w:t>
      </w:r>
      <w:hyperlink w:anchor="ref-13">
        <w:r>
          <w:rPr>
            <w:rFonts w:ascii="Helvetica Neue" w:cs="Helvetica Neue" w:eastAsia="Helvetica Neue" w:hAnsi="Helvetica Neue"/>
            <w:color w:val="2F6B9A"/>
            <w:rtl w:val="0"/>
            <w:sz w:val="22"/>
          </w:rPr>
          <w:t xml:space="preserve">[13]</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Memory needs the same governance as any other derived data. Tag entries with source and age; distinguish verified facts from tentative summaries; expire preferences when appropriate; support deletion and correction. Do not let a summary silently convert an unverified statement into an authoritative fact. Secrets belong in credential systems rather than model-visible context.</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14" w:name="heading-11"/>
      <w:r>
        <w:rPr>
          <w:rFonts w:ascii="Helvetica Neue" w:cs="Helvetica Neue" w:eastAsia="Helvetica Neue" w:hAnsi="Helvetica Neue"/>
          <w:color w:val="000000"/>
          <w:rtl w:val="0"/>
          <w:b w:val="1"/>
          <w:sz w:val="22"/>
        </w:rPr>
        <w:t xml:space="preserve">2.5 What to measure about context</w:t>
      </w:r>
      <w:bookmarkEnd w:id="1014"/>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Measure context quality at several points. </w:t>
      </w:r>
      <w:r>
        <w:rPr>
          <w:rFonts w:ascii="Helvetica Neue" w:cs="Helvetica Neue" w:eastAsia="Helvetica Neue" w:hAnsi="Helvetica Neue"/>
          <w:color w:val="233447"/>
          <w:rtl w:val="0"/>
          <w:sz w:val="22"/>
          <w:b w:val="1"/>
        </w:rPr>
        <w:t xml:space="preserve">Retrieval recall</w:t>
      </w:r>
      <w:r>
        <w:rPr>
          <w:rFonts w:ascii="Helvetica Neue" w:cs="Helvetica Neue" w:eastAsia="Helvetica Neue" w:hAnsi="Helvetica Neue"/>
          <w:color w:val="233447"/>
          <w:rtl w:val="0"/>
          <w:sz w:val="22"/>
        </w:rPr>
        <w:t xml:space="preserve"> asks whether needed evidence was found. </w:t>
      </w:r>
      <w:r>
        <w:rPr>
          <w:rFonts w:ascii="Helvetica Neue" w:cs="Helvetica Neue" w:eastAsia="Helvetica Neue" w:hAnsi="Helvetica Neue"/>
          <w:color w:val="233447"/>
          <w:rtl w:val="0"/>
          <w:sz w:val="22"/>
          <w:b w:val="1"/>
        </w:rPr>
        <w:t xml:space="preserve">Context precision</w:t>
      </w:r>
      <w:r>
        <w:rPr>
          <w:rFonts w:ascii="Helvetica Neue" w:cs="Helvetica Neue" w:eastAsia="Helvetica Neue" w:hAnsi="Helvetica Neue"/>
          <w:color w:val="233447"/>
          <w:rtl w:val="0"/>
          <w:sz w:val="22"/>
        </w:rPr>
        <w:t xml:space="preserve"> asks how much retrieved material was relevant. </w:t>
      </w:r>
      <w:r>
        <w:rPr>
          <w:rFonts w:ascii="Helvetica Neue" w:cs="Helvetica Neue" w:eastAsia="Helvetica Neue" w:hAnsi="Helvetica Neue"/>
          <w:color w:val="233447"/>
          <w:rtl w:val="0"/>
          <w:sz w:val="22"/>
          <w:b w:val="1"/>
        </w:rPr>
        <w:t xml:space="preserve">Groundedness</w:t>
      </w:r>
      <w:r>
        <w:rPr>
          <w:rFonts w:ascii="Helvetica Neue" w:cs="Helvetica Neue" w:eastAsia="Helvetica Neue" w:hAnsi="Helvetica Neue"/>
          <w:color w:val="233447"/>
          <w:rtl w:val="0"/>
          <w:sz w:val="22"/>
        </w:rPr>
        <w:t xml:space="preserve"> asks whether claims are supported by their cited sources; </w:t>
      </w:r>
      <w:r>
        <w:rPr>
          <w:rFonts w:ascii="Helvetica Neue" w:cs="Helvetica Neue" w:eastAsia="Helvetica Neue" w:hAnsi="Helvetica Neue"/>
          <w:color w:val="233447"/>
          <w:rtl w:val="0"/>
          <w:sz w:val="22"/>
          <w:b w:val="1"/>
        </w:rPr>
        <w:t xml:space="preserve">correctness</w:t>
      </w:r>
      <w:r>
        <w:rPr>
          <w:rFonts w:ascii="Helvetica Neue" w:cs="Helvetica Neue" w:eastAsia="Helvetica Neue" w:hAnsi="Helvetica Neue"/>
          <w:color w:val="233447"/>
          <w:rtl w:val="0"/>
          <w:sz w:val="22"/>
        </w:rPr>
        <w:t xml:space="preserve"> asks whether the answer is right in the real task. A fully grounded answer can still be wrong if its source is obsolete. Measure applicability and freshness separately.</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For agents, add policy adherence, correct tool selection, argument validity, final-state correctness, repeated-trial success, unauthorized-action attempts, duplicate side effects, and recoverability. Include multilingual, ambiguous, exceptional, and adversarial cases. Sample complete trajectories and terminal records rather than grading only final prose. Test on a defined population and disclose the number of cases and independent trials.</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Version the evaluation bundle with the model, prompts, knowledge snapshot or source versions, retrieval configuration, tool schemas, permissions, and policy rules. A change in any of these can invalidate the prior readiness decision. Model cards and dataset documentation offer useful foundations for intended use, limitations, data provenance, and evaluation reporting; extend them to the full workflow and its context dependencies. </w:t>
      </w:r>
      <w:hyperlink w:anchor="ref-14">
        <w:r>
          <w:rPr>
            <w:rFonts w:ascii="Helvetica Neue" w:cs="Helvetica Neue" w:eastAsia="Helvetica Neue" w:hAnsi="Helvetica Neue"/>
            <w:color w:val="2F6B9A"/>
            <w:rtl w:val="0"/>
            <w:sz w:val="22"/>
          </w:rPr>
          <w:t xml:space="preserve">[14]</w:t>
        </w:r>
      </w:hyperlink>
      <w:r>
        <w:rPr>
          <w:rFonts w:ascii="Helvetica Neue" w:cs="Helvetica Neue" w:eastAsia="Helvetica Neue" w:hAnsi="Helvetica Neue"/>
          <w:color w:val="233447"/>
          <w:rtl w:val="0"/>
          <w:sz w:val="22"/>
        </w:rPr>
        <w:t xml:space="preserve"> </w:t>
      </w:r>
      <w:hyperlink w:anchor="ref-15">
        <w:r>
          <w:rPr>
            <w:rFonts w:ascii="Helvetica Neue" w:cs="Helvetica Neue" w:eastAsia="Helvetica Neue" w:hAnsi="Helvetica Neue"/>
            <w:color w:val="2F6B9A"/>
            <w:rtl w:val="0"/>
            <w:sz w:val="22"/>
          </w:rPr>
          <w:t xml:space="preserve">[15]</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To diagnose a failure, compare the same tasks with the current process, the model with no retrieved context, the production retrieval pipeline, and a carefully curated expert context set. This proposed ablation separates failures of retrieval from failures of generation or task design. Add tests with stale, contradictory, and deliberately irrelevant context. If expert context restores performance, prioritize the knowledge pipeline before paying for a larger model.</w:t>
      </w:r>
    </w:p>
    <w:p>
      <w:pPr>
        <w:spacing w:after="100" w:line="280" w:lineRule="auto" w:before="160"/>
        <w:jc w:val="left"/>
        <w:rPr>
          <w:rFonts w:ascii="Helvetica Neue" w:cs="Helvetica Neue" w:eastAsia="Helvetica Neue" w:hAnsi="Helvetica Neue"/>
        </w:rPr>
        <w:pStyle w:val="Heading1"/>
        <w:outlineLvl w:val="0"/>
        <w:keepNext w:val="1"/>
        <w:keepLines w:val="1"/>
        <w:pageBreakBefore w:val="1"/>
      </w:pPr>
      <w:bookmarkStart w:id="1015" w:name="industry"/>
      <w:r>
        <w:rPr>
          <w:rFonts w:ascii="Helvetica Neue" w:cs="Helvetica Neue" w:eastAsia="Helvetica Neue" w:hAnsi="Helvetica Neue"/>
          <w:color w:val="000000"/>
          <w:rtl w:val="0"/>
          <w:b w:val="1"/>
          <w:sz w:val="27"/>
        </w:rPr>
        <w:t xml:space="preserve">3 What we have in the industry</w:t>
      </w:r>
      <w:bookmarkEnd w:id="1015"/>
    </w:p>
    <w:p>
      <w:pPr>
        <w:spacing w:after="100" w:line="280" w:lineRule="auto" w:before="260"/>
        <w:jc w:val="left"/>
        <w:rPr>
          <w:rFonts w:ascii="Helvetica Neue" w:cs="Helvetica Neue" w:eastAsia="Helvetica Neue" w:hAnsi="Helvetica Neue"/>
        </w:rPr>
        <w:pStyle w:val="Heading3"/>
        <w:outlineLvl w:val="1"/>
        <w:keepNext w:val="1"/>
        <w:keepLines w:val="1"/>
      </w:pPr>
      <w:bookmarkStart w:id="1016" w:name="heading-12"/>
      <w:r>
        <w:rPr>
          <w:rFonts w:ascii="Helvetica Neue" w:cs="Helvetica Neue" w:eastAsia="Helvetica Neue" w:hAnsi="Helvetica Neue"/>
          <w:color w:val="000000"/>
          <w:rtl w:val="0"/>
          <w:b w:val="1"/>
          <w:sz w:val="22"/>
        </w:rPr>
        <w:t xml:space="preserve">3.1 The landscape consists of complementary assessment layers</w:t>
      </w:r>
      <w:bookmarkEnd w:id="1016"/>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Industry addresses AI maturity through overlapping approaches: organizational capability frameworks, management systems, risk frameworks, engineering readiness tests, model evaluations, and business outcome measurement. Their purposes differ. Combining them deliberately is more useful than selecting a single framework and interpreting its score as an answer to every question.</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49"/>
        <w:gridCol w:w="3578"/>
        <w:gridCol w:w="439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Approach</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Useful contribution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Limit of the evidence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NIST AI RMF 1.0 and GenAI Profile </w:t>
            </w:r>
            <w:hyperlink w:anchor="ref-16">
              <w:r>
                <w:rPr>
                  <w:rFonts w:ascii="Helvetica Neue" w:cs="Helvetica Neue" w:eastAsia="Helvetica Neue" w:hAnsi="Helvetica Neue"/>
                  <w:color w:val="2F6B9A"/>
                  <w:rtl w:val="0"/>
                  <w:sz w:val="21"/>
                </w:rPr>
                <w:t xml:space="preserve">[16]</w:t>
              </w:r>
            </w:hyperlink>
            <w:r>
              <w:rPr>
                <w:rFonts w:ascii="Helvetica Neue" w:cs="Helvetica Neue" w:eastAsia="Helvetica Neue" w:hAnsi="Helvetica Neue"/>
                <w:color w:val="233447"/>
                <w:rtl w:val="0"/>
                <w:sz w:val="21"/>
              </w:rPr>
              <w:t xml:space="preserve"> </w:t>
            </w:r>
            <w:hyperlink w:anchor="ref-17">
              <w:r>
                <w:rPr>
                  <w:rFonts w:ascii="Helvetica Neue" w:cs="Helvetica Neue" w:eastAsia="Helvetica Neue" w:hAnsi="Helvetica Neue"/>
                  <w:color w:val="2F6B9A"/>
                  <w:rtl w:val="0"/>
                  <w:sz w:val="21"/>
                </w:rPr>
                <w:t xml:space="preserve">[17]</w:t>
              </w:r>
            </w:hyperlink>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Govern, Map, Measure, and Manage activities; context-sensitive risk work</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Voluntary guidance; does not certify ROI or supply a universal maturity score</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ISO/IEC 42001 </w:t>
            </w:r>
            <w:hyperlink w:anchor="ref-18">
              <w:r>
                <w:rPr>
                  <w:rFonts w:ascii="Helvetica Neue" w:cs="Helvetica Neue" w:eastAsia="Helvetica Neue" w:hAnsi="Helvetica Neue"/>
                  <w:color w:val="2F6B9A"/>
                  <w:rtl w:val="0"/>
                  <w:sz w:val="21"/>
                </w:rPr>
                <w:t xml:space="preserve">[18]</w:t>
              </w:r>
            </w:hyperlink>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Requirements for an AI management system and continual improvement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Management-system conformity within scope does not prove each model is correct or valuable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AWS CAF for AI </w:t>
            </w:r>
            <w:hyperlink w:anchor="ref-19">
              <w:r>
                <w:rPr>
                  <w:rFonts w:ascii="Helvetica Neue" w:cs="Helvetica Neue" w:eastAsia="Helvetica Neue" w:hAnsi="Helvetica Neue"/>
                  <w:color w:val="2F6B9A"/>
                  <w:rtl w:val="0"/>
                  <w:sz w:val="21"/>
                </w:rPr>
                <w:t xml:space="preserve">[19]</w:t>
              </w:r>
            </w:hyperlink>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Capability planning across business, people, governance, platform, security, operations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Provider guidance; recommendations need adaptation to local architecture and economics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Google Cloud MLOps levels </w:t>
            </w:r>
            <w:hyperlink w:anchor="ref-20">
              <w:r>
                <w:rPr>
                  <w:rFonts w:ascii="Helvetica Neue" w:cs="Helvetica Neue" w:eastAsia="Helvetica Neue" w:hAnsi="Helvetica Neue"/>
                  <w:color w:val="2F6B9A"/>
                  <w:rtl w:val="0"/>
                  <w:sz w:val="21"/>
                </w:rPr>
                <w:t xml:space="preserve">[20]</w:t>
              </w:r>
            </w:hyperlink>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Progression from manual processes to pipeline automation and CI/CD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Engineering automation maturity, primarily predictive AI; incomplete as an enterprise assessment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ML Test Score </w:t>
            </w:r>
            <w:hyperlink w:anchor="ref-4">
              <w:r>
                <w:rPr>
                  <w:rFonts w:ascii="Helvetica Neue" w:cs="Helvetica Neue" w:eastAsia="Helvetica Neue" w:hAnsi="Helvetica Neue"/>
                  <w:color w:val="2F6B9A"/>
                  <w:rtl w:val="0"/>
                  <w:sz w:val="21"/>
                </w:rPr>
                <w:t xml:space="preserve">[4]</w:t>
              </w:r>
            </w:hyperlink>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Concrete production-readiness tests for data, models, infrastructure, monitoring</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System-level engineering rubric; does not establish business impact</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AI Verify and Project Moonshot </w:t>
            </w:r>
            <w:hyperlink w:anchor="ref-21">
              <w:r>
                <w:rPr>
                  <w:rFonts w:ascii="Helvetica Neue" w:cs="Helvetica Neue" w:eastAsia="Helvetica Neue" w:hAnsi="Helvetica Neue"/>
                  <w:color w:val="2F6B9A"/>
                  <w:rtl w:val="0"/>
                  <w:sz w:val="21"/>
                </w:rPr>
                <w:t xml:space="preserve">[21]</w:t>
              </w:r>
            </w:hyperlink>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Process checks and technical testing; LLM benchmarking and red teaming</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Test results depend on coverage and configuration; do not replace workflow validation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Local controlled evaluations </w:t>
            </w:r>
            <w:hyperlink w:anchor="ref-6">
              <w:r>
                <w:rPr>
                  <w:rFonts w:ascii="Helvetica Neue" w:cs="Helvetica Neue" w:eastAsia="Helvetica Neue" w:hAnsi="Helvetica Neue"/>
                  <w:color w:val="2F6B9A"/>
                  <w:rtl w:val="0"/>
                  <w:sz w:val="21"/>
                </w:rPr>
                <w:t xml:space="preserve">[6]</w:t>
              </w:r>
            </w:hyperlink>
            <w:r>
              <w:rPr>
                <w:rFonts w:ascii="Helvetica Neue" w:cs="Helvetica Neue" w:eastAsia="Helvetica Neue" w:hAnsi="Helvetica Neue"/>
                <w:color w:val="233447"/>
                <w:rtl w:val="0"/>
                <w:sz w:val="21"/>
              </w:rPr>
              <w:t xml:space="preserve"> </w:t>
            </w:r>
            <w:hyperlink w:anchor="ref-22">
              <w:r>
                <w:rPr>
                  <w:rFonts w:ascii="Helvetica Neue" w:cs="Helvetica Neue" w:eastAsia="Helvetica Neue" w:hAnsi="Helvetica Neue"/>
                  <w:color w:val="2F6B9A"/>
                  <w:rtl w:val="0"/>
                  <w:sz w:val="21"/>
                </w:rPr>
                <w:t xml:space="preserve">[22]</w:t>
              </w:r>
            </w:hyperlink>
            <w:r>
              <w:rPr>
                <w:rFonts w:ascii="Helvetica Neue" w:cs="Helvetica Neue" w:eastAsia="Helvetica Neue" w:hAnsi="Helvetica Neue"/>
                <w:color w:val="233447"/>
                <w:rtl w:val="0"/>
                <w:sz w:val="21"/>
              </w:rPr>
              <w:t xml:space="preserve"> </w:t>
            </w:r>
            <w:hyperlink w:anchor="ref-23">
              <w:r>
                <w:rPr>
                  <w:rFonts w:ascii="Helvetica Neue" w:cs="Helvetica Neue" w:eastAsia="Helvetica Neue" w:hAnsi="Helvetica Neue"/>
                  <w:color w:val="2F6B9A"/>
                  <w:rtl w:val="0"/>
                  <w:sz w:val="21"/>
                </w:rPr>
                <w:t xml:space="preserve">[23]</w:t>
              </w:r>
            </w:hyperlink>
            <w:r>
              <w:rPr>
                <w:rFonts w:ascii="Helvetica Neue" w:cs="Helvetica Neue" w:eastAsia="Helvetica Neue" w:hAnsi="Helvetica Neue"/>
                <w:color w:val="233447"/>
                <w:rtl w:val="0"/>
                <w:sz w:val="21"/>
              </w:rPr>
              <w:t xml:space="preserve"> </w:t>
            </w:r>
            <w:hyperlink w:anchor="ref-24">
              <w:r>
                <w:rPr>
                  <w:rFonts w:ascii="Helvetica Neue" w:cs="Helvetica Neue" w:eastAsia="Helvetica Neue" w:hAnsi="Helvetica Neue"/>
                  <w:color w:val="2F6B9A"/>
                  <w:rtl w:val="0"/>
                  <w:sz w:val="21"/>
                </w:rPr>
                <w:t xml:space="preserve">[24]</w:t>
              </w:r>
            </w:hyperlink>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Evidence of effects on a specified task and population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Limited transfer across models, workers, settings, and periods</w:t>
            </w:r>
          </w:p>
        </w:tc>
      </w:tr>
    </w:tbl>
    <w:p>
      <w:pPr>
        <w:spacing w:after="50" w:line="50" w:lineRule="exact"/>
        <w:jc w:val="both"/>
        <w:rPr>
          <w:rFonts w:ascii="Helvetica Neue" w:cs="Helvetica Neue" w:eastAsia="Helvetica Neue" w:hAnsi="Helvetica Neue"/>
        </w:rPr>
        <w:keepNext w:val="0"/>
        <w:keepLines w:val="0"/>
        <w:widowControl w:val="1"/>
      </w:pP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NIST's four functions help structure recurring risk work: establish accountability, understand the use context, evaluate relevant properties, and act on the findings. The GenAI Profile extends attention to risks associated with generative systems. A company can use these resources to organize control evidence and review obligations while using its own outcome measures to decide whether an application is worthwhile. The referenced editions are AI RMF 1.0 from 2023 and the GenAI Profile from 2024; NIST's resource center indicated that RMF 1.0 was being revised at the access date. </w:t>
      </w:r>
      <w:hyperlink w:anchor="ref-16">
        <w:r>
          <w:rPr>
            <w:rFonts w:ascii="Helvetica Neue" w:cs="Helvetica Neue" w:eastAsia="Helvetica Neue" w:hAnsi="Helvetica Neue"/>
            <w:color w:val="2F6B9A"/>
            <w:rtl w:val="0"/>
            <w:sz w:val="22"/>
          </w:rPr>
          <w:t xml:space="preserve">[16]</w:t>
        </w:r>
      </w:hyperlink>
      <w:r>
        <w:rPr>
          <w:rFonts w:ascii="Helvetica Neue" w:cs="Helvetica Neue" w:eastAsia="Helvetica Neue" w:hAnsi="Helvetica Neue"/>
          <w:color w:val="233447"/>
          <w:rtl w:val="0"/>
          <w:sz w:val="22"/>
        </w:rPr>
        <w:t xml:space="preserve"> </w:t>
      </w:r>
      <w:hyperlink w:anchor="ref-17">
        <w:r>
          <w:rPr>
            <w:rFonts w:ascii="Helvetica Neue" w:cs="Helvetica Neue" w:eastAsia="Helvetica Neue" w:hAnsi="Helvetica Neue"/>
            <w:color w:val="2F6B9A"/>
            <w:rtl w:val="0"/>
            <w:sz w:val="22"/>
          </w:rPr>
          <w:t xml:space="preserve">[17]</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ISO/IEC 42001 addresses the management system an organization establishes and maintains around AI. Its public description supports this organizational use; the standard is not a benchmark of a particular model. A company should map applicable requirements to its existing risk and quality processes and define the certification scope if certification is sought. Neither certification nor a provider's compliance claim removes the need for local evaluation. </w:t>
      </w:r>
      <w:hyperlink w:anchor="ref-18">
        <w:r>
          <w:rPr>
            <w:rFonts w:ascii="Helvetica Neue" w:cs="Helvetica Neue" w:eastAsia="Helvetica Neue" w:hAnsi="Helvetica Neue"/>
            <w:color w:val="2F6B9A"/>
            <w:rtl w:val="0"/>
            <w:sz w:val="22"/>
          </w:rPr>
          <w:t xml:space="preserve">[18]</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Engineering and adoption frameworks supply practical implementation detail. Google Cloud describes MLOps level 0 as a manual process, level 1 as ML pipeline automation, and level 2 as CI/CD pipeline automation. AWS CAF-AI broadens planning to organizational capabilities. AI Verify and Moonshot make aspects of assessment executable through testing tools. These resources reduce the cost of constructing an assessment, but their outputs should remain attached to the system, workload, and assumptions actually assessed. </w:t>
      </w:r>
      <w:hyperlink w:anchor="ref-19">
        <w:r>
          <w:rPr>
            <w:rFonts w:ascii="Helvetica Neue" w:cs="Helvetica Neue" w:eastAsia="Helvetica Neue" w:hAnsi="Helvetica Neue"/>
            <w:color w:val="2F6B9A"/>
            <w:rtl w:val="0"/>
            <w:sz w:val="22"/>
          </w:rPr>
          <w:t xml:space="preserve">[19]</w:t>
        </w:r>
      </w:hyperlink>
      <w:r>
        <w:rPr>
          <w:rFonts w:ascii="Helvetica Neue" w:cs="Helvetica Neue" w:eastAsia="Helvetica Neue" w:hAnsi="Helvetica Neue"/>
          <w:color w:val="233447"/>
          <w:rtl w:val="0"/>
          <w:sz w:val="22"/>
        </w:rPr>
        <w:t xml:space="preserve"> </w:t>
      </w:r>
      <w:hyperlink w:anchor="ref-20">
        <w:r>
          <w:rPr>
            <w:rFonts w:ascii="Helvetica Neue" w:cs="Helvetica Neue" w:eastAsia="Helvetica Neue" w:hAnsi="Helvetica Neue"/>
            <w:color w:val="2F6B9A"/>
            <w:rtl w:val="0"/>
            <w:sz w:val="22"/>
          </w:rPr>
          <w:t xml:space="preserve">[20]</w:t>
        </w:r>
      </w:hyperlink>
      <w:r>
        <w:rPr>
          <w:rFonts w:ascii="Helvetica Neue" w:cs="Helvetica Neue" w:eastAsia="Helvetica Neue" w:hAnsi="Helvetica Neue"/>
          <w:color w:val="233447"/>
          <w:rtl w:val="0"/>
          <w:sz w:val="22"/>
        </w:rPr>
        <w:t xml:space="preserve"> </w:t>
      </w:r>
      <w:hyperlink w:anchor="ref-21">
        <w:r>
          <w:rPr>
            <w:rFonts w:ascii="Helvetica Neue" w:cs="Helvetica Neue" w:eastAsia="Helvetica Neue" w:hAnsi="Helvetica Neue"/>
            <w:color w:val="2F6B9A"/>
            <w:rtl w:val="0"/>
            <w:sz w:val="22"/>
          </w:rPr>
          <w:t xml:space="preserve">[21]</w:t>
        </w:r>
      </w:hyperlink>
    </w:p>
    <w:p>
      <w:pPr>
        <w:spacing w:after="100" w:line="280" w:lineRule="auto" w:before="260"/>
        <w:jc w:val="left"/>
        <w:rPr>
          <w:rFonts w:ascii="Helvetica Neue" w:cs="Helvetica Neue" w:eastAsia="Helvetica Neue" w:hAnsi="Helvetica Neue"/>
        </w:rPr>
        <w:pStyle w:val="Heading3"/>
        <w:outlineLvl w:val="1"/>
        <w:keepNext w:val="1"/>
        <w:keepLines w:val="1"/>
      </w:pPr>
      <w:bookmarkStart w:id="1017" w:name="heading-13"/>
      <w:r>
        <w:rPr>
          <w:rFonts w:ascii="Helvetica Neue" w:cs="Helvetica Neue" w:eastAsia="Helvetica Neue" w:hAnsi="Helvetica Neue"/>
          <w:color w:val="000000"/>
          <w:rtl w:val="0"/>
          <w:b w:val="1"/>
          <w:sz w:val="22"/>
        </w:rPr>
        <w:t xml:space="preserve">3.2 What academia contributes</w:t>
      </w:r>
      <w:bookmarkEnd w:id="1017"/>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Readiness is sociotechnical and purpose-specific.</w:t>
      </w:r>
      <w:r>
        <w:rPr>
          <w:rFonts w:ascii="Helvetica Neue" w:cs="Helvetica Neue" w:eastAsia="Helvetica Neue" w:hAnsi="Helvetica Neue"/>
          <w:color w:val="233447"/>
          <w:rtl w:val="0"/>
          <w:sz w:val="22"/>
        </w:rPr>
        <w:t xml:space="preserve"> Jöhnk and colleagues used interviews with 25 AI experts, triangulated with literature, to identify 18 factors in five categories and 58 illustrative indicators. This provides a useful starting inventory for interviews and evidence collection. The indicators were presented as foundations for further validation, not as universal pass marks. A company should operationalize them for its intended AI use. </w:t>
      </w:r>
      <w:hyperlink w:anchor="ref-1">
        <w:r>
          <w:rPr>
            <w:rFonts w:ascii="Helvetica Neue" w:cs="Helvetica Neue" w:eastAsia="Helvetica Neue" w:hAnsi="Helvetica Neue"/>
            <w:color w:val="2F6B9A"/>
            <w:rtl w:val="0"/>
            <w:sz w:val="22"/>
          </w:rPr>
          <w:t xml:space="preserve">[1]</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Capabilities combine resources.</w:t>
      </w:r>
      <w:r>
        <w:rPr>
          <w:rFonts w:ascii="Helvetica Neue" w:cs="Helvetica Neue" w:eastAsia="Helvetica Neue" w:hAnsi="Helvetica Neue"/>
          <w:color w:val="233447"/>
          <w:rtl w:val="0"/>
          <w:sz w:val="22"/>
        </w:rPr>
        <w:t xml:space="preserve"> Mikalef and Gupta develop and empirically examine an AI capability instrument grounded in resource-based theory. Their framework includes data and technology, technical and business skills, interdepartmental coordination, change capacity, and risk orientation. It directs attention to complementary organizational resources. Associations in survey-based research should not be interpreted as proof that raising a questionnaire score causes a particular financial return. </w:t>
      </w:r>
      <w:hyperlink w:anchor="ref-2">
        <w:r>
          <w:rPr>
            <w:rFonts w:ascii="Helvetica Neue" w:cs="Helvetica Neue" w:eastAsia="Helvetica Neue" w:hAnsi="Helvetica Neue"/>
            <w:color w:val="2F6B9A"/>
            <w:rtl w:val="0"/>
            <w:sz w:val="22"/>
          </w:rPr>
          <w:t xml:space="preserve">[2]</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Maturity models need scrutiny as measurement instruments.</w:t>
      </w:r>
      <w:r>
        <w:rPr>
          <w:rFonts w:ascii="Helvetica Neue" w:cs="Helvetica Neue" w:eastAsia="Helvetica Neue" w:hAnsi="Helvetica Neue"/>
          <w:color w:val="233447"/>
          <w:rtl w:val="0"/>
          <w:sz w:val="22"/>
        </w:rPr>
        <w:t xml:space="preserve"> Sadiq and colleagues' systematic review documents AI maturity models and their components. The practical implication is to examine a model's intended use, dimension definitions, scoring anchors, evidence requirements, and validation before adopting its labels. A visually convincing ladder does not establish that organizations follow the same sequence or that a one-point change is meaningful. </w:t>
      </w:r>
      <w:hyperlink w:anchor="ref-25">
        <w:r>
          <w:rPr>
            <w:rFonts w:ascii="Helvetica Neue" w:cs="Helvetica Neue" w:eastAsia="Helvetica Neue" w:hAnsi="Helvetica Neue"/>
            <w:color w:val="2F6B9A"/>
            <w:rtl w:val="0"/>
            <w:sz w:val="22"/>
          </w:rPr>
          <w:t xml:space="preserve">[25]</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Operational reliability requires system-level evidence.</w:t>
      </w:r>
      <w:r>
        <w:rPr>
          <w:rFonts w:ascii="Helvetica Neue" w:cs="Helvetica Neue" w:eastAsia="Helvetica Neue" w:hAnsi="Helvetica Neue"/>
          <w:color w:val="233447"/>
          <w:rtl w:val="0"/>
          <w:sz w:val="22"/>
        </w:rPr>
        <w:t xml:space="preserve"> Sculley and colleagues describe technical debt created by data dependencies, entanglement, hidden consumers, and feedback loops. Breck and colleagues turn production concerns into actionable tests. Model cards and datasheets add structured communication about models and datasets. Together, these research contributions suggest testing and documenting the surrounding system rather than evaluating model accuracy in isolation. </w:t>
      </w:r>
      <w:hyperlink w:anchor="ref-3">
        <w:r>
          <w:rPr>
            <w:rFonts w:ascii="Helvetica Neue" w:cs="Helvetica Neue" w:eastAsia="Helvetica Neue" w:hAnsi="Helvetica Neue"/>
            <w:color w:val="2F6B9A"/>
            <w:rtl w:val="0"/>
            <w:sz w:val="22"/>
          </w:rPr>
          <w:t xml:space="preserve">[3]</w:t>
        </w:r>
      </w:hyperlink>
      <w:r>
        <w:rPr>
          <w:rFonts w:ascii="Helvetica Neue" w:cs="Helvetica Neue" w:eastAsia="Helvetica Neue" w:hAnsi="Helvetica Neue"/>
          <w:color w:val="233447"/>
          <w:rtl w:val="0"/>
          <w:sz w:val="22"/>
        </w:rPr>
        <w:t xml:space="preserve"> </w:t>
      </w:r>
      <w:hyperlink w:anchor="ref-4">
        <w:r>
          <w:rPr>
            <w:rFonts w:ascii="Helvetica Neue" w:cs="Helvetica Neue" w:eastAsia="Helvetica Neue" w:hAnsi="Helvetica Neue"/>
            <w:color w:val="2F6B9A"/>
            <w:rtl w:val="0"/>
            <w:sz w:val="22"/>
          </w:rPr>
          <w:t xml:space="preserve">[4]</w:t>
        </w:r>
      </w:hyperlink>
      <w:r>
        <w:rPr>
          <w:rFonts w:ascii="Helvetica Neue" w:cs="Helvetica Neue" w:eastAsia="Helvetica Neue" w:hAnsi="Helvetica Neue"/>
          <w:color w:val="233447"/>
          <w:rtl w:val="0"/>
          <w:sz w:val="22"/>
        </w:rPr>
        <w:t xml:space="preserve"> </w:t>
      </w:r>
      <w:hyperlink w:anchor="ref-14">
        <w:r>
          <w:rPr>
            <w:rFonts w:ascii="Helvetica Neue" w:cs="Helvetica Neue" w:eastAsia="Helvetica Neue" w:hAnsi="Helvetica Neue"/>
            <w:color w:val="2F6B9A"/>
            <w:rtl w:val="0"/>
            <w:sz w:val="22"/>
          </w:rPr>
          <w:t xml:space="preserve">[14]</w:t>
        </w:r>
      </w:hyperlink>
      <w:r>
        <w:rPr>
          <w:rFonts w:ascii="Helvetica Neue" w:cs="Helvetica Neue" w:eastAsia="Helvetica Neue" w:hAnsi="Helvetica Neue"/>
          <w:color w:val="233447"/>
          <w:rtl w:val="0"/>
          <w:sz w:val="22"/>
        </w:rPr>
        <w:t xml:space="preserve"> </w:t>
      </w:r>
      <w:hyperlink w:anchor="ref-15">
        <w:r>
          <w:rPr>
            <w:rFonts w:ascii="Helvetica Neue" w:cs="Helvetica Neue" w:eastAsia="Helvetica Neue" w:hAnsi="Helvetica Neue"/>
            <w:color w:val="2F6B9A"/>
            <w:rtl w:val="0"/>
            <w:sz w:val="22"/>
          </w:rPr>
          <w:t xml:space="preserve">[15]</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Effectiveness is heterogeneous.</w:t>
      </w:r>
      <w:r>
        <w:rPr>
          <w:rFonts w:ascii="Helvetica Neue" w:cs="Helvetica Neue" w:eastAsia="Helvetica Neue" w:hAnsi="Helvetica Neue"/>
          <w:color w:val="233447"/>
          <w:rtl w:val="0"/>
          <w:sz w:val="22"/>
        </w:rPr>
        <w:t xml:space="preserve"> Field evidence in customer support, consulting, and software engineering yields materially different outcomes. The human-AI meta-analysis reinforces the need to examine task structure and the interaction between people and systems. The implication is to test specific combinations of task, user, context, and assistance rather than apply a company-wide productivity multiplier. </w:t>
      </w:r>
      <w:hyperlink w:anchor="ref-6">
        <w:r>
          <w:rPr>
            <w:rFonts w:ascii="Helvetica Neue" w:cs="Helvetica Neue" w:eastAsia="Helvetica Neue" w:hAnsi="Helvetica Neue"/>
            <w:color w:val="2F6B9A"/>
            <w:rtl w:val="0"/>
            <w:sz w:val="22"/>
          </w:rPr>
          <w:t xml:space="preserve">[6]</w:t>
        </w:r>
      </w:hyperlink>
      <w:r>
        <w:rPr>
          <w:rFonts w:ascii="Helvetica Neue" w:cs="Helvetica Neue" w:eastAsia="Helvetica Neue" w:hAnsi="Helvetica Neue"/>
          <w:color w:val="233447"/>
          <w:rtl w:val="0"/>
          <w:sz w:val="22"/>
        </w:rPr>
        <w:t xml:space="preserve"> </w:t>
      </w:r>
      <w:hyperlink w:anchor="ref-22">
        <w:r>
          <w:rPr>
            <w:rFonts w:ascii="Helvetica Neue" w:cs="Helvetica Neue" w:eastAsia="Helvetica Neue" w:hAnsi="Helvetica Neue"/>
            <w:color w:val="2F6B9A"/>
            <w:rtl w:val="0"/>
            <w:sz w:val="22"/>
          </w:rPr>
          <w:t xml:space="preserve">[22]</w:t>
        </w:r>
      </w:hyperlink>
      <w:r>
        <w:rPr>
          <w:rFonts w:ascii="Helvetica Neue" w:cs="Helvetica Neue" w:eastAsia="Helvetica Neue" w:hAnsi="Helvetica Neue"/>
          <w:color w:val="233447"/>
          <w:rtl w:val="0"/>
          <w:sz w:val="22"/>
        </w:rPr>
        <w:t xml:space="preserve"> </w:t>
      </w:r>
      <w:hyperlink w:anchor="ref-23">
        <w:r>
          <w:rPr>
            <w:rFonts w:ascii="Helvetica Neue" w:cs="Helvetica Neue" w:eastAsia="Helvetica Neue" w:hAnsi="Helvetica Neue"/>
            <w:color w:val="2F6B9A"/>
            <w:rtl w:val="0"/>
            <w:sz w:val="22"/>
          </w:rPr>
          <w:t xml:space="preserve">[23]</w:t>
        </w:r>
      </w:hyperlink>
      <w:r>
        <w:rPr>
          <w:rFonts w:ascii="Helvetica Neue" w:cs="Helvetica Neue" w:eastAsia="Helvetica Neue" w:hAnsi="Helvetica Neue"/>
          <w:color w:val="233447"/>
          <w:rtl w:val="0"/>
          <w:sz w:val="22"/>
        </w:rPr>
        <w:t xml:space="preserve"> </w:t>
      </w:r>
      <w:hyperlink w:anchor="ref-24">
        <w:r>
          <w:rPr>
            <w:rFonts w:ascii="Helvetica Neue" w:cs="Helvetica Neue" w:eastAsia="Helvetica Neue" w:hAnsi="Helvetica Neue"/>
            <w:color w:val="2F6B9A"/>
            <w:rtl w:val="0"/>
            <w:sz w:val="22"/>
          </w:rPr>
          <w:t xml:space="preserve">[24]</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Smaller firms need a different interpretation of capability ownership.</w:t>
      </w:r>
      <w:r>
        <w:rPr>
          <w:rFonts w:ascii="Helvetica Neue" w:cs="Helvetica Neue" w:eastAsia="Helvetica Neue" w:hAnsi="Helvetica Neue"/>
          <w:color w:val="233447"/>
          <w:rtl w:val="0"/>
          <w:sz w:val="22"/>
        </w:rPr>
        <w:t xml:space="preserve"> A 2026 conceptual preprint by Sawang and Sornlertlamvanich proposes an SME framework that includes capabilities embedded in external ecosystems. It explicitly calls for future empirical validation. This is a useful emerging argument for evaluating whether a company can govern and use supplier-provided capability, rather than assuming all capability must be built internally. It is not yet proof of a superior scoring method. </w:t>
      </w:r>
      <w:hyperlink w:anchor="ref-26">
        <w:r>
          <w:rPr>
            <w:rFonts w:ascii="Helvetica Neue" w:cs="Helvetica Neue" w:eastAsia="Helvetica Neue" w:hAnsi="Helvetica Neue"/>
            <w:color w:val="2F6B9A"/>
            <w:rtl w:val="0"/>
            <w:sz w:val="22"/>
          </w:rPr>
          <w:t xml:space="preserve">[26]</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The strongest academic guidance is therefore methodological: define the construct, make observations inspectable, measure the whole intervention, distinguish association from causation, and test generalization. Academic work contributes evidence and concepts; enterprise leadership still has to make explicit choices about acceptable risk, investment horizons, and service obligations.</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18" w:name="heading-14"/>
      <w:r>
        <w:rPr>
          <w:rFonts w:ascii="Helvetica Neue" w:cs="Helvetica Neue" w:eastAsia="Helvetica Neue" w:hAnsi="Helvetica Neue"/>
          <w:color w:val="000000"/>
          <w:rtl w:val="0"/>
          <w:b w:val="1"/>
          <w:sz w:val="22"/>
        </w:rPr>
        <w:t xml:space="preserve">3.3 Large organizations and documented case studies</w:t>
      </w:r>
      <w:bookmarkEnd w:id="1018"/>
    </w:p>
    <w:p>
      <w:pPr>
        <w:spacing w:after="100" w:line="280" w:lineRule="auto" w:before="160"/>
        <w:jc w:val="left"/>
        <w:rPr>
          <w:rFonts w:ascii="Helvetica Neue" w:cs="Helvetica Neue" w:eastAsia="Helvetica Neue" w:hAnsi="Helvetica Neue"/>
        </w:rPr>
        <w:pStyle w:val="Heading3"/>
        <w:outlineLvl w:val="2"/>
        <w:keepNext w:val="1"/>
        <w:keepLines w:val="1"/>
      </w:pPr>
      <w:bookmarkStart w:id="1019" w:name="heading-15"/>
      <w:r>
        <w:rPr>
          <w:rFonts w:ascii="Helvetica Neue" w:cs="Helvetica Neue" w:eastAsia="Helvetica Neue" w:hAnsi="Helvetica Neue"/>
          <w:color w:val="000000"/>
          <w:rtl w:val="0"/>
          <w:b w:val="1"/>
          <w:sz w:val="22"/>
          <w:i w:val="1"/>
        </w:rPr>
        <w:t xml:space="preserve">Uber and repeatable production ML</w:t>
      </w:r>
      <w:bookmarkEnd w:id="1019"/>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Setting and intervention.</w:t>
      </w:r>
      <w:r>
        <w:rPr>
          <w:rFonts w:ascii="Helvetica Neue" w:cs="Helvetica Neue" w:eastAsia="Helvetica Neue" w:hAnsi="Helvetica Neue"/>
          <w:color w:val="233447"/>
          <w:rtl w:val="0"/>
          <w:sz w:val="22"/>
        </w:rPr>
        <w:t xml:space="preserve"> Uber's 2017 Michelangelo engineering account describes a move from fragmented model development and custom serving systems to a shared platform covering data management, training, evaluation, deployment, prediction, and monitoring. The UberEATS delivery-time example combines request information, historical features, and near-real-time features. </w:t>
      </w:r>
      <w:hyperlink w:anchor="ref-27">
        <w:r>
          <w:rPr>
            <w:rFonts w:ascii="Helvetica Neue" w:cs="Helvetica Neue" w:eastAsia="Helvetica Neue" w:hAnsi="Helvetica Neue"/>
            <w:color w:val="2F6B9A"/>
            <w:rtl w:val="0"/>
            <w:sz w:val="22"/>
          </w:rPr>
          <w:t xml:space="preserve">[27]</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Evidence and interpretation.</w:t>
      </w:r>
      <w:r>
        <w:rPr>
          <w:rFonts w:ascii="Helvetica Neue" w:cs="Helvetica Neue" w:eastAsia="Helvetica Neue" w:hAnsi="Helvetica Neue"/>
          <w:color w:val="233447"/>
          <w:rtl w:val="0"/>
          <w:sz w:val="22"/>
        </w:rPr>
        <w:t xml:space="preserve"> This is a first-party engineering account of operational capability, not a controlled estimate of financial return. Its transferable lesson is to standardize recurring deployment and data problems while allowing domain teams to own use cases. A regular company can adopt that pattern through managed infrastructure and shared templates; it need not reproduce Uber's platform scale.</w:t>
      </w:r>
    </w:p>
    <w:p>
      <w:pPr>
        <w:spacing w:after="100" w:line="280" w:lineRule="auto" w:before="160"/>
        <w:jc w:val="left"/>
        <w:rPr>
          <w:rFonts w:ascii="Helvetica Neue" w:cs="Helvetica Neue" w:eastAsia="Helvetica Neue" w:hAnsi="Helvetica Neue"/>
        </w:rPr>
        <w:pStyle w:val="Heading3"/>
        <w:outlineLvl w:val="2"/>
        <w:keepNext w:val="1"/>
        <w:keepLines w:val="1"/>
      </w:pPr>
      <w:bookmarkStart w:id="1020" w:name="heading-16"/>
      <w:r>
        <w:rPr>
          <w:rFonts w:ascii="Helvetica Neue" w:cs="Helvetica Neue" w:eastAsia="Helvetica Neue" w:hAnsi="Helvetica Neue"/>
          <w:color w:val="000000"/>
          <w:rtl w:val="0"/>
          <w:b w:val="1"/>
          <w:sz w:val="22"/>
          <w:i w:val="1"/>
        </w:rPr>
        <w:t xml:space="preserve">Microsoft and governance embedded in development and deployment</w:t>
      </w:r>
      <w:bookmarkEnd w:id="1020"/>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Setting and intervention.</w:t>
      </w:r>
      <w:r>
        <w:rPr>
          <w:rFonts w:ascii="Helvetica Neue" w:cs="Helvetica Neue" w:eastAsia="Helvetica Neue" w:hAnsi="Helvetica Neue"/>
          <w:color w:val="233447"/>
          <w:rtl w:val="0"/>
          <w:sz w:val="22"/>
        </w:rPr>
        <w:t xml:space="preserve"> Microsoft's 2022 Responsible AI Standard and impact-assessment materials made parts of its internal approach public. Its 2026 transparency report describes updated developer and deployer responsibilities, requirements across models, platforms, and applications, and scenario-specific safeguards. Deployment governance includes assessing provider documentation, reviewing deployment risks, and monitoring after launch. </w:t>
      </w:r>
      <w:hyperlink w:anchor="ref-28">
        <w:r>
          <w:rPr>
            <w:rFonts w:ascii="Helvetica Neue" w:cs="Helvetica Neue" w:eastAsia="Helvetica Neue" w:hAnsi="Helvetica Neue"/>
            <w:color w:val="2F6B9A"/>
            <w:rtl w:val="0"/>
            <w:sz w:val="22"/>
          </w:rPr>
          <w:t xml:space="preserve">[28]</w:t>
        </w:r>
      </w:hyperlink>
      <w:r>
        <w:rPr>
          <w:rFonts w:ascii="Helvetica Neue" w:cs="Helvetica Neue" w:eastAsia="Helvetica Neue" w:hAnsi="Helvetica Neue"/>
          <w:color w:val="233447"/>
          <w:rtl w:val="0"/>
          <w:sz w:val="22"/>
        </w:rPr>
        <w:t xml:space="preserve"> </w:t>
      </w:r>
      <w:hyperlink w:anchor="ref-29">
        <w:r>
          <w:rPr>
            <w:rFonts w:ascii="Helvetica Neue" w:cs="Helvetica Neue" w:eastAsia="Helvetica Neue" w:hAnsi="Helvetica Neue"/>
            <w:color w:val="2F6B9A"/>
            <w:rtl w:val="0"/>
            <w:sz w:val="22"/>
          </w:rPr>
          <w:t xml:space="preserve">[29]</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Evidence and interpretation.</w:t>
      </w:r>
      <w:r>
        <w:rPr>
          <w:rFonts w:ascii="Helvetica Neue" w:cs="Helvetica Neue" w:eastAsia="Helvetica Neue" w:hAnsi="Helvetica Neue"/>
          <w:color w:val="233447"/>
          <w:rtl w:val="0"/>
          <w:sz w:val="22"/>
        </w:rPr>
        <w:t xml:space="preserve"> These are first-party descriptions of governance design and practice. They show how responsibility can follow AI into purchased applications and production use. They do not independently establish that every deployment is safe or economically beneficial. The transferable practice is to connect review requirements to accountable release and operating decisions, with documented exceptions and follow-through.</w:t>
      </w:r>
    </w:p>
    <w:p>
      <w:pPr>
        <w:spacing w:after="100" w:line="280" w:lineRule="auto" w:before="160"/>
        <w:jc w:val="left"/>
        <w:rPr>
          <w:rFonts w:ascii="Helvetica Neue" w:cs="Helvetica Neue" w:eastAsia="Helvetica Neue" w:hAnsi="Helvetica Neue"/>
        </w:rPr>
        <w:pStyle w:val="Heading3"/>
        <w:outlineLvl w:val="2"/>
        <w:keepNext w:val="1"/>
        <w:keepLines w:val="1"/>
      </w:pPr>
      <w:bookmarkStart w:id="1021" w:name="heading-17"/>
      <w:r>
        <w:rPr>
          <w:rFonts w:ascii="Helvetica Neue" w:cs="Helvetica Neue" w:eastAsia="Helvetica Neue" w:hAnsi="Helvetica Neue"/>
          <w:color w:val="000000"/>
          <w:rtl w:val="0"/>
          <w:b w:val="1"/>
          <w:sz w:val="22"/>
          <w:i w:val="1"/>
        </w:rPr>
        <w:t xml:space="preserve">DBS and portfolio scale with reported economic value</w:t>
      </w:r>
      <w:bookmarkEnd w:id="1021"/>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Setting and reported outcome.</w:t>
      </w:r>
      <w:r>
        <w:rPr>
          <w:rFonts w:ascii="Helvetica Neue" w:cs="Helvetica Neue" w:eastAsia="Helvetica Neue" w:hAnsi="Helvetica Neue"/>
          <w:color w:val="233447"/>
          <w:rtl w:val="0"/>
          <w:sz w:val="22"/>
        </w:rPr>
        <w:t xml:space="preserve"> DBS's 2024 annual-report materials state that data analytics and AI/ML delivered SGD 750 million in economic value that year. The CEO reflections describe more than 1,500 models across more than 370 use cases. These disclosures concern a broad analytics and AI portfolio, not generative AI alone. </w:t>
      </w:r>
      <w:hyperlink w:anchor="ref-30">
        <w:r>
          <w:rPr>
            <w:rFonts w:ascii="Helvetica Neue" w:cs="Helvetica Neue" w:eastAsia="Helvetica Neue" w:hAnsi="Helvetica Neue"/>
            <w:color w:val="2F6B9A"/>
            <w:rtl w:val="0"/>
            <w:sz w:val="22"/>
          </w:rPr>
          <w:t xml:space="preserve">[30]</w:t>
        </w:r>
      </w:hyperlink>
      <w:r>
        <w:rPr>
          <w:rFonts w:ascii="Helvetica Neue" w:cs="Helvetica Neue" w:eastAsia="Helvetica Neue" w:hAnsi="Helvetica Neue"/>
          <w:color w:val="233447"/>
          <w:rtl w:val="0"/>
          <w:sz w:val="22"/>
        </w:rPr>
        <w:t xml:space="preserve"> </w:t>
      </w:r>
      <w:hyperlink w:anchor="ref-31">
        <w:r>
          <w:rPr>
            <w:rFonts w:ascii="Helvetica Neue" w:cs="Helvetica Neue" w:eastAsia="Helvetica Neue" w:hAnsi="Helvetica Neue"/>
            <w:color w:val="2F6B9A"/>
            <w:rtl w:val="0"/>
            <w:sz w:val="22"/>
          </w:rPr>
          <w:t xml:space="preserve">[31]</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Evidence and interpretation.</w:t>
      </w:r>
      <w:r>
        <w:rPr>
          <w:rFonts w:ascii="Helvetica Neue" w:cs="Helvetica Neue" w:eastAsia="Helvetica Neue" w:hAnsi="Helvetica Neue"/>
          <w:color w:val="233447"/>
          <w:rtl w:val="0"/>
          <w:sz w:val="22"/>
        </w:rPr>
        <w:t xml:space="preserve"> The figures are company-reported, and the cited disclosures do not provide a complete reproducible counterfactual or project-level cost allocation. They should not be relabeled as audited incremental profit or used as a typical return benchmark. The case illustrates the value of linking portfolio scale to an explicit economic-value narrative; a smaller company should make its own attribution rules and cost boundaries inspectable.</w:t>
      </w:r>
    </w:p>
    <w:p>
      <w:pPr>
        <w:spacing w:after="100" w:line="280" w:lineRule="auto" w:before="160"/>
        <w:jc w:val="left"/>
        <w:rPr>
          <w:rFonts w:ascii="Helvetica Neue" w:cs="Helvetica Neue" w:eastAsia="Helvetica Neue" w:hAnsi="Helvetica Neue"/>
        </w:rPr>
        <w:pStyle w:val="Heading3"/>
        <w:outlineLvl w:val="2"/>
        <w:keepNext w:val="1"/>
        <w:keepLines w:val="1"/>
      </w:pPr>
      <w:bookmarkStart w:id="1022" w:name="heading-18"/>
      <w:r>
        <w:rPr>
          <w:rFonts w:ascii="Helvetica Neue" w:cs="Helvetica Neue" w:eastAsia="Helvetica Neue" w:hAnsi="Helvetica Neue"/>
          <w:color w:val="000000"/>
          <w:rtl w:val="0"/>
          <w:b w:val="1"/>
          <w:sz w:val="22"/>
          <w:i w:val="1"/>
        </w:rPr>
        <w:t xml:space="preserve">Morgan Stanley and workflow adoption</w:t>
      </w:r>
      <w:bookmarkEnd w:id="1022"/>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Setting and reported outcome.</w:t>
      </w:r>
      <w:r>
        <w:rPr>
          <w:rFonts w:ascii="Helvetica Neue" w:cs="Helvetica Neue" w:eastAsia="Helvetica Neue" w:hAnsi="Helvetica Neue"/>
          <w:color w:val="233447"/>
          <w:rtl w:val="0"/>
          <w:sz w:val="22"/>
        </w:rPr>
        <w:t xml:space="preserve"> In its June 2024 Debrief launch announcement, Morgan Stanley reported that 98% of Financial Advisor teams had adopted its Assistant, which provides access to internal intellectual capital. Debrief adds meeting notes and action items with client consent. </w:t>
      </w:r>
      <w:hyperlink w:anchor="ref-32">
        <w:r>
          <w:rPr>
            <w:rFonts w:ascii="Helvetica Neue" w:cs="Helvetica Neue" w:eastAsia="Helvetica Neue" w:hAnsi="Helvetica Neue"/>
            <w:color w:val="2F6B9A"/>
            <w:rtl w:val="0"/>
            <w:sz w:val="22"/>
          </w:rPr>
          <w:t xml:space="preserve">[32]</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Evidence and interpretation.</w:t>
      </w:r>
      <w:r>
        <w:rPr>
          <w:rFonts w:ascii="Helvetica Neue" w:cs="Helvetica Neue" w:eastAsia="Helvetica Neue" w:hAnsi="Helvetica Neue"/>
          <w:color w:val="233447"/>
          <w:rtl w:val="0"/>
          <w:sz w:val="22"/>
        </w:rPr>
        <w:t xml:space="preserve"> Adoption by advisor teams is not the same as individual usage, time saved, or incremental revenue. This first-party disclosure demonstrates reported reach into a defined professional workflow. The assessment lesson is to connect permissioned knowledge access and workflow integration with separate measures of usefulness, accuracy, review effort, client experience, and realized economics.</w:t>
      </w:r>
    </w:p>
    <w:p>
      <w:pPr>
        <w:spacing w:after="100" w:line="280" w:lineRule="auto" w:before="160"/>
        <w:jc w:val="left"/>
        <w:rPr>
          <w:rFonts w:ascii="Helvetica Neue" w:cs="Helvetica Neue" w:eastAsia="Helvetica Neue" w:hAnsi="Helvetica Neue"/>
        </w:rPr>
        <w:pStyle w:val="Heading3"/>
        <w:outlineLvl w:val="2"/>
        <w:keepNext w:val="1"/>
        <w:keepLines w:val="1"/>
      </w:pPr>
      <w:bookmarkStart w:id="1023" w:name="heading-19"/>
      <w:r>
        <w:rPr>
          <w:rFonts w:ascii="Helvetica Neue" w:cs="Helvetica Neue" w:eastAsia="Helvetica Neue" w:hAnsi="Helvetica Neue"/>
          <w:color w:val="000000"/>
          <w:rtl w:val="0"/>
          <w:b w:val="1"/>
          <w:sz w:val="22"/>
          <w:i w:val="1"/>
        </w:rPr>
        <w:t xml:space="preserve">Customer support and measured productivity</w:t>
      </w:r>
      <w:bookmarkEnd w:id="1023"/>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Research design and result.</w:t>
      </w:r>
      <w:r>
        <w:rPr>
          <w:rFonts w:ascii="Helvetica Neue" w:cs="Helvetica Neue" w:eastAsia="Helvetica Neue" w:hAnsi="Helvetica Neue"/>
          <w:color w:val="233447"/>
          <w:rtl w:val="0"/>
          <w:sz w:val="22"/>
        </w:rPr>
        <w:t xml:space="preserve"> Brynjolfsson, Li, and Raymond's published study examines a staggered introduction of AI assistance to 5,172 customer-support agents. It reports a 15% average increase in issues resolved per hour, with differing effects by experience and skill. Workers retained responsibility for responding. </w:t>
      </w:r>
      <w:hyperlink w:anchor="ref-22">
        <w:r>
          <w:rPr>
            <w:rFonts w:ascii="Helvetica Neue" w:cs="Helvetica Neue" w:eastAsia="Helvetica Neue" w:hAnsi="Helvetica Neue"/>
            <w:color w:val="2F6B9A"/>
            <w:rtl w:val="0"/>
            <w:sz w:val="22"/>
          </w:rPr>
          <w:t xml:space="preserve">[22]</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Evidence and interpretation.</w:t>
      </w:r>
      <w:r>
        <w:rPr>
          <w:rFonts w:ascii="Helvetica Neue" w:cs="Helvetica Neue" w:eastAsia="Helvetica Neue" w:hAnsi="Helvetica Neue"/>
          <w:color w:val="233447"/>
          <w:rtl w:val="0"/>
          <w:sz w:val="22"/>
        </w:rPr>
        <w:t xml:space="preserve"> This is an observational field study with a deployment-based identification strategy, not a randomized trial across industries. The studied setting and heterogeneous effects matter. The lesson is to measure resolved issues and quality by worker and task segment, and to evaluate assistance embedded in the workflow. The published 2025 result is used here rather than the 14% figure associated with the earlier working-paper version.</w:t>
      </w:r>
    </w:p>
    <w:p>
      <w:pPr>
        <w:spacing w:after="100" w:line="280" w:lineRule="auto" w:before="160"/>
        <w:jc w:val="left"/>
        <w:rPr>
          <w:rFonts w:ascii="Helvetica Neue" w:cs="Helvetica Neue" w:eastAsia="Helvetica Neue" w:hAnsi="Helvetica Neue"/>
        </w:rPr>
        <w:pStyle w:val="Heading3"/>
        <w:outlineLvl w:val="2"/>
        <w:keepNext w:val="1"/>
        <w:keepLines w:val="1"/>
      </w:pPr>
      <w:bookmarkStart w:id="1024" w:name="heading-20"/>
      <w:r>
        <w:rPr>
          <w:rFonts w:ascii="Helvetica Neue" w:cs="Helvetica Neue" w:eastAsia="Helvetica Neue" w:hAnsi="Helvetica Neue"/>
          <w:color w:val="000000"/>
          <w:rtl w:val="0"/>
          <w:b w:val="1"/>
          <w:sz w:val="22"/>
          <w:i w:val="1"/>
        </w:rPr>
        <w:t xml:space="preserve">BCG and a boundary within the same professional workflow</w:t>
      </w:r>
      <w:bookmarkEnd w:id="1024"/>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Research design and result.</w:t>
      </w:r>
      <w:r>
        <w:rPr>
          <w:rFonts w:ascii="Helvetica Neue" w:cs="Helvetica Neue" w:eastAsia="Helvetica Neue" w:hAnsi="Helvetica Neue"/>
          <w:color w:val="233447"/>
          <w:rtl w:val="0"/>
          <w:sz w:val="22"/>
        </w:rPr>
        <w:t xml:space="preserve"> Dell'Acqua and colleagues' randomized experiment involved 758 consultants. The 2026 published paper reports 12.2% more completed tasks and 25.1% faster completion on tasks within the studied AI capability boundary. On a selected task outside that boundary, pooled AI conditions were about 19 percentage points less likely to reach the correct solution. </w:t>
      </w:r>
      <w:hyperlink w:anchor="ref-23">
        <w:r>
          <w:rPr>
            <w:rFonts w:ascii="Helvetica Neue" w:cs="Helvetica Neue" w:eastAsia="Helvetica Neue" w:hAnsi="Helvetica Neue"/>
            <w:color w:val="2F6B9A"/>
            <w:rtl w:val="0"/>
            <w:sz w:val="22"/>
          </w:rPr>
          <w:t xml:space="preserve">[23]</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Evidence and interpretation.</w:t>
      </w:r>
      <w:r>
        <w:rPr>
          <w:rFonts w:ascii="Helvetica Neue" w:cs="Helvetica Neue" w:eastAsia="Helvetica Neue" w:hAnsi="Helvetica Neue"/>
          <w:color w:val="233447"/>
          <w:rtl w:val="0"/>
          <w:sz w:val="22"/>
        </w:rPr>
        <w:t xml:space="preserve"> The tasks resembled consulting work but were experimental assignments, and the negative result concerns a particular task. These results are not a forecast of BCG's overall productivity. They support mapping a workflow into subtasks, testing each operating boundary, and designing review where plausible AI output can mislead.</w:t>
      </w:r>
    </w:p>
    <w:p>
      <w:pPr>
        <w:spacing w:after="100" w:line="280" w:lineRule="auto" w:before="160"/>
        <w:jc w:val="left"/>
        <w:rPr>
          <w:rFonts w:ascii="Helvetica Neue" w:cs="Helvetica Neue" w:eastAsia="Helvetica Neue" w:hAnsi="Helvetica Neue"/>
        </w:rPr>
        <w:pStyle w:val="Heading3"/>
        <w:outlineLvl w:val="2"/>
        <w:keepNext w:val="1"/>
        <w:keepLines w:val="1"/>
      </w:pPr>
      <w:bookmarkStart w:id="1025" w:name="heading-21"/>
      <w:r>
        <w:rPr>
          <w:rFonts w:ascii="Helvetica Neue" w:cs="Helvetica Neue" w:eastAsia="Helvetica Neue" w:hAnsi="Helvetica Neue"/>
          <w:color w:val="000000"/>
          <w:rtl w:val="0"/>
          <w:b w:val="1"/>
          <w:sz w:val="22"/>
          <w:i w:val="1"/>
        </w:rPr>
        <w:t xml:space="preserve">Experienced developers and a negative productivity result</w:t>
      </w:r>
      <w:bookmarkEnd w:id="1025"/>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Research design and result.</w:t>
      </w:r>
      <w:r>
        <w:rPr>
          <w:rFonts w:ascii="Helvetica Neue" w:cs="Helvetica Neue" w:eastAsia="Helvetica Neue" w:hAnsi="Helvetica Neue"/>
          <w:color w:val="233447"/>
          <w:rtl w:val="0"/>
          <w:sz w:val="22"/>
        </w:rPr>
        <w:t xml:space="preserve"> METR researchers randomized AI access across 246 tasks completed by 16 experienced open-source developers in mature repositories. In the early-2025 setting, allowing AI increased completion time by 19%, although developers believed it had made them faster. </w:t>
      </w:r>
      <w:hyperlink w:anchor="ref-24">
        <w:r>
          <w:rPr>
            <w:rFonts w:ascii="Helvetica Neue" w:cs="Helvetica Neue" w:eastAsia="Helvetica Neue" w:hAnsi="Helvetica Neue"/>
            <w:color w:val="2F6B9A"/>
            <w:rtl w:val="0"/>
            <w:sz w:val="22"/>
          </w:rPr>
          <w:t xml:space="preserve">[24]</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Evidence and interpretation.</w:t>
      </w:r>
      <w:r>
        <w:rPr>
          <w:rFonts w:ascii="Helvetica Neue" w:cs="Helvetica Neue" w:eastAsia="Helvetica Neue" w:hAnsi="Helvetica Neue"/>
          <w:color w:val="233447"/>
          <w:rtl w:val="0"/>
          <w:sz w:val="22"/>
        </w:rPr>
        <w:t xml:space="preserve"> This research preprint covers a small, specialized population using particular tools and versions. It does not establish that coding assistants generally slow development. It provides a valuable counterexample to measuring effectiveness through sentiment alone. A company's test should include review and correction time, repository familiarity, task complexity, and completed work that meets its normal acceptance criteria.</w:t>
      </w:r>
    </w:p>
    <w:p>
      <w:pPr>
        <w:spacing w:after="100" w:line="280" w:lineRule="auto" w:before="160"/>
        <w:jc w:val="left"/>
        <w:rPr>
          <w:rFonts w:ascii="Helvetica Neue" w:cs="Helvetica Neue" w:eastAsia="Helvetica Neue" w:hAnsi="Helvetica Neue"/>
        </w:rPr>
        <w:pStyle w:val="Heading3"/>
        <w:outlineLvl w:val="2"/>
        <w:keepNext w:val="1"/>
        <w:keepLines w:val="1"/>
      </w:pPr>
      <w:bookmarkStart w:id="1026" w:name="heading-22"/>
      <w:r>
        <w:rPr>
          <w:rFonts w:ascii="Helvetica Neue" w:cs="Helvetica Neue" w:eastAsia="Helvetica Neue" w:hAnsi="Helvetica Neue"/>
          <w:color w:val="000000"/>
          <w:rtl w:val="0"/>
          <w:b w:val="1"/>
          <w:sz w:val="22"/>
          <w:i w:val="1"/>
        </w:rPr>
        <w:t xml:space="preserve">Healthcare and validation in the actual operating environment</w:t>
      </w:r>
      <w:bookmarkEnd w:id="1026"/>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Deployment context.</w:t>
      </w:r>
      <w:r>
        <w:rPr>
          <w:rFonts w:ascii="Helvetica Neue" w:cs="Helvetica Neue" w:eastAsia="Helvetica Neue" w:hAnsi="Helvetica Neue"/>
          <w:color w:val="233447"/>
          <w:rtl w:val="0"/>
          <w:sz w:val="22"/>
        </w:rPr>
        <w:t xml:space="preserve"> Beede and colleagues studied a diabetic-retinopathy screening system through observation and interviews across eleven clinics in Thailand. They found tensions between required input quality and resource-constrained clinical practice, affecting workflows and patient experience. This qualitative study complements model-accuracy evaluation rather than estimating clinical treatment benefit. </w:t>
      </w:r>
      <w:hyperlink w:anchor="ref-33">
        <w:r>
          <w:rPr>
            <w:rFonts w:ascii="Helvetica Neue" w:cs="Helvetica Neue" w:eastAsia="Helvetica Neue" w:hAnsi="Helvetica Neue"/>
            <w:color w:val="2F6B9A"/>
            <w:rtl w:val="0"/>
            <w:sz w:val="22"/>
          </w:rPr>
          <w:t xml:space="preserve">[33]</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External validation.</w:t>
      </w:r>
      <w:r>
        <w:rPr>
          <w:rFonts w:ascii="Helvetica Neue" w:cs="Helvetica Neue" w:eastAsia="Helvetica Neue" w:hAnsi="Helvetica Neue"/>
          <w:color w:val="233447"/>
          <w:rtl w:val="0"/>
          <w:sz w:val="22"/>
        </w:rPr>
        <w:t xml:space="preserve"> Wong and colleagues evaluated a widely implemented proprietary sepsis model in 27,697 patients across 38,455 hospitalizations. They reported a hospitalization-level area under the ROC curve of 0.63, below developer-reported performance. This historical, single-center validation concerns the evaluated model and setting, not every current version or institution. </w:t>
      </w:r>
      <w:hyperlink w:anchor="ref-34">
        <w:r>
          <w:rPr>
            <w:rFonts w:ascii="Helvetica Neue" w:cs="Helvetica Neue" w:eastAsia="Helvetica Neue" w:hAnsi="Helvetica Neue"/>
            <w:color w:val="2F6B9A"/>
            <w:rtl w:val="0"/>
            <w:sz w:val="22"/>
          </w:rPr>
          <w:t xml:space="preserve">[34]</w:t>
        </w:r>
      </w:hyperlink>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Assessment lesson.</w:t>
      </w:r>
      <w:r>
        <w:rPr>
          <w:rFonts w:ascii="Helvetica Neue" w:cs="Helvetica Neue" w:eastAsia="Helvetica Neue" w:hAnsi="Helvetica Neue"/>
          <w:color w:val="233447"/>
          <w:rtl w:val="0"/>
          <w:sz w:val="22"/>
        </w:rPr>
        <w:t xml:space="preserve"> Validate purchased systems with local data, realistic input conditions, workload capacity, and downstream action pathways. A hospital cannot infer clinical effectiveness from availability in its electronic-record system; other industries should apply the same principle to embedded vendor AI.</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27" w:name="heading-23"/>
      <w:r>
        <w:rPr>
          <w:rFonts w:ascii="Helvetica Neue" w:cs="Helvetica Neue" w:eastAsia="Helvetica Neue" w:hAnsi="Helvetica Neue"/>
          <w:color w:val="000000"/>
          <w:rtl w:val="0"/>
          <w:b w:val="1"/>
          <w:sz w:val="22"/>
        </w:rPr>
        <w:t xml:space="preserve">3.4 What the cases collectively support</w:t>
      </w:r>
      <w:bookmarkEnd w:id="1027"/>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Uber illustrates reusable engineering; Microsoft illustrates governance; DBS reports portfolio value; Morgan Stanley reports adoption; the research studies investigate workflow outcomes. None provides a complete, independently comparable organization-wide maturity rating. Their combined lesson is to require evidence for each claim at the appropriate level.</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 scalable operating model is </w:t>
      </w:r>
      <w:r>
        <w:rPr>
          <w:rFonts w:ascii="Helvetica Neue" w:cs="Helvetica Neue" w:eastAsia="Helvetica Neue" w:hAnsi="Helvetica Neue"/>
          <w:color w:val="233447"/>
          <w:rtl w:val="0"/>
          <w:sz w:val="22"/>
          <w:b w:val="1"/>
        </w:rPr>
        <w:t xml:space="preserve">shared foundations with domain accountability</w:t>
      </w:r>
      <w:r>
        <w:rPr>
          <w:rFonts w:ascii="Helvetica Neue" w:cs="Helvetica Neue" w:eastAsia="Helvetica Neue" w:hAnsi="Helvetica Neue"/>
          <w:color w:val="233447"/>
          <w:rtl w:val="0"/>
          <w:sz w:val="22"/>
        </w:rPr>
        <w:t xml:space="preserve">. Central teams supply identity, data controls, approved infrastructure, reusable evaluations, and common evidence records. Business teams define workflow success, domain context, acceptable exceptions, and realized benefits. Risk and assurance functions challenge consequential claims. This is a synthesis of the cases and guidance, not a claim that all large organizations use an identical operating model.</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The remaining challenge is integration: connect the use-case register, supporting evidence, release decisions, and outcome and incident monitoring. Regular companies should prioritize these links.</w:t>
      </w:r>
    </w:p>
    <w:p>
      <w:pPr>
        <w:spacing w:after="100" w:line="280" w:lineRule="auto" w:before="160"/>
        <w:jc w:val="left"/>
        <w:rPr>
          <w:rFonts w:ascii="Helvetica Neue" w:cs="Helvetica Neue" w:eastAsia="Helvetica Neue" w:hAnsi="Helvetica Neue"/>
        </w:rPr>
        <w:pStyle w:val="Heading1"/>
        <w:outlineLvl w:val="0"/>
        <w:keepNext w:val="1"/>
        <w:keepLines w:val="1"/>
        <w:pageBreakBefore w:val="1"/>
      </w:pPr>
      <w:bookmarkStart w:id="1028" w:name="implementation"/>
      <w:r>
        <w:rPr>
          <w:rFonts w:ascii="Helvetica Neue" w:cs="Helvetica Neue" w:eastAsia="Helvetica Neue" w:hAnsi="Helvetica Neue"/>
          <w:color w:val="000000"/>
          <w:rtl w:val="0"/>
          <w:b w:val="1"/>
          <w:sz w:val="27"/>
        </w:rPr>
        <w:t xml:space="preserve">4 What a regular company can do</w:t>
      </w:r>
      <w:bookmarkEnd w:id="1028"/>
    </w:p>
    <w:p>
      <w:pPr>
        <w:spacing w:after="100" w:line="280" w:lineRule="auto" w:before="260"/>
        <w:jc w:val="left"/>
        <w:rPr>
          <w:rFonts w:ascii="Helvetica Neue" w:cs="Helvetica Neue" w:eastAsia="Helvetica Neue" w:hAnsi="Helvetica Neue"/>
        </w:rPr>
        <w:pStyle w:val="Heading3"/>
        <w:outlineLvl w:val="1"/>
        <w:keepNext w:val="1"/>
        <w:keepLines w:val="1"/>
      </w:pPr>
      <w:bookmarkStart w:id="1029" w:name="heading-24"/>
      <w:r>
        <w:rPr>
          <w:rFonts w:ascii="Helvetica Neue" w:cs="Helvetica Neue" w:eastAsia="Helvetica Neue" w:hAnsi="Helvetica Neue"/>
          <w:color w:val="000000"/>
          <w:rtl w:val="0"/>
          <w:b w:val="1"/>
          <w:sz w:val="22"/>
        </w:rPr>
        <w:t xml:space="preserve">4.1 Begin with decisions and workflows</w:t>
      </w:r>
      <w:bookmarkEnd w:id="1029"/>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Start with a modest, explicitly scoped program. Choose two workflows with a clear owner, sufficient task volume, observable outcomes, accessible context, and manageable consequences. Useful candidates might include internal knowledge assistance and supervised support drafting. Selection depends on local economics and data conditions; these examples are not universal recommendations. Avoid committing to an enterprise platform before understanding the recurring dependencies of the chosen work.</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Write a one-page charter for each workflow: trigger, users, input sources, current process, AI contribution, system boundaries, allowed actions, success metric, quality constraints, cost boundary, accountable owner, and stop conditions. Map exceptions and handoffs as carefully as the ordinary path. Specify whether the first stage is offline, shadow, supervised, or bounded autonomous operation.</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30" w:name="heading-25"/>
      <w:r>
        <w:rPr>
          <w:rFonts w:ascii="Helvetica Neue" w:cs="Helvetica Neue" w:eastAsia="Helvetica Neue" w:hAnsi="Helvetica Neue"/>
          <w:color w:val="000000"/>
          <w:rtl w:val="0"/>
          <w:b w:val="1"/>
          <w:sz w:val="22"/>
        </w:rPr>
        <w:t xml:space="preserve">4.2 Use an eight-dimension capability profile</w:t>
      </w:r>
      <w:bookmarkEnd w:id="1030"/>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The following rubric is proposed for practical use. Its dimensions synthesize the literature and engineering needs discussed above. The evidence prompts are starting points, not a validated questionnaire. Apply the profile to an identified unit and workflow portfolio, with a declared sampling plan.</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49"/>
        <w:gridCol w:w="3578"/>
        <w:gridCol w:w="439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Dimension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Assessment question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Evidence to inspect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Strategy and value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Are workflow choices and benefits owned and measured?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Charters, baselines, comparison design, cost and benefit ledger, retirement decisions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Workflow and people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Can users perform the redesigned work and handle exceptions?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Process maps, observed use, role training, review capacity, override and escalation records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Data and context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Are necessary facts correct, current, usable, and permitted?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Source owners, quality checks, provenance, access tests, retrieval and freshness evaluations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Engineering and integration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Can the complete system be released and recovered predictably?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Versioned pipelines, interface contracts, deployment records, rollback and recovery tests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Evaluation and experimentation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Does evidence support quality and effectiveness claims?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Held-out cases, expert rubrics, segment analysis, controlled trials, uncertainty estimates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Governance and accountability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Are decisions, obligations, exceptions, and ownership clear?</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System inventory, impact assessments, review decisions, exception expiry, supplier responsibilities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Security and action control</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Are data access and side effects constrained and tested?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Identity tests, tool permissions, injection tests, approval enforcement, isolation and audit records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Operations and learning</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Can the organization detect failure and improve the system?</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Service objectives, incidents, monitoring, evaluation regressions, drills, closed corrective actions</w:t>
            </w:r>
          </w:p>
        </w:tc>
      </w:tr>
    </w:tbl>
    <w:p>
      <w:pPr>
        <w:spacing w:after="50" w:line="50" w:lineRule="exact"/>
        <w:jc w:val="both"/>
        <w:rPr>
          <w:rFonts w:ascii="Helvetica Neue" w:cs="Helvetica Neue" w:eastAsia="Helvetica Neue" w:hAnsi="Helvetica Neue"/>
        </w:rPr>
        <w:keepNext w:val="0"/>
        <w:keepLines w:val="0"/>
        <w:widowControl w:val="1"/>
      </w:pP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Assign an ordinal level to each dimension using the anchors below. The numbers describe evidence of practice; equal numeric intervals do not imply equal improvement in capability or business value. “Unknown” is a separate state and must not be silently scored as zero.</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49"/>
        <w:gridCol w:w="3578"/>
        <w:gridCol w:w="439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Level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Anchor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Minimum evidence interpretation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0</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Absent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Within an examined scope, the required practice is demonstrably missing</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Ad hoc</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Some activity exists, dependent on individuals; coverage and repeatability are weak</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2</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Defined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An owned process exists and is used, with documented but material coverage gaps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3</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Operating</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The process runs consistently across the declared scope, supported by current records and tests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4</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Improving</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Longitudinal evidence shows measured improvement, validated changes, and institutional learning</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U</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Unknown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Insufficient access or evidence to determine the level; specify how to resolve uncertainty</w:t>
            </w:r>
          </w:p>
        </w:tc>
      </w:tr>
    </w:tbl>
    <w:p>
      <w:pPr>
        <w:spacing w:after="50" w:line="50" w:lineRule="exact"/>
        <w:jc w:val="both"/>
        <w:rPr>
          <w:rFonts w:ascii="Helvetica Neue" w:cs="Helvetica Neue" w:eastAsia="Helvetica Neue" w:hAnsi="Helvetica Neue"/>
        </w:rPr>
        <w:keepNext w:val="0"/>
        <w:keepLines w:val="0"/>
        <w:widowControl w:val="1"/>
      </w:pP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Award the highest level whose requirements and preceding anchors are supported. A control document can support “defined”; it cannot alone demonstrate “operating.” For example, evaluation at level 2 might mean an approved test procedure used by some teams. Level 3 requires recent representative test runs linked to actual releases. Level 4 additionally requires evidence that measured failures lead to validated improvements over time.</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Attach </w:t>
      </w:r>
      <w:r>
        <w:rPr>
          <w:rFonts w:ascii="Helvetica Neue" w:cs="Helvetica Neue" w:eastAsia="Helvetica Neue" w:hAnsi="Helvetica Neue"/>
          <w:color w:val="233447"/>
          <w:rtl w:val="0"/>
          <w:sz w:val="22"/>
          <w:b w:val="1"/>
        </w:rPr>
        <w:t xml:space="preserve">scope coverage</w:t>
      </w:r>
      <w:r>
        <w:rPr>
          <w:rFonts w:ascii="Helvetica Neue" w:cs="Helvetica Neue" w:eastAsia="Helvetica Neue" w:hAnsi="Helvetica Neue"/>
          <w:color w:val="233447"/>
          <w:rtl w:val="0"/>
          <w:sz w:val="22"/>
        </w:rPr>
        <w:t xml:space="preserve"> and </w:t>
      </w:r>
      <w:r>
        <w:rPr>
          <w:rFonts w:ascii="Helvetica Neue" w:cs="Helvetica Neue" w:eastAsia="Helvetica Neue" w:hAnsi="Helvetica Neue"/>
          <w:color w:val="233447"/>
          <w:rtl w:val="0"/>
          <w:sz w:val="22"/>
          <w:b w:val="1"/>
        </w:rPr>
        <w:t xml:space="preserve">evidence confidence</w:t>
      </w:r>
      <w:r>
        <w:rPr>
          <w:rFonts w:ascii="Helvetica Neue" w:cs="Helvetica Neue" w:eastAsia="Helvetica Neue" w:hAnsi="Helvetica Neue"/>
          <w:color w:val="233447"/>
          <w:rtl w:val="0"/>
          <w:sz w:val="22"/>
        </w:rPr>
        <w:t xml:space="preserve"> to every rating. Report “6 of 8 sampled workflows have current evaluation records” instead of “evaluation maturity is 3” alone. Confidence can be high, medium, or low with written criteria: independent operational records and representative checks support higher confidence than interviews and selected screenshots. Keep confidence separate from capability; a confident finding can be a low maturity level.</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For important assessments, two reviewers independently rate a sample, discuss disagreements, refine the anchors, and retain an adjudication record. Track agreement over repeated cycles. Do not publish external percentile rankings without a genuinely comparable reference population. Internally, report a profile, the distribution of workflow ratings, evidence coverage, and critical gaps. An arithmetic average of ordinal levels is at most a navigation aid and should not determine launch authorization.</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31" w:name="heading-26"/>
      <w:r>
        <w:rPr>
          <w:rFonts w:ascii="Helvetica Neue" w:cs="Helvetica Neue" w:eastAsia="Helvetica Neue" w:hAnsi="Helvetica Neue"/>
          <w:color w:val="000000"/>
          <w:rtl w:val="0"/>
          <w:b w:val="1"/>
          <w:sz w:val="22"/>
        </w:rPr>
        <w:t xml:space="preserve">4.3 Make readiness a separate gate decision</w:t>
      </w:r>
      <w:bookmarkEnd w:id="1031"/>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Illustrative assessment.</w:t>
      </w:r>
      <w:r>
        <w:rPr>
          <w:rFonts w:ascii="Helvetica Neue" w:cs="Helvetica Neue" w:eastAsia="Helvetica Neue" w:hAnsi="Helvetica Neue"/>
          <w:color w:val="233447"/>
          <w:rtl w:val="0"/>
          <w:sz w:val="22"/>
        </w:rPr>
        <w:t xml:space="preserve"> Suppose a company rates its support workflow as follows: strategy 2, workflow and people 2, data and context 2, engineering 3, evaluation 1, governance 2, security and action control 1, and operations 2. These are hypothetical ratings. The evidence shows repeatable deployments, but quality testing uses only handpicked examples and the refund tool lacks enforced approval limits. The next investment should address representative evaluation and tool authorization. The strong engineering rating provides no basis for autonomous refunds. A draft-only pilot may be considered only after its own data, quality, and supervision gates pass.</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Readiness is permission to proceed to a defined next stage, not a permanent badge. Select gates according to use-case risk and the proposed level of autonomy. Each gate needs an owner, acceptance criteria, evidence, a decision, and a reassessment trigger.</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49"/>
        <w:gridCol w:w="3578"/>
        <w:gridCol w:w="439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Gate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Evidence 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Consequence of an unresolved gap</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Purpose and accountability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Owner, intended use, affected users, baseline, decision rights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Clarify scope before committing deployment resources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Data and permissions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Permitted sources, applicable policies, quality and access checks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Block affected retrieval or use; narrow scope if viable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Task quality and boundaries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Representative evaluation, failure cases, segment results, uncertainty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Remain in testing or supervised use</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Actions and recovery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Enforced authorization, duplicate prevention, failure handling, rollback</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Prevent autonomous side effects until resolved</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Human operation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Trained users, sufficient review capacity, escalation and appeal paths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Limit exposure to supported workload</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Monitoring and economics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Outcome instrumentation, cost limits, service owner, stop rules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Do not scale beyond the monitored pilot</w:t>
            </w:r>
          </w:p>
        </w:tc>
      </w:tr>
    </w:tbl>
    <w:p>
      <w:pPr>
        <w:spacing w:after="50" w:line="50" w:lineRule="exact"/>
        <w:jc w:val="both"/>
        <w:rPr>
          <w:rFonts w:ascii="Helvetica Neue" w:cs="Helvetica Neue" w:eastAsia="Helvetica Neue" w:hAnsi="Helvetica Neue"/>
        </w:rPr>
        <w:keepNext w:val="0"/>
        <w:keepLines w:val="0"/>
        <w:widowControl w:val="1"/>
      </w:pP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Use three decisions: </w:t>
      </w:r>
      <w:r>
        <w:rPr>
          <w:rFonts w:ascii="Helvetica Neue" w:cs="Helvetica Neue" w:eastAsia="Helvetica Neue" w:hAnsi="Helvetica Neue"/>
          <w:color w:val="233447"/>
          <w:rtl w:val="0"/>
          <w:sz w:val="22"/>
          <w:b w:val="1"/>
        </w:rPr>
        <w:t xml:space="preserve">ready for the specified stage</w:t>
      </w:r>
      <w:r>
        <w:rPr>
          <w:rFonts w:ascii="Helvetica Neue" w:cs="Helvetica Neue" w:eastAsia="Helvetica Neue" w:hAnsi="Helvetica Neue"/>
          <w:color w:val="233447"/>
          <w:rtl w:val="0"/>
          <w:sz w:val="22"/>
        </w:rPr>
        <w:t xml:space="preserve">; </w:t>
      </w:r>
      <w:r>
        <w:rPr>
          <w:rFonts w:ascii="Helvetica Neue" w:cs="Helvetica Neue" w:eastAsia="Helvetica Neue" w:hAnsi="Helvetica Neue"/>
          <w:color w:val="233447"/>
          <w:rtl w:val="0"/>
          <w:sz w:val="22"/>
          <w:b w:val="1"/>
        </w:rPr>
        <w:t xml:space="preserve">ready with explicit restrictions</w:t>
      </w:r>
      <w:r>
        <w:rPr>
          <w:rFonts w:ascii="Helvetica Neue" w:cs="Helvetica Neue" w:eastAsia="Helvetica Neue" w:hAnsi="Helvetica Neue"/>
          <w:color w:val="233447"/>
          <w:rtl w:val="0"/>
          <w:sz w:val="22"/>
        </w:rPr>
        <w:t xml:space="preserve">; or </w:t>
      </w:r>
      <w:r>
        <w:rPr>
          <w:rFonts w:ascii="Helvetica Neue" w:cs="Helvetica Neue" w:eastAsia="Helvetica Neue" w:hAnsi="Helvetica Neue"/>
          <w:color w:val="233447"/>
          <w:rtl w:val="0"/>
          <w:sz w:val="22"/>
          <w:b w:val="1"/>
        </w:rPr>
        <w:t xml:space="preserve">not ready</w:t>
      </w:r>
      <w:r>
        <w:rPr>
          <w:rFonts w:ascii="Helvetica Neue" w:cs="Helvetica Neue" w:eastAsia="Helvetica Neue" w:hAnsi="Helvetica Neue"/>
          <w:color w:val="233447"/>
          <w:rtl w:val="0"/>
          <w:sz w:val="22"/>
        </w:rPr>
        <w:t xml:space="preserve">. Restrictions must describe enforceable limits, such as draft-only access or a narrow product category, and carry an expiry or review date. A restriction cannot waive a mandatory legal obligation or conceal an unresolved critical control. Passing a maturity threshold is never a substitute for passing the relevant gates.</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Increase autonomy only when evidence supports it. A sensible sequence is offline evaluation, shadow operation, supervised assistance, bounded autonomous action, and wider deployment. Some workflows should remain supervised permanently. This is a choice about consequences and evidence, not a lower achievement on a universal ladder.</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Calibrate thresholds to consequences and sample uncertainty. For illustration, observing zero failures in 300 independent, representative trials gives an approximate one-sided 95% upper bound of 1% on the failure rate, using the statistical rule of three. It does not establish zero risk. Correlated cases, narrow sampling, and changing conditions weaken that interpretation. Rare critical failures require stronger evidence and structural controls than a small successful test set can provide.</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32" w:name="heading-27"/>
      <w:r>
        <w:rPr>
          <w:rFonts w:ascii="Helvetica Neue" w:cs="Helvetica Neue" w:eastAsia="Helvetica Neue" w:hAnsi="Helvetica Neue"/>
          <w:color w:val="000000"/>
          <w:rtl w:val="0"/>
          <w:b w:val="1"/>
          <w:sz w:val="22"/>
        </w:rPr>
        <w:t xml:space="preserve">4.4 Build an effectiveness scorecard with explicit denominators</w:t>
      </w:r>
      <w:bookmarkEnd w:id="1032"/>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49"/>
        <w:gridCol w:w="3578"/>
        <w:gridCol w:w="439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Metric</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Operational definition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Interpretation check</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Task success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Correct completed outcomes divided by all eligible assigned tasks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Report failures, abstentions, and escalations; do not remove hard cases silently</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End-to-end time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Elapsed and active labor time from request to accepted completion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Include verification, rework, waiting, and downstream correction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Quality and harm</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Domain-defined error and adverse-outcome rates, by severity and segment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Report rare events separately; average quality can hide severe defects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Adoption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Eligible tasks or users using the intervention, plus sustained usage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Keep task adoption and user adoption separate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Cost per success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Full allocated workflow cost divided by accepted successful outcomes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Include failed attempts, reviews, fixed costs, and shared costs consistently</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Business effect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Difference from the counterfactual in the predeclared primary outcome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Show interval estimates, task mix, exposure, and design limitations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Service reliability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Availability, latency distribution, recovery time, duplicate side effects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Measure the full workflow including external dependencies</w:t>
            </w:r>
          </w:p>
        </w:tc>
      </w:tr>
    </w:tbl>
    <w:p>
      <w:pPr>
        <w:spacing w:after="50" w:line="50" w:lineRule="exact"/>
        <w:jc w:val="both"/>
        <w:rPr>
          <w:rFonts w:ascii="Helvetica Neue" w:cs="Helvetica Neue" w:eastAsia="Helvetica Neue" w:hAnsi="Helvetica Neue"/>
        </w:rPr>
        <w:keepNext w:val="0"/>
        <w:keepLines w:val="0"/>
        <w:widowControl w:val="1"/>
      </w:pP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Keep a single primary benefit metric for the pilot and several guardrails. For support drafting, the primary measure could be quality-adjusted completed cases per labor hour, with customer satisfaction, material misinformation, and repeat contact as guardrails. If quality adjustment is opaque, report throughput and quality separately. Do not let an attractive composite metric obscure a failed constraint.</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Report intent-to-treat results for assigned users or tasks where the design supports them, alongside clearly labeled usage-based analyses. If only enthusiastic users are analyzed, selection may inflate estimated benefits. Disaggregate by relevant task difficulty, user experience, language, and other appropriate segments; avoid collecting sensitive attributes without a justified purpose and permitted process.</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33" w:name="heading-28"/>
      <w:r>
        <w:rPr>
          <w:rFonts w:ascii="Helvetica Neue" w:cs="Helvetica Neue" w:eastAsia="Helvetica Neue" w:hAnsi="Helvetica Neue"/>
          <w:color w:val="000000"/>
          <w:rtl w:val="0"/>
          <w:b w:val="1"/>
          <w:sz w:val="22"/>
        </w:rPr>
        <w:t xml:space="preserve">4.5 A worked economic example</w:t>
      </w:r>
      <w:bookmarkEnd w:id="1033"/>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All numbers in this example are illustrative assumptions, not industry estimates. Suppose a support workflow processes 10,000 eligible cases per month. An evaluation estimates a reduction in active labor from 12 to 9 minutes per case, with unchanged measured quality. At a fully loaded labor rate of USD 30 per hour, the released capacity has a nominal monthly value of USD 15,000: 10,000 cases multiplied by 3 minutes, divided by 60, multiplied by USD 30.</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Assume only 60% of that capacity can be used productively or converted into avoided spending. The recognized benefit is then USD 9,000 per month. Assume incremental recurring costs of USD 4,000 per month, including licenses, inference, support, monitoring, and review beyond the measured nine minutes. Monthly net benefit is USD 5,000. With a one-time implementation cost of USD 40,000 and immediate steady-state performance, simple payback is eight months.</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49"/>
        <w:gridCol w:w="3578"/>
        <w:gridCol w:w="439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Capacity realization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Recognized monthly benefit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Monthly net after USD 4000 cost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30%</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USD 4,500</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USD 500</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60%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USD 9,000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USD 5,000</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90%</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USD 13,500</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USD 9,500</w:t>
            </w:r>
          </w:p>
        </w:tc>
      </w:tr>
    </w:tbl>
    <w:p>
      <w:pPr>
        <w:spacing w:after="50" w:line="50" w:lineRule="exact"/>
        <w:jc w:val="both"/>
        <w:rPr>
          <w:rFonts w:ascii="Helvetica Neue" w:cs="Helvetica Neue" w:eastAsia="Helvetica Neue" w:hAnsi="Helvetica Neue"/>
        </w:rPr>
        <w:keepNext w:val="0"/>
        <w:keepLines w:val="0"/>
        <w:widowControl w:val="1"/>
      </w:pP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The recurring break-even realization is approximately 26.7%, calculated as USD 4,000 divided by USD 15,000. Recovering implementation cost over a target period raises that threshold. The example omits ramp time, discounting, demand changes, taxes, and rare incident losses; incorporate these when material. If the supposed three-minute saving excludes review or downstream rework, the starting estimate must be corrected before calculating value.</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Finance and the business owner should agree which benefit category is recognized and retain supporting evidence. If no cash expenditure changes, describe the gain as productive capacity rather than cash savings. A positive calculation supports continued evaluation only while quality, risk, and operational gates remain satisfied.</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34" w:name="heading-29"/>
      <w:r>
        <w:rPr>
          <w:rFonts w:ascii="Helvetica Neue" w:cs="Helvetica Neue" w:eastAsia="Helvetica Neue" w:hAnsi="Helvetica Neue"/>
          <w:color w:val="000000"/>
          <w:rtl w:val="0"/>
          <w:b w:val="1"/>
          <w:sz w:val="22"/>
        </w:rPr>
        <w:t xml:space="preserve">4.6 Implement a small evidence and context architecture</w:t>
      </w:r>
      <w:bookmarkEnd w:id="1034"/>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Most companies can begin with existing document management, identity, ticketing, analytics, and deployment tools. They need a coherent set of records and controls more urgently than a new central platform. The proposed architecture below shows how operational agents and the assessment process share evidence without sharing unrestricted authority.</w:t>
      </w:r>
    </w:p>
    <w:p w14:paraId="0000003B">
      <w:pPr>
        <w:rPr>
          <w:rFonts w:ascii="Helvetica Neue" w:cs="Helvetica Neue" w:eastAsia="Helvetica Neue" w:hAnsi="Helvetica Neue"/>
        </w:rPr>
        <w:keepNext w:val="1"/>
      </w:pPr>
      <w:r>
        <w:rPr>
          <w:rFonts w:ascii="Helvetica Neue" w:cs="Helvetica Neue" w:eastAsia="Helvetica Neue" w:hAnsi="Helvetica Neue"/>
        </w:rPr>
        <w:drawing>
          <wp:inline distB="0" distT="0" distL="0" distR="0">
            <wp:extent cx="6126480" cy="3139821"/>
            <wp:effectExtent b="0" l="0" r="0" t="0"/>
            <wp:docPr id="1" name="image1.png" descr="Two connected flows. Workflow operation passes through task identity, context and model, policy and tool authorization, and outcome verification. Operating evidence feeds an evidence register, assessment agent, accountable reviewers, and an improvement backlo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pPr>
        <w:spacing w:after="110" w:line="300" w:lineRule="auto"/>
        <w:jc w:val="left"/>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Figure 1 Proposed architecture for workflow operation and assessment</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Workflow plane.</w:t>
      </w:r>
      <w:r>
        <w:rPr>
          <w:rFonts w:ascii="Helvetica Neue" w:cs="Helvetica Neue" w:eastAsia="Helvetica Neue" w:hAnsi="Helvetica Neue"/>
          <w:color w:val="233447"/>
          <w:rtl w:val="0"/>
          <w:sz w:val="22"/>
        </w:rPr>
        <w:t xml:space="preserve"> A user or event enters an orchestrator with bounded task state. A context service retrieves approved knowledge and live records under the caller's permissions. The model proposes a response or action. A policy and tool gateway validates permissions and preconditions before any side effect. The system verifies the terminal outcome and routes exceptions to an accountable human.</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b w:val="1"/>
        </w:rPr>
        <w:t xml:space="preserve">Evidence plane.</w:t>
      </w:r>
      <w:r>
        <w:rPr>
          <w:rFonts w:ascii="Helvetica Neue" w:cs="Helvetica Neue" w:eastAsia="Helvetica Neue" w:hAnsi="Helvetica Neue"/>
          <w:color w:val="233447"/>
          <w:rtl w:val="0"/>
          <w:sz w:val="22"/>
        </w:rPr>
        <w:t xml:space="preserve"> Versioned inventories, evaluation runs, sanitized execution records, incidents, and cost and outcome measures feed an evidence register. The assessment agent reads authorized evidence, proposes findings, and attaches sources. Reviewers approve ratings and release decisions. The improvement backlog feeds changes back into context, workflow design, tests, and controls.</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Separate source facts from generated summaries, and separate proposed actions from executed actions. Retain enough identifiers and version information to investigate outcomes without retaining unnecessary sensitive content. Access to the evidence register should follow roles, with sensitive trace details restricted. A simple structured registry and linked evidence may be sufficient for the first two workflows.</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35" w:name="heading-30"/>
      <w:r>
        <w:rPr>
          <w:rFonts w:ascii="Helvetica Neue" w:cs="Helvetica Neue" w:eastAsia="Helvetica Neue" w:hAnsi="Helvetica Neue"/>
          <w:color w:val="000000"/>
          <w:rtl w:val="0"/>
          <w:b w:val="1"/>
          <w:sz w:val="22"/>
        </w:rPr>
        <w:t xml:space="preserve">4.7 Deliver the first assessment in 90 days</w:t>
      </w:r>
      <w:bookmarkEnd w:id="1035"/>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This schedule is a planning example. A small company might combine roles; a regulated or complex deployment may require longer evaluation. The objective of the first cycle is a trustworthy baseline and two defensible workflow decisions, not the highest maturity level.</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49"/>
        <w:gridCol w:w="3578"/>
        <w:gridCol w:w="439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Period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Work and 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Exit evidence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Days 1 to 15</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Name sponsor and owners; inventory AI; choose two workflows; define charters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Agreed boundaries, baseline plan, consequence analysis, initial capability profile</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Days 16 to 30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Map context and permissions; inspect processes; collect baseline and test cases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Owned source catalog, exception map, evaluation rubric, usable baseline data</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Days 31 to 45</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Build or configure bounded prototypes; run offline and adversarial tests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Versioned evaluation report, failure taxonomy, enforced action limits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Days 46 to 60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Run shadow or supervised pilot; train users; inspect complete trajectories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Operational readiness findings, measured review load, tested recovery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Days 61 to 75</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Conduct appropriately designed effectiveness evaluation; reconcile full costs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Effect estimates and uncertainty, segment results, finance-reviewed benefit ledger</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Days 76 to 90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Decide stop, improve, or scale; adjudicate ratings; prioritize shared gaps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Signed decisions, restrictions, improvement backlog, next review dates</w:t>
            </w:r>
          </w:p>
        </w:tc>
      </w:tr>
    </w:tbl>
    <w:p>
      <w:pPr>
        <w:spacing w:after="50" w:line="50" w:lineRule="exact"/>
        <w:jc w:val="both"/>
        <w:rPr>
          <w:rFonts w:ascii="Helvetica Neue" w:cs="Helvetica Neue" w:eastAsia="Helvetica Neue" w:hAnsi="Helvetica Neue"/>
        </w:rPr>
        <w:keepNext w:val="0"/>
        <w:keepLines w:val="0"/>
        <w:widowControl w:val="1"/>
      </w:pP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An illustrative staffing pattern is a part-time executive sponsor, one accountable workflow lead per use case, an engineer or integrator, a data or knowledge owner, and evaluation support with domain experts. Security, risk, and finance participate at defined decisions. This describes responsibilities rather than required headcount. Small organizations may use qualified suppliers, but should retain ownership of use-case selection, acceptance criteria, permissions, and operating decisions.</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From month four onward, expand only the capabilities and workflows whose evidence justifies investment. Standardize successful patterns when another team needs them. Review the portfolio quarterly, inspect operating metrics more frequently according to risk, and reassess after changes to models, policies, knowledge sources, permissions, task populations, or critical suppliers. Retire applications that do not meet their benefit or reliability objectives.</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36" w:name="heading-31"/>
      <w:r>
        <w:rPr>
          <w:rFonts w:ascii="Helvetica Neue" w:cs="Helvetica Neue" w:eastAsia="Helvetica Neue" w:hAnsi="Helvetica Neue"/>
          <w:color w:val="000000"/>
          <w:rtl w:val="0"/>
          <w:b w:val="1"/>
          <w:sz w:val="22"/>
        </w:rPr>
        <w:t xml:space="preserve">4.8 Keep accountability practical</w:t>
      </w:r>
      <w:bookmarkEnd w:id="1036"/>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49"/>
        <w:gridCol w:w="3578"/>
        <w:gridCol w:w="439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Role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Accountable decision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Evidence contribution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Business owner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Workflow purpose, use restrictions, outcome acceptance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Baseline, task mix, user outcomes, process redesign</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Engineering owner</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Technical release and service operation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Version record, evaluations, integration and recovery tests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Data or knowledge owner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Source quality, applicability, and lifecycle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Provenance, freshness, access and correction records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Security and risk owners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Control sufficiency and risk review within their mandates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Threat tests, impact analysis, control findings, time-limited exceptions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Finance partner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Recognition and attribution of economic benefit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Cost allocation, capacity realization, benefit ledger</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Assessment reviewer</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Evidence-backed ratings and disputed findings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Sampling, challenge, score rationale, unresolved uncertainty</w:t>
            </w:r>
          </w:p>
        </w:tc>
      </w:tr>
    </w:tbl>
    <w:p>
      <w:pPr>
        <w:spacing w:after="50" w:line="50" w:lineRule="exact"/>
        <w:jc w:val="both"/>
        <w:rPr>
          <w:rFonts w:ascii="Helvetica Neue" w:cs="Helvetica Neue" w:eastAsia="Helvetica Neue" w:hAnsi="Helvetica Neue"/>
        </w:rPr>
        <w:keepNext w:val="0"/>
        <w:keepLines w:val="0"/>
        <w:widowControl w:val="1"/>
      </w:pP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Use an assessment review meeting to resolve decisions, not to collect status presentations. Review changes in outcomes, incidents, evidence gaps, and restrictions. Assign one owner to each corrective action. For consequential applications, keep a degree of independent challenge between those delivering the system and those validating its most important claims.</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37" w:name="heading-32"/>
      <w:r>
        <w:rPr>
          <w:rFonts w:ascii="Helvetica Neue" w:cs="Helvetica Neue" w:eastAsia="Helvetica Neue" w:hAnsi="Helvetica Neue"/>
          <w:color w:val="000000"/>
          <w:rtl w:val="0"/>
          <w:b w:val="1"/>
          <w:sz w:val="22"/>
        </w:rPr>
        <w:t xml:space="preserve">4.9 Adapt the evidence to the industry</w:t>
      </w:r>
      <w:bookmarkEnd w:id="1037"/>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49"/>
        <w:gridCol w:w="3578"/>
        <w:gridCol w:w="439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Setting</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Workflow effectiveness emphasis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b w:val="1"/>
                <w:bCs w:val="1"/>
                <w:color w:val="FFFFFF"/>
                <w:rtl w:val="0"/>
                <w:sz w:val="21"/>
              </w:rPr>
              <w:t xml:space="preserve">Additional readiness evidence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Financial services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Decision quality, loss outcomes, service value, customer effects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Applicable model-risk controls, explanations, data permissions, review and appeal</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Healthcare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Clinical and operational outcomes, workload, patient experience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Local and prospective validation, input conditions, clinical escalation, monitoring</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Manufacturing and logistics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Yield, downtime, false rejects, service levels, forecast value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Sensor quality, site transfer tests, latency, physical-process safeguards</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Retail and customer service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Resolved issues, contribution margin, repeat contacts, experience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Policy applicability, transaction consistency, identity and payment controls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Software and professional services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Accepted work, review effort, defects, client quality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Repository or engagement context, confidentiality, provenance, review capacity</w:t>
            </w:r>
          </w:p>
        </w:tc>
      </w:tr>
      <w:tr>
        <w:trPr>
          <w:cantSplit w:val="1"/>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249"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HR and public services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78"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Decision quality, access, equitable outcomes, service timeliness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97" w:type="dxa"/>
          </w:tcPr>
          <w:p>
            <w:pPr>
              <w:spacing w:after="25" w:before="20" w:line="265" w:lineRule="auto"/>
              <w:rPr>
                <w:rFonts w:ascii="Helvetica Neue" w:cs="Helvetica Neue" w:eastAsia="Helvetica Neue" w:hAnsi="Helvetica Neue"/>
              </w:rPr>
              <w:keepNext w:val="0"/>
              <w:keepLines w:val="1"/>
              <w:jc w:val="left"/>
            </w:pPr>
            <w:r>
              <w:rPr>
                <w:rFonts w:ascii="Helvetica Neue" w:cs="Helvetica Neue" w:eastAsia="Helvetica Neue" w:hAnsi="Helvetica Neue"/>
                <w:color w:val="233447"/>
                <w:rtl w:val="0"/>
                <w:sz w:val="21"/>
              </w:rPr>
              <w:t xml:space="preserve">Applicable rights and obligations, explanations, contestability, affected-group assessment</w:t>
            </w:r>
          </w:p>
        </w:tc>
      </w:tr>
    </w:tbl>
    <w:p>
      <w:pPr>
        <w:spacing w:after="50" w:line="50" w:lineRule="exact"/>
        <w:jc w:val="both"/>
        <w:rPr>
          <w:rFonts w:ascii="Helvetica Neue" w:cs="Helvetica Neue" w:eastAsia="Helvetica Neue" w:hAnsi="Helvetica Neue"/>
        </w:rPr>
        <w:keepNext w:val="0"/>
        <w:keepLines w:val="0"/>
        <w:widowControl w:val="1"/>
      </w:pP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These are proposed adaptation priorities, not an exhaustive legal or certification checklist. Determine applicable obligations for the actual jurisdiction and use. Keep the common capability dimensions, but alter the evaluation cases, acceptable error boundaries, review independence, and operational controls. Compare peers only after accounting for risk, workflow complexity, organizational scale, and the extent of supplier reliance.</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38" w:name="heading-33"/>
      <w:r>
        <w:rPr>
          <w:rFonts w:ascii="Helvetica Neue" w:cs="Helvetica Neue" w:eastAsia="Helvetica Neue" w:hAnsi="Helvetica Neue"/>
          <w:color w:val="000000"/>
          <w:rtl w:val="0"/>
          <w:b w:val="1"/>
          <w:sz w:val="22"/>
        </w:rPr>
        <w:t xml:space="preserve">4.10 Make the framework itself testable</w:t>
      </w:r>
      <w:bookmarkEnd w:id="1038"/>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An organization should evaluate whether its assessment predicts useful outcomes. Freeze a rubric version, record baseline ratings, and follow workflows over time. Examine whether specific capabilities predict successful releases, sustained benefit, fewer incidents, or faster recovery after accounting for task complexity, budget, and prior experience. Investigate false positives, where a favorable readiness assessment preceded failure, and false negatives, where a constrained experiment succeeded.</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For research-grade validation, study multiple companies and industries; test reviewer agreement, construct distinctness, longitudinal stability, and sensitivity to real improvements. Compare the rubric with simpler alternatives such as a short readiness checklist. Assess whether ratings depend unduly on company size or documentation volume. Do not claim the proposed eight dimensions or levels have predictive validity until such evidence exists.</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Future research should better connect capability measures to causal workflow outcomes, measure context quality as an organizational capability, assess the effectiveness of human oversight under workload, and examine supplier-dependent maturity in smaller firms. Agent evaluation also needs evidence beyond simulated benchmarks, especially for long-running tasks, changed policies, and partially completed transactions.</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39" w:name="heading-34"/>
      <w:r>
        <w:rPr>
          <w:rFonts w:ascii="Helvetica Neue" w:cs="Helvetica Neue" w:eastAsia="Helvetica Neue" w:hAnsi="Helvetica Neue"/>
          <w:color w:val="000000"/>
          <w:rtl w:val="0"/>
          <w:b w:val="1"/>
          <w:sz w:val="22"/>
        </w:rPr>
        <w:t xml:space="preserve">4.11 Assessment record to use at the next review</w:t>
      </w:r>
      <w:bookmarkEnd w:id="1039"/>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For each workflow, record the following fields in the company's existing tracking system: scope and version; accountable owner; primary outcome and counterfactual; capability profile with evidence and confidence; readiness decision and restrictions; achieved outcome with uncertainty; full cost and benefit category; material incidents; top three improvements; and next reassessment date or trigger.</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The HTML companion includes a local worksheet for exploring the capability profile. It starts with unknown ratings, distinguishes missing evidence from absent capability, and does not convert ordinal ratings into a launch decision. The same rubric and decision rules are provided above for use in the Word document.</w:t>
      </w:r>
    </w:p>
    <w:p>
      <w:pPr>
        <w:spacing w:after="100" w:line="280" w:lineRule="auto" w:before="260"/>
        <w:jc w:val="left"/>
        <w:rPr>
          <w:rFonts w:ascii="Helvetica Neue" w:cs="Helvetica Neue" w:eastAsia="Helvetica Neue" w:hAnsi="Helvetica Neue"/>
        </w:rPr>
        <w:pStyle w:val="Heading3"/>
        <w:outlineLvl w:val="1"/>
        <w:keepNext w:val="1"/>
        <w:keepLines w:val="1"/>
      </w:pPr>
      <w:bookmarkStart w:id="1040" w:name="heading-35"/>
      <w:r>
        <w:rPr>
          <w:rFonts w:ascii="Helvetica Neue" w:cs="Helvetica Neue" w:eastAsia="Helvetica Neue" w:hAnsi="Helvetica Neue"/>
          <w:color w:val="000000"/>
          <w:rtl w:val="0"/>
          <w:b w:val="1"/>
          <w:sz w:val="22"/>
        </w:rPr>
        <w:t xml:space="preserve">Conclusion</w:t>
      </w:r>
      <w:bookmarkEnd w:id="1040"/>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AI maturity becomes useful when it explains what an organization can repeatedly achieve, under which conditions, and with what evidence. Large organizations provide examples of reusable engineering, formal governance, widespread adoption, and portfolio measurement. Academia adds the methods needed to question the metrics, understand complementary capabilities, and evaluate actual outcomes. These contributions support an integrated practice rather than a universal league table.</w:t>
      </w:r>
    </w:p>
    <w:p>
      <w:pPr>
        <w:spacing w:after="110" w:line="300" w:lineRule="auto"/>
        <w:jc w:val="both"/>
        <w:rPr>
          <w:rFonts w:ascii="Helvetica Neue" w:cs="Helvetica Neue" w:eastAsia="Helvetica Neue" w:hAnsi="Helvetica Neue"/>
        </w:rPr>
        <w:keepNext w:val="0"/>
        <w:keepLines w:val="0"/>
        <w:widowControl w:val="1"/>
      </w:pPr>
      <w:r>
        <w:rPr>
          <w:rFonts w:ascii="Helvetica Neue" w:cs="Helvetica Neue" w:eastAsia="Helvetica Neue" w:hAnsi="Helvetica Neue"/>
          <w:color w:val="233447"/>
          <w:rtl w:val="0"/>
          <w:sz w:val="22"/>
        </w:rPr>
        <w:t xml:space="preserve">A regular company can establish that practice with a small portfolio, explicit workflow boundaries, managed context, evidence-backed capability ratings, separate readiness gates, and controlled measurement of value. The first success is a defensible decision: deploy within proven limits, improve a specific dependency, or stop an application whose costs or consequences outweigh its benefit. Repeating and improving those decisions is the substance of organizational AI maturity.</w:t>
      </w:r>
    </w:p>
    <w:p>
      <w:pPr>
        <w:spacing w:after="100" w:line="280" w:lineRule="auto" w:before="160"/>
        <w:jc w:val="left"/>
        <w:rPr>
          <w:rFonts w:ascii="Helvetica Neue" w:cs="Helvetica Neue" w:eastAsia="Helvetica Neue" w:hAnsi="Helvetica Neue"/>
        </w:rPr>
        <w:pStyle w:val="Heading1"/>
        <w:outlineLvl w:val="0"/>
        <w:keepNext w:val="1"/>
        <w:keepLines w:val="1"/>
        <w:pageBreakBefore w:val="1"/>
      </w:pPr>
      <w:bookmarkStart w:id="1041" w:name="references"/>
      <w:r>
        <w:rPr>
          <w:rFonts w:ascii="Helvetica Neue" w:cs="Helvetica Neue" w:eastAsia="Helvetica Neue" w:hAnsi="Helvetica Neue"/>
          <w:color w:val="000000"/>
          <w:rtl w:val="0"/>
          <w:b w:val="1"/>
          <w:sz w:val="27"/>
        </w:rPr>
        <w:t xml:space="preserve">References</w:t>
      </w:r>
      <w:bookmarkEnd w:id="1041"/>
    </w:p>
    <w:p>
      <w:pPr>
        <w:spacing w:after="85" w:line="260" w:lineRule="auto" w:before="0"/>
        <w:jc w:val="left"/>
        <w:rPr>
          <w:rFonts w:ascii="Helvetica Neue" w:cs="Helvetica Neue" w:eastAsia="Helvetica Neue" w:hAnsi="Helvetica Neue"/>
          <w:sz w:val="20"/>
        </w:rPr>
        <w:keepNext w:val="0"/>
        <w:keepLines w:val="1"/>
        <w:widowControl w:val="1"/>
      </w:pPr>
      <w:r>
        <w:rPr>
          <w:rFonts w:ascii="Helvetica Neue" w:cs="Helvetica Neue" w:eastAsia="Helvetica Neue" w:hAnsi="Helvetica Neue"/>
          <w:color w:val="233447"/>
          <w:rtl w:val="0"/>
          <w:sz w:val="20"/>
        </w:rPr>
        <w:t xml:space="preserve">All sources accessed 15 September 2026. Publication years and reporting periods are shown separately where relevant. Source classifications describe the evidence cited in this paper.</w:t>
      </w:r>
    </w:p>
    <w:p>
      <w:pPr>
        <w:spacing w:after="85" w:line="260" w:lineRule="auto" w:before="0"/>
        <w:jc w:val="left"/>
        <w:rPr>
          <w:rFonts w:ascii="Helvetica Neue" w:cs="Helvetica Neue" w:eastAsia="Helvetica Neue" w:hAnsi="Helvetica Neue"/>
          <w:sz w:val="20"/>
        </w:rPr>
        <w:keepNext w:val="0"/>
        <w:keepLines w:val="1"/>
        <w:widowControl w:val="1"/>
      </w:pPr>
      <w:bookmarkStart w:id="1042" w:name="ref-1"/>
      <w:r>
        <w:rPr>
          <w:rFonts w:ascii="Helvetica Neue" w:cs="Helvetica Neue" w:eastAsia="Helvetica Neue" w:hAnsi="Helvetica Neue"/>
          <w:color w:val="233447"/>
          <w:rtl w:val="0"/>
          <w:sz w:val="20"/>
        </w:rPr>
        <w:t xml:space="preserve">[1] Jöhnk, J., Weißert, M., and Wyrtki, K. (2021). </w:t>
      </w:r>
      <w:hyperlink r:id="rId1001">
        <w:r>
          <w:rPr>
            <w:rFonts w:ascii="Helvetica Neue" w:cs="Helvetica Neue" w:eastAsia="Helvetica Neue" w:hAnsi="Helvetica Neue"/>
            <w:color w:val="2F6B9A"/>
            <w:rtl w:val="0"/>
            <w:sz w:val="20"/>
          </w:rPr>
          <w:t xml:space="preserve">Ready or Not, AI Comes—An Interview Study of Organizational AI Readiness Factors</w:t>
        </w:r>
      </w:hyperlink>
      <w:r>
        <w:rPr>
          <w:rFonts w:ascii="Helvetica Neue" w:cs="Helvetica Neue" w:eastAsia="Helvetica Neue" w:hAnsi="Helvetica Neue"/>
          <w:color w:val="233447"/>
          <w:rtl w:val="0"/>
          <w:sz w:val="20"/>
        </w:rPr>
        <w:t xml:space="preserve">. Business &amp; Information Systems Engineering, 63, 5–20. </w:t>
      </w:r>
      <w:r>
        <w:rPr>
          <w:rFonts w:ascii="Helvetica Neue" w:cs="Helvetica Neue" w:eastAsia="Helvetica Neue" w:hAnsi="Helvetica Neue"/>
          <w:color w:val="233447"/>
          <w:rtl w:val="0"/>
          <w:sz w:val="20"/>
        </w:rPr>
        <w:t xml:space="preserve">Peer-reviewed research.</w:t>
      </w:r>
      <w:bookmarkEnd w:id="1042"/>
    </w:p>
    <w:p>
      <w:pPr>
        <w:spacing w:after="85" w:line="260" w:lineRule="auto" w:before="0"/>
        <w:jc w:val="left"/>
        <w:rPr>
          <w:rFonts w:ascii="Helvetica Neue" w:cs="Helvetica Neue" w:eastAsia="Helvetica Neue" w:hAnsi="Helvetica Neue"/>
          <w:sz w:val="20"/>
        </w:rPr>
        <w:keepNext w:val="0"/>
        <w:keepLines w:val="1"/>
        <w:widowControl w:val="1"/>
      </w:pPr>
      <w:bookmarkStart w:id="1043" w:name="ref-2"/>
      <w:r>
        <w:rPr>
          <w:rFonts w:ascii="Helvetica Neue" w:cs="Helvetica Neue" w:eastAsia="Helvetica Neue" w:hAnsi="Helvetica Neue"/>
          <w:color w:val="233447"/>
          <w:rtl w:val="0"/>
          <w:sz w:val="20"/>
        </w:rPr>
        <w:t xml:space="preserve">[2] Mikalef, P., and Gupta, M. (2021). </w:t>
      </w:r>
      <w:hyperlink r:id="rId1002">
        <w:r>
          <w:rPr>
            <w:rFonts w:ascii="Helvetica Neue" w:cs="Helvetica Neue" w:eastAsia="Helvetica Neue" w:hAnsi="Helvetica Neue"/>
            <w:color w:val="2F6B9A"/>
            <w:rtl w:val="0"/>
            <w:sz w:val="20"/>
          </w:rPr>
          <w:t xml:space="preserve">Artificial intelligence capability: Conceptualization, measurement calibration, and empirical study on its impact on organizational creativity and firm performance</w:t>
        </w:r>
      </w:hyperlink>
      <w:r>
        <w:rPr>
          <w:rFonts w:ascii="Helvetica Neue" w:cs="Helvetica Neue" w:eastAsia="Helvetica Neue" w:hAnsi="Helvetica Neue"/>
          <w:color w:val="233447"/>
          <w:rtl w:val="0"/>
          <w:sz w:val="20"/>
        </w:rPr>
        <w:t xml:space="preserve">. Information &amp; Management, 58(3), 103434. </w:t>
      </w:r>
      <w:r>
        <w:rPr>
          <w:rFonts w:ascii="Helvetica Neue" w:cs="Helvetica Neue" w:eastAsia="Helvetica Neue" w:hAnsi="Helvetica Neue"/>
          <w:color w:val="233447"/>
          <w:rtl w:val="0"/>
          <w:sz w:val="20"/>
        </w:rPr>
        <w:t xml:space="preserve">Peer-reviewed research.</w:t>
      </w:r>
      <w:bookmarkEnd w:id="1043"/>
    </w:p>
    <w:p>
      <w:pPr>
        <w:spacing w:after="85" w:line="260" w:lineRule="auto" w:before="0"/>
        <w:jc w:val="left"/>
        <w:rPr>
          <w:rFonts w:ascii="Helvetica Neue" w:cs="Helvetica Neue" w:eastAsia="Helvetica Neue" w:hAnsi="Helvetica Neue"/>
          <w:sz w:val="20"/>
        </w:rPr>
        <w:keepNext w:val="0"/>
        <w:keepLines w:val="1"/>
        <w:widowControl w:val="1"/>
      </w:pPr>
      <w:bookmarkStart w:id="1044" w:name="ref-3"/>
      <w:r>
        <w:rPr>
          <w:rFonts w:ascii="Helvetica Neue" w:cs="Helvetica Neue" w:eastAsia="Helvetica Neue" w:hAnsi="Helvetica Neue"/>
          <w:color w:val="233447"/>
          <w:rtl w:val="0"/>
          <w:sz w:val="20"/>
        </w:rPr>
        <w:t xml:space="preserve">[3] Sculley, D., et al. (2015). </w:t>
      </w:r>
      <w:hyperlink r:id="rId1003">
        <w:r>
          <w:rPr>
            <w:rFonts w:ascii="Helvetica Neue" w:cs="Helvetica Neue" w:eastAsia="Helvetica Neue" w:hAnsi="Helvetica Neue"/>
            <w:color w:val="2F6B9A"/>
            <w:rtl w:val="0"/>
            <w:sz w:val="20"/>
          </w:rPr>
          <w:t xml:space="preserve">Hidden Technical Debt in Machine Learning Systems</w:t>
        </w:r>
      </w:hyperlink>
      <w:r>
        <w:rPr>
          <w:rFonts w:ascii="Helvetica Neue" w:cs="Helvetica Neue" w:eastAsia="Helvetica Neue" w:hAnsi="Helvetica Neue"/>
          <w:color w:val="233447"/>
          <w:rtl w:val="0"/>
          <w:sz w:val="20"/>
        </w:rPr>
        <w:t xml:space="preserve">. Advances in Neural Information Processing Systems, 28. </w:t>
      </w:r>
      <w:r>
        <w:rPr>
          <w:rFonts w:ascii="Helvetica Neue" w:cs="Helvetica Neue" w:eastAsia="Helvetica Neue" w:hAnsi="Helvetica Neue"/>
          <w:color w:val="233447"/>
          <w:rtl w:val="0"/>
          <w:sz w:val="20"/>
        </w:rPr>
        <w:t xml:space="preserve">Peer-reviewed research.</w:t>
      </w:r>
      <w:bookmarkEnd w:id="1044"/>
    </w:p>
    <w:p>
      <w:pPr>
        <w:spacing w:after="85" w:line="260" w:lineRule="auto" w:before="0"/>
        <w:jc w:val="left"/>
        <w:rPr>
          <w:rFonts w:ascii="Helvetica Neue" w:cs="Helvetica Neue" w:eastAsia="Helvetica Neue" w:hAnsi="Helvetica Neue"/>
          <w:sz w:val="20"/>
        </w:rPr>
        <w:keepNext w:val="0"/>
        <w:keepLines w:val="1"/>
        <w:widowControl w:val="1"/>
      </w:pPr>
      <w:bookmarkStart w:id="1045" w:name="ref-4"/>
      <w:r>
        <w:rPr>
          <w:rFonts w:ascii="Helvetica Neue" w:cs="Helvetica Neue" w:eastAsia="Helvetica Neue" w:hAnsi="Helvetica Neue"/>
          <w:color w:val="233447"/>
          <w:rtl w:val="0"/>
          <w:sz w:val="20"/>
        </w:rPr>
        <w:t xml:space="preserve">[4] Breck, E., Cai, S., Nielsen, E., Salib, M., and Sculley, D. (2017). </w:t>
      </w:r>
      <w:hyperlink r:id="rId1004">
        <w:r>
          <w:rPr>
            <w:rFonts w:ascii="Helvetica Neue" w:cs="Helvetica Neue" w:eastAsia="Helvetica Neue" w:hAnsi="Helvetica Neue"/>
            <w:color w:val="2F6B9A"/>
            <w:rtl w:val="0"/>
            <w:sz w:val="20"/>
          </w:rPr>
          <w:t xml:space="preserve">The ML Test Score: A Rubric for ML Production Readiness and Technical Debt Reduction</w:t>
        </w:r>
      </w:hyperlink>
      <w:r>
        <w:rPr>
          <w:rFonts w:ascii="Helvetica Neue" w:cs="Helvetica Neue" w:eastAsia="Helvetica Neue" w:hAnsi="Helvetica Neue"/>
          <w:color w:val="233447"/>
          <w:rtl w:val="0"/>
          <w:sz w:val="20"/>
        </w:rPr>
        <w:t xml:space="preserve">. IEEE International Conference on Big Data. </w:t>
      </w:r>
      <w:r>
        <w:rPr>
          <w:rFonts w:ascii="Helvetica Neue" w:cs="Helvetica Neue" w:eastAsia="Helvetica Neue" w:hAnsi="Helvetica Neue"/>
          <w:color w:val="233447"/>
          <w:rtl w:val="0"/>
          <w:sz w:val="20"/>
        </w:rPr>
        <w:t xml:space="preserve">Peer-reviewed engineering research.</w:t>
      </w:r>
      <w:bookmarkEnd w:id="1045"/>
    </w:p>
    <w:p>
      <w:pPr>
        <w:spacing w:after="85" w:line="260" w:lineRule="auto" w:before="0"/>
        <w:jc w:val="left"/>
        <w:rPr>
          <w:rFonts w:ascii="Helvetica Neue" w:cs="Helvetica Neue" w:eastAsia="Helvetica Neue" w:hAnsi="Helvetica Neue"/>
          <w:sz w:val="20"/>
        </w:rPr>
        <w:keepNext w:val="0"/>
        <w:keepLines w:val="1"/>
        <w:widowControl w:val="1"/>
      </w:pPr>
      <w:bookmarkStart w:id="1046" w:name="ref-5"/>
      <w:r>
        <w:rPr>
          <w:rFonts w:ascii="Helvetica Neue" w:cs="Helvetica Neue" w:eastAsia="Helvetica Neue" w:hAnsi="Helvetica Neue"/>
          <w:color w:val="233447"/>
          <w:rtl w:val="0"/>
          <w:sz w:val="20"/>
        </w:rPr>
        <w:t xml:space="preserve">[5] OECD (2022). </w:t>
      </w:r>
      <w:hyperlink r:id="rId1005">
        <w:r>
          <w:rPr>
            <w:rFonts w:ascii="Helvetica Neue" w:cs="Helvetica Neue" w:eastAsia="Helvetica Neue" w:hAnsi="Helvetica Neue"/>
            <w:color w:val="2F6B9A"/>
            <w:rtl w:val="0"/>
            <w:sz w:val="20"/>
          </w:rPr>
          <w:t xml:space="preserve">OECD Framework for the Classification of AI Systems</w:t>
        </w:r>
      </w:hyperlink>
      <w:r>
        <w:rPr>
          <w:rFonts w:ascii="Helvetica Neue" w:cs="Helvetica Neue" w:eastAsia="Helvetica Neue" w:hAnsi="Helvetica Neue"/>
          <w:color w:val="233447"/>
          <w:rtl w:val="0"/>
          <w:sz w:val="20"/>
        </w:rPr>
        <w:t xml:space="preserve">. OECD Digital Economy Papers, No. 323. </w:t>
      </w:r>
      <w:r>
        <w:rPr>
          <w:rFonts w:ascii="Helvetica Neue" w:cs="Helvetica Neue" w:eastAsia="Helvetica Neue" w:hAnsi="Helvetica Neue"/>
          <w:color w:val="233447"/>
          <w:rtl w:val="0"/>
          <w:sz w:val="20"/>
        </w:rPr>
        <w:t xml:space="preserve">Policy framework.</w:t>
      </w:r>
      <w:bookmarkEnd w:id="1046"/>
    </w:p>
    <w:p>
      <w:pPr>
        <w:spacing w:after="85" w:line="260" w:lineRule="auto" w:before="0"/>
        <w:jc w:val="left"/>
        <w:rPr>
          <w:rFonts w:ascii="Helvetica Neue" w:cs="Helvetica Neue" w:eastAsia="Helvetica Neue" w:hAnsi="Helvetica Neue"/>
          <w:sz w:val="20"/>
        </w:rPr>
        <w:keepNext w:val="0"/>
        <w:keepLines w:val="1"/>
        <w:widowControl w:val="1"/>
      </w:pPr>
      <w:bookmarkStart w:id="1047" w:name="ref-6"/>
      <w:r>
        <w:rPr>
          <w:rFonts w:ascii="Helvetica Neue" w:cs="Helvetica Neue" w:eastAsia="Helvetica Neue" w:hAnsi="Helvetica Neue"/>
          <w:color w:val="233447"/>
          <w:rtl w:val="0"/>
          <w:sz w:val="20"/>
        </w:rPr>
        <w:t xml:space="preserve">[6] Vaccaro, M., Almaatouq, A., and Malone, T. (2024). </w:t>
      </w:r>
      <w:hyperlink r:id="rId1006">
        <w:r>
          <w:rPr>
            <w:rFonts w:ascii="Helvetica Neue" w:cs="Helvetica Neue" w:eastAsia="Helvetica Neue" w:hAnsi="Helvetica Neue"/>
            <w:color w:val="2F6B9A"/>
            <w:rtl w:val="0"/>
            <w:sz w:val="20"/>
          </w:rPr>
          <w:t xml:space="preserve">When combinations of humans and AI are useful: A systematic review and meta-analysis</w:t>
        </w:r>
      </w:hyperlink>
      <w:r>
        <w:rPr>
          <w:rFonts w:ascii="Helvetica Neue" w:cs="Helvetica Neue" w:eastAsia="Helvetica Neue" w:hAnsi="Helvetica Neue"/>
          <w:color w:val="233447"/>
          <w:rtl w:val="0"/>
          <w:sz w:val="20"/>
        </w:rPr>
        <w:t xml:space="preserve">. Nature Human Behaviour, 8, 2293–2303. </w:t>
      </w:r>
      <w:r>
        <w:rPr>
          <w:rFonts w:ascii="Helvetica Neue" w:cs="Helvetica Neue" w:eastAsia="Helvetica Neue" w:hAnsi="Helvetica Neue"/>
          <w:color w:val="233447"/>
          <w:rtl w:val="0"/>
          <w:sz w:val="20"/>
        </w:rPr>
        <w:t xml:space="preserve">Peer-reviewed meta-analysis.</w:t>
      </w:r>
      <w:bookmarkEnd w:id="1047"/>
    </w:p>
    <w:p>
      <w:pPr>
        <w:spacing w:after="85" w:line="260" w:lineRule="auto" w:before="0"/>
        <w:jc w:val="left"/>
        <w:rPr>
          <w:rFonts w:ascii="Helvetica Neue" w:cs="Helvetica Neue" w:eastAsia="Helvetica Neue" w:hAnsi="Helvetica Neue"/>
          <w:sz w:val="20"/>
        </w:rPr>
        <w:keepNext w:val="0"/>
        <w:keepLines w:val="1"/>
        <w:widowControl w:val="1"/>
      </w:pPr>
      <w:bookmarkStart w:id="1048" w:name="ref-7"/>
      <w:r>
        <w:rPr>
          <w:rFonts w:ascii="Helvetica Neue" w:cs="Helvetica Neue" w:eastAsia="Helvetica Neue" w:hAnsi="Helvetica Neue"/>
          <w:color w:val="233447"/>
          <w:rtl w:val="0"/>
          <w:sz w:val="20"/>
        </w:rPr>
        <w:t xml:space="preserve">[7] Brynjolfsson, E., Rock, D., and Syverson, C. (2021). </w:t>
      </w:r>
      <w:hyperlink r:id="rId1007">
        <w:r>
          <w:rPr>
            <w:rFonts w:ascii="Helvetica Neue" w:cs="Helvetica Neue" w:eastAsia="Helvetica Neue" w:hAnsi="Helvetica Neue"/>
            <w:color w:val="2F6B9A"/>
            <w:rtl w:val="0"/>
            <w:sz w:val="20"/>
          </w:rPr>
          <w:t xml:space="preserve">The Productivity J-Curve: How Intangibles Complement General Purpose Technologies</w:t>
        </w:r>
      </w:hyperlink>
      <w:r>
        <w:rPr>
          <w:rFonts w:ascii="Helvetica Neue" w:cs="Helvetica Neue" w:eastAsia="Helvetica Neue" w:hAnsi="Helvetica Neue"/>
          <w:color w:val="233447"/>
          <w:rtl w:val="0"/>
          <w:sz w:val="20"/>
        </w:rPr>
        <w:t xml:space="preserve">. American Economic Journal: Macroeconomics, 13(1), 333–372. </w:t>
      </w:r>
      <w:r>
        <w:rPr>
          <w:rFonts w:ascii="Helvetica Neue" w:cs="Helvetica Neue" w:eastAsia="Helvetica Neue" w:hAnsi="Helvetica Neue"/>
          <w:color w:val="233447"/>
          <w:rtl w:val="0"/>
          <w:sz w:val="20"/>
        </w:rPr>
        <w:t xml:space="preserve">Peer-reviewed research.</w:t>
      </w:r>
      <w:bookmarkEnd w:id="1048"/>
    </w:p>
    <w:p>
      <w:pPr>
        <w:spacing w:after="85" w:line="260" w:lineRule="auto" w:before="0"/>
        <w:jc w:val="left"/>
        <w:rPr>
          <w:rFonts w:ascii="Helvetica Neue" w:cs="Helvetica Neue" w:eastAsia="Helvetica Neue" w:hAnsi="Helvetica Neue"/>
          <w:sz w:val="20"/>
        </w:rPr>
        <w:keepNext w:val="0"/>
        <w:keepLines w:val="1"/>
        <w:widowControl w:val="1"/>
      </w:pPr>
      <w:bookmarkStart w:id="1049" w:name="ref-8"/>
      <w:r>
        <w:rPr>
          <w:rFonts w:ascii="Helvetica Neue" w:cs="Helvetica Neue" w:eastAsia="Helvetica Neue" w:hAnsi="Helvetica Neue"/>
          <w:color w:val="233447"/>
          <w:rtl w:val="0"/>
          <w:sz w:val="20"/>
        </w:rPr>
        <w:t xml:space="preserve">[8] Lewis, P., et al. (2020). </w:t>
      </w:r>
      <w:hyperlink r:id="rId1008">
        <w:r>
          <w:rPr>
            <w:rFonts w:ascii="Helvetica Neue" w:cs="Helvetica Neue" w:eastAsia="Helvetica Neue" w:hAnsi="Helvetica Neue"/>
            <w:color w:val="2F6B9A"/>
            <w:rtl w:val="0"/>
            <w:sz w:val="20"/>
          </w:rPr>
          <w:t xml:space="preserve">Retrieval-Augmented Generation for Knowledge-Intensive NLP Tasks</w:t>
        </w:r>
      </w:hyperlink>
      <w:r>
        <w:rPr>
          <w:rFonts w:ascii="Helvetica Neue" w:cs="Helvetica Neue" w:eastAsia="Helvetica Neue" w:hAnsi="Helvetica Neue"/>
          <w:color w:val="233447"/>
          <w:rtl w:val="0"/>
          <w:sz w:val="20"/>
        </w:rPr>
        <w:t xml:space="preserve">. Advances in Neural Information Processing Systems, 33; arXiv:2005.11401. </w:t>
      </w:r>
      <w:r>
        <w:rPr>
          <w:rFonts w:ascii="Helvetica Neue" w:cs="Helvetica Neue" w:eastAsia="Helvetica Neue" w:hAnsi="Helvetica Neue"/>
          <w:color w:val="233447"/>
          <w:rtl w:val="0"/>
          <w:sz w:val="20"/>
        </w:rPr>
        <w:t xml:space="preserve">Peer-reviewed research.</w:t>
      </w:r>
      <w:bookmarkEnd w:id="1049"/>
    </w:p>
    <w:p>
      <w:pPr>
        <w:spacing w:after="85" w:line="260" w:lineRule="auto" w:before="0"/>
        <w:jc w:val="left"/>
        <w:rPr>
          <w:rFonts w:ascii="Helvetica Neue" w:cs="Helvetica Neue" w:eastAsia="Helvetica Neue" w:hAnsi="Helvetica Neue"/>
          <w:sz w:val="20"/>
        </w:rPr>
        <w:keepNext w:val="0"/>
        <w:keepLines w:val="1"/>
        <w:widowControl w:val="1"/>
      </w:pPr>
      <w:bookmarkStart w:id="1050" w:name="ref-9"/>
      <w:r>
        <w:rPr>
          <w:rFonts w:ascii="Helvetica Neue" w:cs="Helvetica Neue" w:eastAsia="Helvetica Neue" w:hAnsi="Helvetica Neue"/>
          <w:color w:val="233447"/>
          <w:rtl w:val="0"/>
          <w:sz w:val="20"/>
        </w:rPr>
        <w:t xml:space="preserve">[9] Yao, S., et al. (2023). </w:t>
      </w:r>
      <w:hyperlink r:id="rId1009">
        <w:r>
          <w:rPr>
            <w:rFonts w:ascii="Helvetica Neue" w:cs="Helvetica Neue" w:eastAsia="Helvetica Neue" w:hAnsi="Helvetica Neue"/>
            <w:color w:val="2F6B9A"/>
            <w:rtl w:val="0"/>
            <w:sz w:val="20"/>
          </w:rPr>
          <w:t xml:space="preserve">ReAct: Synergizing Reasoning and Acting in Language Models</w:t>
        </w:r>
      </w:hyperlink>
      <w:r>
        <w:rPr>
          <w:rFonts w:ascii="Helvetica Neue" w:cs="Helvetica Neue" w:eastAsia="Helvetica Neue" w:hAnsi="Helvetica Neue"/>
          <w:color w:val="233447"/>
          <w:rtl w:val="0"/>
          <w:sz w:val="20"/>
        </w:rPr>
        <w:t xml:space="preserve">. International Conference on Learning Representations; arXiv:2210.03629. </w:t>
      </w:r>
      <w:r>
        <w:rPr>
          <w:rFonts w:ascii="Helvetica Neue" w:cs="Helvetica Neue" w:eastAsia="Helvetica Neue" w:hAnsi="Helvetica Neue"/>
          <w:color w:val="233447"/>
          <w:rtl w:val="0"/>
          <w:sz w:val="20"/>
        </w:rPr>
        <w:t xml:space="preserve">Peer-reviewed research.</w:t>
      </w:r>
      <w:bookmarkEnd w:id="1050"/>
    </w:p>
    <w:p>
      <w:pPr>
        <w:spacing w:after="85" w:line="260" w:lineRule="auto" w:before="0"/>
        <w:jc w:val="left"/>
        <w:rPr>
          <w:rFonts w:ascii="Helvetica Neue" w:cs="Helvetica Neue" w:eastAsia="Helvetica Neue" w:hAnsi="Helvetica Neue"/>
          <w:sz w:val="20"/>
        </w:rPr>
        <w:keepNext w:val="0"/>
        <w:keepLines w:val="1"/>
        <w:widowControl w:val="1"/>
      </w:pPr>
      <w:bookmarkStart w:id="1051" w:name="ref-10"/>
      <w:r>
        <w:rPr>
          <w:rFonts w:ascii="Helvetica Neue" w:cs="Helvetica Neue" w:eastAsia="Helvetica Neue" w:hAnsi="Helvetica Neue"/>
          <w:color w:val="233447"/>
          <w:rtl w:val="0"/>
          <w:sz w:val="20"/>
        </w:rPr>
        <w:t xml:space="preserve">[10] Yao, S., Shinn, N., Razavi, P., and Narasimhan, K. (2024). </w:t>
      </w:r>
      <w:hyperlink r:id="rId1010">
        <w:r>
          <w:rPr>
            <w:rFonts w:ascii="Helvetica Neue" w:cs="Helvetica Neue" w:eastAsia="Helvetica Neue" w:hAnsi="Helvetica Neue"/>
            <w:color w:val="2F6B9A"/>
            <w:rtl w:val="0"/>
            <w:sz w:val="20"/>
          </w:rPr>
          <w:t xml:space="preserve">τ-bench: A Benchmark for Tool-Agent-User Interaction in Real-World Domains</w:t>
        </w:r>
      </w:hyperlink>
      <w:r>
        <w:rPr>
          <w:rFonts w:ascii="Helvetica Neue" w:cs="Helvetica Neue" w:eastAsia="Helvetica Neue" w:hAnsi="Helvetica Neue"/>
          <w:color w:val="233447"/>
          <w:rtl w:val="0"/>
          <w:sz w:val="20"/>
        </w:rPr>
        <w:t xml:space="preserve">. arXiv:2406.12045. </w:t>
      </w:r>
      <w:r>
        <w:rPr>
          <w:rFonts w:ascii="Helvetica Neue" w:cs="Helvetica Neue" w:eastAsia="Helvetica Neue" w:hAnsi="Helvetica Neue"/>
          <w:color w:val="233447"/>
          <w:rtl w:val="0"/>
          <w:sz w:val="20"/>
        </w:rPr>
        <w:t xml:space="preserve">Research preprint.</w:t>
      </w:r>
      <w:bookmarkEnd w:id="1051"/>
    </w:p>
    <w:p>
      <w:pPr>
        <w:spacing w:after="85" w:line="260" w:lineRule="auto" w:before="0"/>
        <w:jc w:val="left"/>
        <w:rPr>
          <w:rFonts w:ascii="Helvetica Neue" w:cs="Helvetica Neue" w:eastAsia="Helvetica Neue" w:hAnsi="Helvetica Neue"/>
          <w:sz w:val="20"/>
        </w:rPr>
        <w:keepNext w:val="0"/>
        <w:keepLines w:val="1"/>
        <w:widowControl w:val="1"/>
      </w:pPr>
      <w:bookmarkStart w:id="1052" w:name="ref-11"/>
      <w:r>
        <w:rPr>
          <w:rFonts w:ascii="Helvetica Neue" w:cs="Helvetica Neue" w:eastAsia="Helvetica Neue" w:hAnsi="Helvetica Neue"/>
          <w:color w:val="233447"/>
          <w:rtl w:val="0"/>
          <w:sz w:val="20"/>
        </w:rPr>
        <w:t xml:space="preserve">[11] Liu, N. F., et al. (2024). </w:t>
      </w:r>
      <w:hyperlink r:id="rId1011">
        <w:r>
          <w:rPr>
            <w:rFonts w:ascii="Helvetica Neue" w:cs="Helvetica Neue" w:eastAsia="Helvetica Neue" w:hAnsi="Helvetica Neue"/>
            <w:color w:val="2F6B9A"/>
            <w:rtl w:val="0"/>
            <w:sz w:val="20"/>
          </w:rPr>
          <w:t xml:space="preserve">Lost in the Middle: How Language Models Use Long Contexts</w:t>
        </w:r>
      </w:hyperlink>
      <w:r>
        <w:rPr>
          <w:rFonts w:ascii="Helvetica Neue" w:cs="Helvetica Neue" w:eastAsia="Helvetica Neue" w:hAnsi="Helvetica Neue"/>
          <w:color w:val="233447"/>
          <w:rtl w:val="0"/>
          <w:sz w:val="20"/>
        </w:rPr>
        <w:t xml:space="preserve">. Transactions of the Association for Computational Linguistics, 12, 157–173; arXiv:2307.03172. </w:t>
      </w:r>
      <w:r>
        <w:rPr>
          <w:rFonts w:ascii="Helvetica Neue" w:cs="Helvetica Neue" w:eastAsia="Helvetica Neue" w:hAnsi="Helvetica Neue"/>
          <w:color w:val="233447"/>
          <w:rtl w:val="0"/>
          <w:sz w:val="20"/>
        </w:rPr>
        <w:t xml:space="preserve">Peer-reviewed research.</w:t>
      </w:r>
      <w:bookmarkEnd w:id="1052"/>
    </w:p>
    <w:p>
      <w:pPr>
        <w:spacing w:after="85" w:line="260" w:lineRule="auto" w:before="0"/>
        <w:jc w:val="left"/>
        <w:rPr>
          <w:rFonts w:ascii="Helvetica Neue" w:cs="Helvetica Neue" w:eastAsia="Helvetica Neue" w:hAnsi="Helvetica Neue"/>
          <w:sz w:val="20"/>
        </w:rPr>
        <w:keepNext w:val="0"/>
        <w:keepLines w:val="1"/>
        <w:widowControl w:val="1"/>
      </w:pPr>
      <w:bookmarkStart w:id="1053" w:name="ref-12"/>
      <w:r>
        <w:rPr>
          <w:rFonts w:ascii="Helvetica Neue" w:cs="Helvetica Neue" w:eastAsia="Helvetica Neue" w:hAnsi="Helvetica Neue"/>
          <w:color w:val="233447"/>
          <w:rtl w:val="0"/>
          <w:sz w:val="20"/>
        </w:rPr>
        <w:t xml:space="preserve">[12] Anthropic (2025). </w:t>
      </w:r>
      <w:hyperlink r:id="rId1012">
        <w:r>
          <w:rPr>
            <w:rFonts w:ascii="Helvetica Neue" w:cs="Helvetica Neue" w:eastAsia="Helvetica Neue" w:hAnsi="Helvetica Neue"/>
            <w:color w:val="2F6B9A"/>
            <w:rtl w:val="0"/>
            <w:sz w:val="20"/>
          </w:rPr>
          <w:t xml:space="preserve">Effective context engineering for AI agents</w:t>
        </w:r>
      </w:hyperlink>
      <w:r>
        <w:rPr>
          <w:rFonts w:ascii="Helvetica Neue" w:cs="Helvetica Neue" w:eastAsia="Helvetica Neue" w:hAnsi="Helvetica Neue"/>
          <w:color w:val="233447"/>
          <w:rtl w:val="0"/>
          <w:sz w:val="20"/>
        </w:rPr>
        <w:t xml:space="preserve">. Engineering publication, 29 September. </w:t>
      </w:r>
      <w:r>
        <w:rPr>
          <w:rFonts w:ascii="Helvetica Neue" w:cs="Helvetica Neue" w:eastAsia="Helvetica Neue" w:hAnsi="Helvetica Neue"/>
          <w:color w:val="233447"/>
          <w:rtl w:val="0"/>
          <w:sz w:val="20"/>
        </w:rPr>
        <w:t xml:space="preserve">First-party engineering guidance.</w:t>
      </w:r>
      <w:bookmarkEnd w:id="1053"/>
    </w:p>
    <w:p>
      <w:pPr>
        <w:spacing w:after="85" w:line="260" w:lineRule="auto" w:before="0"/>
        <w:jc w:val="left"/>
        <w:rPr>
          <w:rFonts w:ascii="Helvetica Neue" w:cs="Helvetica Neue" w:eastAsia="Helvetica Neue" w:hAnsi="Helvetica Neue"/>
          <w:sz w:val="20"/>
        </w:rPr>
        <w:keepNext w:val="0"/>
        <w:keepLines w:val="1"/>
        <w:widowControl w:val="1"/>
      </w:pPr>
      <w:bookmarkStart w:id="1054" w:name="ref-13"/>
      <w:r>
        <w:rPr>
          <w:rFonts w:ascii="Helvetica Neue" w:cs="Helvetica Neue" w:eastAsia="Helvetica Neue" w:hAnsi="Helvetica Neue"/>
          <w:color w:val="233447"/>
          <w:rtl w:val="0"/>
          <w:sz w:val="20"/>
        </w:rPr>
        <w:t xml:space="preserve">[13] OWASP Gen AI Security Project (2025 edition). </w:t>
      </w:r>
      <w:hyperlink r:id="rId1013">
        <w:r>
          <w:rPr>
            <w:rFonts w:ascii="Helvetica Neue" w:cs="Helvetica Neue" w:eastAsia="Helvetica Neue" w:hAnsi="Helvetica Neue"/>
            <w:color w:val="2F6B9A"/>
            <w:rtl w:val="0"/>
            <w:sz w:val="20"/>
          </w:rPr>
          <w:t xml:space="preserve">LLM01:2025 Prompt Injection</w:t>
        </w:r>
      </w:hyperlink>
      <w:r>
        <w:rPr>
          <w:rFonts w:ascii="Helvetica Neue" w:cs="Helvetica Neue" w:eastAsia="Helvetica Neue" w:hAnsi="Helvetica Neue"/>
          <w:color w:val="233447"/>
          <w:rtl w:val="0"/>
          <w:sz w:val="20"/>
        </w:rPr>
        <w:t xml:space="preserve">. OWASP Top 10 for Large Language Model Applications. </w:t>
      </w:r>
      <w:r>
        <w:rPr>
          <w:rFonts w:ascii="Helvetica Neue" w:cs="Helvetica Neue" w:eastAsia="Helvetica Neue" w:hAnsi="Helvetica Neue"/>
          <w:color w:val="233447"/>
          <w:rtl w:val="0"/>
          <w:sz w:val="20"/>
        </w:rPr>
        <w:t xml:space="preserve">Community security guidance.</w:t>
      </w:r>
      <w:bookmarkEnd w:id="1054"/>
    </w:p>
    <w:p>
      <w:pPr>
        <w:spacing w:after="85" w:line="260" w:lineRule="auto" w:before="0"/>
        <w:jc w:val="left"/>
        <w:rPr>
          <w:rFonts w:ascii="Helvetica Neue" w:cs="Helvetica Neue" w:eastAsia="Helvetica Neue" w:hAnsi="Helvetica Neue"/>
          <w:sz w:val="20"/>
        </w:rPr>
        <w:keepNext w:val="0"/>
        <w:keepLines w:val="1"/>
        <w:widowControl w:val="1"/>
      </w:pPr>
      <w:bookmarkStart w:id="1055" w:name="ref-14"/>
      <w:r>
        <w:rPr>
          <w:rFonts w:ascii="Helvetica Neue" w:cs="Helvetica Neue" w:eastAsia="Helvetica Neue" w:hAnsi="Helvetica Neue"/>
          <w:color w:val="233447"/>
          <w:rtl w:val="0"/>
          <w:sz w:val="20"/>
        </w:rPr>
        <w:t xml:space="preserve">[14] Mitchell, M., et al. (2019). </w:t>
      </w:r>
      <w:hyperlink r:id="rId1014">
        <w:r>
          <w:rPr>
            <w:rFonts w:ascii="Helvetica Neue" w:cs="Helvetica Neue" w:eastAsia="Helvetica Neue" w:hAnsi="Helvetica Neue"/>
            <w:color w:val="2F6B9A"/>
            <w:rtl w:val="0"/>
            <w:sz w:val="20"/>
          </w:rPr>
          <w:t xml:space="preserve">Model Cards for Model Reporting</w:t>
        </w:r>
      </w:hyperlink>
      <w:r>
        <w:rPr>
          <w:rFonts w:ascii="Helvetica Neue" w:cs="Helvetica Neue" w:eastAsia="Helvetica Neue" w:hAnsi="Helvetica Neue"/>
          <w:color w:val="233447"/>
          <w:rtl w:val="0"/>
          <w:sz w:val="20"/>
        </w:rPr>
        <w:t xml:space="preserve">. ACM Conference on Fairness, Accountability, and Transparency; arXiv:1810.03993. </w:t>
      </w:r>
      <w:r>
        <w:rPr>
          <w:rFonts w:ascii="Helvetica Neue" w:cs="Helvetica Neue" w:eastAsia="Helvetica Neue" w:hAnsi="Helvetica Neue"/>
          <w:color w:val="233447"/>
          <w:rtl w:val="0"/>
          <w:sz w:val="20"/>
        </w:rPr>
        <w:t xml:space="preserve">Peer-reviewed research.</w:t>
      </w:r>
      <w:bookmarkEnd w:id="1055"/>
    </w:p>
    <w:p>
      <w:pPr>
        <w:spacing w:after="85" w:line="260" w:lineRule="auto" w:before="0"/>
        <w:jc w:val="left"/>
        <w:rPr>
          <w:rFonts w:ascii="Helvetica Neue" w:cs="Helvetica Neue" w:eastAsia="Helvetica Neue" w:hAnsi="Helvetica Neue"/>
          <w:sz w:val="20"/>
        </w:rPr>
        <w:keepNext w:val="0"/>
        <w:keepLines w:val="1"/>
        <w:widowControl w:val="1"/>
      </w:pPr>
      <w:bookmarkStart w:id="1056" w:name="ref-15"/>
      <w:r>
        <w:rPr>
          <w:rFonts w:ascii="Helvetica Neue" w:cs="Helvetica Neue" w:eastAsia="Helvetica Neue" w:hAnsi="Helvetica Neue"/>
          <w:color w:val="233447"/>
          <w:rtl w:val="0"/>
          <w:sz w:val="20"/>
        </w:rPr>
        <w:t xml:space="preserve">[15] Gebru, T., et al. (2021). </w:t>
      </w:r>
      <w:hyperlink r:id="rId1015">
        <w:r>
          <w:rPr>
            <w:rFonts w:ascii="Helvetica Neue" w:cs="Helvetica Neue" w:eastAsia="Helvetica Neue" w:hAnsi="Helvetica Neue"/>
            <w:color w:val="2F6B9A"/>
            <w:rtl w:val="0"/>
            <w:sz w:val="20"/>
          </w:rPr>
          <w:t xml:space="preserve">Datasheets for Datasets</w:t>
        </w:r>
      </w:hyperlink>
      <w:r>
        <w:rPr>
          <w:rFonts w:ascii="Helvetica Neue" w:cs="Helvetica Neue" w:eastAsia="Helvetica Neue" w:hAnsi="Helvetica Neue"/>
          <w:color w:val="233447"/>
          <w:rtl w:val="0"/>
          <w:sz w:val="20"/>
        </w:rPr>
        <w:t xml:space="preserve">. Communications of the ACM, 64(12), 86–92; arXiv:1803.09010. </w:t>
      </w:r>
      <w:r>
        <w:rPr>
          <w:rFonts w:ascii="Helvetica Neue" w:cs="Helvetica Neue" w:eastAsia="Helvetica Neue" w:hAnsi="Helvetica Neue"/>
          <w:color w:val="233447"/>
          <w:rtl w:val="0"/>
          <w:sz w:val="20"/>
        </w:rPr>
        <w:t xml:space="preserve">Peer-reviewed research.</w:t>
      </w:r>
      <w:bookmarkEnd w:id="1056"/>
    </w:p>
    <w:p>
      <w:pPr>
        <w:spacing w:after="85" w:line="260" w:lineRule="auto" w:before="0"/>
        <w:jc w:val="left"/>
        <w:rPr>
          <w:rFonts w:ascii="Helvetica Neue" w:cs="Helvetica Neue" w:eastAsia="Helvetica Neue" w:hAnsi="Helvetica Neue"/>
          <w:sz w:val="20"/>
        </w:rPr>
        <w:keepNext w:val="0"/>
        <w:keepLines w:val="1"/>
        <w:widowControl w:val="1"/>
      </w:pPr>
      <w:bookmarkStart w:id="1057" w:name="ref-16"/>
      <w:r>
        <w:rPr>
          <w:rFonts w:ascii="Helvetica Neue" w:cs="Helvetica Neue" w:eastAsia="Helvetica Neue" w:hAnsi="Helvetica Neue"/>
          <w:color w:val="233447"/>
          <w:rtl w:val="0"/>
          <w:sz w:val="20"/>
        </w:rPr>
        <w:t xml:space="preserve">[16] Tabassi, E., editor; National Institute of Standards and Technology (2023). </w:t>
      </w:r>
      <w:hyperlink r:id="rId1016">
        <w:r>
          <w:rPr>
            <w:rFonts w:ascii="Helvetica Neue" w:cs="Helvetica Neue" w:eastAsia="Helvetica Neue" w:hAnsi="Helvetica Neue"/>
            <w:color w:val="2F6B9A"/>
            <w:rtl w:val="0"/>
            <w:sz w:val="20"/>
          </w:rPr>
          <w:t xml:space="preserve">Artificial Intelligence Risk Management Framework (AI RMF 1.0)</w:t>
        </w:r>
      </w:hyperlink>
      <w:r>
        <w:rPr>
          <w:rFonts w:ascii="Helvetica Neue" w:cs="Helvetica Neue" w:eastAsia="Helvetica Neue" w:hAnsi="Helvetica Neue"/>
          <w:color w:val="233447"/>
          <w:rtl w:val="0"/>
          <w:sz w:val="20"/>
        </w:rPr>
        <w:t xml:space="preserve">. NIST AI 100-1. </w:t>
      </w:r>
      <w:r>
        <w:rPr>
          <w:rFonts w:ascii="Helvetica Neue" w:cs="Helvetica Neue" w:eastAsia="Helvetica Neue" w:hAnsi="Helvetica Neue"/>
          <w:color w:val="233447"/>
          <w:rtl w:val="0"/>
          <w:sz w:val="20"/>
        </w:rPr>
        <w:t xml:space="preserve">Government risk framework.</w:t>
      </w:r>
      <w:r>
        <w:rPr>
          <w:rFonts w:ascii="Helvetica Neue" w:cs="Helvetica Neue" w:eastAsia="Helvetica Neue" w:hAnsi="Helvetica Neue"/>
          <w:color w:val="233447"/>
          <w:rtl w:val="0"/>
          <w:sz w:val="20"/>
        </w:rPr>
        <w:t xml:space="preserve"> </w:t>
      </w:r>
      <w:hyperlink r:id="rId1017">
        <w:r>
          <w:rPr>
            <w:rFonts w:ascii="Helvetica Neue" w:cs="Helvetica Neue" w:eastAsia="Helvetica Neue" w:hAnsi="Helvetica Neue"/>
            <w:color w:val="2F6B9A"/>
            <w:rtl w:val="0"/>
            <w:sz w:val="20"/>
          </w:rPr>
          <w:t xml:space="preserve">NIST AI Resource Center and revision status</w:t>
        </w:r>
      </w:hyperlink>
      <w:r>
        <w:rPr>
          <w:rFonts w:ascii="Helvetica Neue" w:cs="Helvetica Neue" w:eastAsia="Helvetica Neue" w:hAnsi="Helvetica Neue"/>
          <w:color w:val="233447"/>
          <w:rtl w:val="0"/>
          <w:sz w:val="20"/>
        </w:rPr>
        <w:t xml:space="preserve">.</w:t>
      </w:r>
      <w:bookmarkEnd w:id="1057"/>
    </w:p>
    <w:p>
      <w:pPr>
        <w:spacing w:after="85" w:line="260" w:lineRule="auto" w:before="0"/>
        <w:jc w:val="left"/>
        <w:rPr>
          <w:rFonts w:ascii="Helvetica Neue" w:cs="Helvetica Neue" w:eastAsia="Helvetica Neue" w:hAnsi="Helvetica Neue"/>
          <w:sz w:val="20"/>
        </w:rPr>
        <w:keepNext w:val="0"/>
        <w:keepLines w:val="1"/>
        <w:widowControl w:val="1"/>
      </w:pPr>
      <w:bookmarkStart w:id="1058" w:name="ref-17"/>
      <w:r>
        <w:rPr>
          <w:rFonts w:ascii="Helvetica Neue" w:cs="Helvetica Neue" w:eastAsia="Helvetica Neue" w:hAnsi="Helvetica Neue"/>
          <w:color w:val="233447"/>
          <w:rtl w:val="0"/>
          <w:sz w:val="20"/>
        </w:rPr>
        <w:t xml:space="preserve">[17] Autio, C., et al.; National Institute of Standards and Technology (2024). </w:t>
      </w:r>
      <w:hyperlink r:id="rId1018">
        <w:r>
          <w:rPr>
            <w:rFonts w:ascii="Helvetica Neue" w:cs="Helvetica Neue" w:eastAsia="Helvetica Neue" w:hAnsi="Helvetica Neue"/>
            <w:color w:val="2F6B9A"/>
            <w:rtl w:val="0"/>
            <w:sz w:val="20"/>
          </w:rPr>
          <w:t xml:space="preserve">Artificial Intelligence Risk Management Framework: Generative Artificial Intelligence Profile</w:t>
        </w:r>
      </w:hyperlink>
      <w:r>
        <w:rPr>
          <w:rFonts w:ascii="Helvetica Neue" w:cs="Helvetica Neue" w:eastAsia="Helvetica Neue" w:hAnsi="Helvetica Neue"/>
          <w:color w:val="233447"/>
          <w:rtl w:val="0"/>
          <w:sz w:val="20"/>
        </w:rPr>
        <w:t xml:space="preserve">. NIST AI 600-1, 26 July. </w:t>
      </w:r>
      <w:r>
        <w:rPr>
          <w:rFonts w:ascii="Helvetica Neue" w:cs="Helvetica Neue" w:eastAsia="Helvetica Neue" w:hAnsi="Helvetica Neue"/>
          <w:color w:val="233447"/>
          <w:rtl w:val="0"/>
          <w:sz w:val="20"/>
        </w:rPr>
        <w:t xml:space="preserve">Government risk guidance.</w:t>
      </w:r>
      <w:bookmarkEnd w:id="1058"/>
    </w:p>
    <w:p>
      <w:pPr>
        <w:spacing w:after="85" w:line="260" w:lineRule="auto" w:before="0"/>
        <w:jc w:val="left"/>
        <w:rPr>
          <w:rFonts w:ascii="Helvetica Neue" w:cs="Helvetica Neue" w:eastAsia="Helvetica Neue" w:hAnsi="Helvetica Neue"/>
          <w:sz w:val="20"/>
        </w:rPr>
        <w:keepNext w:val="0"/>
        <w:keepLines w:val="1"/>
        <w:widowControl w:val="1"/>
      </w:pPr>
      <w:bookmarkStart w:id="1059" w:name="ref-18"/>
      <w:r>
        <w:rPr>
          <w:rFonts w:ascii="Helvetica Neue" w:cs="Helvetica Neue" w:eastAsia="Helvetica Neue" w:hAnsi="Helvetica Neue"/>
          <w:color w:val="233447"/>
          <w:rtl w:val="0"/>
          <w:sz w:val="20"/>
        </w:rPr>
        <w:t xml:space="preserve">[18] ISO and IEC (2023). </w:t>
      </w:r>
      <w:hyperlink r:id="rId1019">
        <w:r>
          <w:rPr>
            <w:rFonts w:ascii="Helvetica Neue" w:cs="Helvetica Neue" w:eastAsia="Helvetica Neue" w:hAnsi="Helvetica Neue"/>
            <w:color w:val="2F6B9A"/>
            <w:rtl w:val="0"/>
            <w:sz w:val="20"/>
          </w:rPr>
          <w:t xml:space="preserve">ISO/IEC 42001:2023 Information technology—Artificial intelligence—Management system</w:t>
        </w:r>
      </w:hyperlink>
      <w:r>
        <w:rPr>
          <w:rFonts w:ascii="Helvetica Neue" w:cs="Helvetica Neue" w:eastAsia="Helvetica Neue" w:hAnsi="Helvetica Neue"/>
          <w:color w:val="233447"/>
          <w:rtl w:val="0"/>
          <w:sz w:val="20"/>
        </w:rPr>
        <w:t xml:space="preserve">. Official public standard description. </w:t>
      </w:r>
      <w:r>
        <w:rPr>
          <w:rFonts w:ascii="Helvetica Neue" w:cs="Helvetica Neue" w:eastAsia="Helvetica Neue" w:hAnsi="Helvetica Neue"/>
          <w:color w:val="233447"/>
          <w:rtl w:val="0"/>
          <w:sz w:val="20"/>
        </w:rPr>
        <w:t xml:space="preserve">International management-system standard.</w:t>
      </w:r>
      <w:bookmarkEnd w:id="1059"/>
    </w:p>
    <w:p>
      <w:pPr>
        <w:spacing w:after="85" w:line="260" w:lineRule="auto" w:before="0"/>
        <w:jc w:val="left"/>
        <w:rPr>
          <w:rFonts w:ascii="Helvetica Neue" w:cs="Helvetica Neue" w:eastAsia="Helvetica Neue" w:hAnsi="Helvetica Neue"/>
          <w:sz w:val="20"/>
        </w:rPr>
        <w:keepNext w:val="0"/>
        <w:keepLines w:val="1"/>
        <w:widowControl w:val="1"/>
      </w:pPr>
      <w:bookmarkStart w:id="1060" w:name="ref-19"/>
      <w:r>
        <w:rPr>
          <w:rFonts w:ascii="Helvetica Neue" w:cs="Helvetica Neue" w:eastAsia="Helvetica Neue" w:hAnsi="Helvetica Neue"/>
          <w:color w:val="233447"/>
          <w:rtl w:val="0"/>
          <w:sz w:val="20"/>
        </w:rPr>
        <w:t xml:space="preserve">[19] Amazon Web Services (2024). </w:t>
      </w:r>
      <w:hyperlink r:id="rId1020">
        <w:r>
          <w:rPr>
            <w:rFonts w:ascii="Helvetica Neue" w:cs="Helvetica Neue" w:eastAsia="Helvetica Neue" w:hAnsi="Helvetica Neue"/>
            <w:color w:val="2F6B9A"/>
            <w:rtl w:val="0"/>
            <w:sz w:val="20"/>
          </w:rPr>
          <w:t xml:space="preserve">AWS Cloud Adoption Framework for Artificial Intelligence, Machine Learning, and Generative AI</w:t>
        </w:r>
      </w:hyperlink>
      <w:r>
        <w:rPr>
          <w:rFonts w:ascii="Helvetica Neue" w:cs="Helvetica Neue" w:eastAsia="Helvetica Neue" w:hAnsi="Helvetica Neue"/>
          <w:color w:val="233447"/>
          <w:rtl w:val="0"/>
          <w:sz w:val="20"/>
        </w:rPr>
        <w:t xml:space="preserve">. AWS Whitepaper, 13 February; foundational capabilities chapter. </w:t>
      </w:r>
      <w:r>
        <w:rPr>
          <w:rFonts w:ascii="Helvetica Neue" w:cs="Helvetica Neue" w:eastAsia="Helvetica Neue" w:hAnsi="Helvetica Neue"/>
          <w:color w:val="233447"/>
          <w:rtl w:val="0"/>
          <w:sz w:val="20"/>
        </w:rPr>
        <w:t xml:space="preserve">Provider adoption framework.</w:t>
      </w:r>
      <w:r>
        <w:rPr>
          <w:rFonts w:ascii="Helvetica Neue" w:cs="Helvetica Neue" w:eastAsia="Helvetica Neue" w:hAnsi="Helvetica Neue"/>
          <w:color w:val="233447"/>
          <w:rtl w:val="0"/>
          <w:sz w:val="20"/>
        </w:rPr>
        <w:t xml:space="preserve"> </w:t>
      </w:r>
      <w:hyperlink r:id="rId1021">
        <w:r>
          <w:rPr>
            <w:rFonts w:ascii="Helvetica Neue" w:cs="Helvetica Neue" w:eastAsia="Helvetica Neue" w:hAnsi="Helvetica Neue"/>
            <w:color w:val="2F6B9A"/>
            <w:rtl w:val="0"/>
            <w:sz w:val="20"/>
          </w:rPr>
          <w:t xml:space="preserve">Foundational AI capabilities</w:t>
        </w:r>
      </w:hyperlink>
      <w:r>
        <w:rPr>
          <w:rFonts w:ascii="Helvetica Neue" w:cs="Helvetica Neue" w:eastAsia="Helvetica Neue" w:hAnsi="Helvetica Neue"/>
          <w:color w:val="233447"/>
          <w:rtl w:val="0"/>
          <w:sz w:val="20"/>
        </w:rPr>
        <w:t xml:space="preserve">.</w:t>
      </w:r>
      <w:bookmarkEnd w:id="1060"/>
    </w:p>
    <w:p>
      <w:pPr>
        <w:spacing w:after="85" w:line="260" w:lineRule="auto" w:before="0"/>
        <w:jc w:val="left"/>
        <w:rPr>
          <w:rFonts w:ascii="Helvetica Neue" w:cs="Helvetica Neue" w:eastAsia="Helvetica Neue" w:hAnsi="Helvetica Neue"/>
          <w:sz w:val="20"/>
        </w:rPr>
        <w:keepNext w:val="0"/>
        <w:keepLines w:val="1"/>
        <w:widowControl w:val="1"/>
      </w:pPr>
      <w:bookmarkStart w:id="1061" w:name="ref-20"/>
      <w:r>
        <w:rPr>
          <w:rFonts w:ascii="Helvetica Neue" w:cs="Helvetica Neue" w:eastAsia="Helvetica Neue" w:hAnsi="Helvetica Neue"/>
          <w:color w:val="233447"/>
          <w:rtl w:val="0"/>
          <w:sz w:val="20"/>
        </w:rPr>
        <w:t xml:space="preserve">[20] Google Cloud (2024 review). </w:t>
      </w:r>
      <w:hyperlink r:id="rId1022">
        <w:r>
          <w:rPr>
            <w:rFonts w:ascii="Helvetica Neue" w:cs="Helvetica Neue" w:eastAsia="Helvetica Neue" w:hAnsi="Helvetica Neue"/>
            <w:color w:val="2F6B9A"/>
            <w:rtl w:val="0"/>
            <w:sz w:val="20"/>
          </w:rPr>
          <w:t xml:space="preserve">MLOps: Continuous delivery and automation pipelines in machine learning</w:t>
        </w:r>
      </w:hyperlink>
      <w:r>
        <w:rPr>
          <w:rFonts w:ascii="Helvetica Neue" w:cs="Helvetica Neue" w:eastAsia="Helvetica Neue" w:hAnsi="Helvetica Neue"/>
          <w:color w:val="233447"/>
          <w:rtl w:val="0"/>
          <w:sz w:val="20"/>
        </w:rPr>
        <w:t xml:space="preserve">. Cloud Architecture Center, reviewed 28 August 2024. </w:t>
      </w:r>
      <w:r>
        <w:rPr>
          <w:rFonts w:ascii="Helvetica Neue" w:cs="Helvetica Neue" w:eastAsia="Helvetica Neue" w:hAnsi="Helvetica Neue"/>
          <w:color w:val="233447"/>
          <w:rtl w:val="0"/>
          <w:sz w:val="20"/>
        </w:rPr>
        <w:t xml:space="preserve">Provider engineering guidance.</w:t>
      </w:r>
      <w:bookmarkEnd w:id="1061"/>
    </w:p>
    <w:p>
      <w:pPr>
        <w:spacing w:after="85" w:line="260" w:lineRule="auto" w:before="0"/>
        <w:jc w:val="left"/>
        <w:rPr>
          <w:rFonts w:ascii="Helvetica Neue" w:cs="Helvetica Neue" w:eastAsia="Helvetica Neue" w:hAnsi="Helvetica Neue"/>
          <w:sz w:val="20"/>
        </w:rPr>
        <w:keepNext w:val="0"/>
        <w:keepLines w:val="1"/>
        <w:widowControl w:val="1"/>
      </w:pPr>
      <w:bookmarkStart w:id="1062" w:name="ref-21"/>
      <w:r>
        <w:rPr>
          <w:rFonts w:ascii="Helvetica Neue" w:cs="Helvetica Neue" w:eastAsia="Helvetica Neue" w:hAnsi="Helvetica Neue"/>
          <w:color w:val="233447"/>
          <w:rtl w:val="0"/>
          <w:sz w:val="20"/>
        </w:rPr>
        <w:t xml:space="preserve">[21] Infocomm Media Development Authority (2024). </w:t>
      </w:r>
      <w:hyperlink r:id="rId1023">
        <w:r>
          <w:rPr>
            <w:rFonts w:ascii="Helvetica Neue" w:cs="Helvetica Neue" w:eastAsia="Helvetica Neue" w:hAnsi="Helvetica Neue"/>
            <w:color w:val="2F6B9A"/>
            <w:rtl w:val="0"/>
            <w:sz w:val="20"/>
          </w:rPr>
          <w:t xml:space="preserve">AI Playbook for Small States</w:t>
        </w:r>
      </w:hyperlink>
      <w:r>
        <w:rPr>
          <w:rFonts w:ascii="Helvetica Neue" w:cs="Helvetica Neue" w:eastAsia="Helvetica Neue" w:hAnsi="Helvetica Neue"/>
          <w:color w:val="233447"/>
          <w:rtl w:val="0"/>
          <w:sz w:val="20"/>
        </w:rPr>
        <w:t xml:space="preserve">. Chapter 3, Singapore: AI Verify and Project Moonshot as Toolkits to Test AI Systems, p. 32. </w:t>
      </w:r>
      <w:r>
        <w:rPr>
          <w:rFonts w:ascii="Helvetica Neue" w:cs="Helvetica Neue" w:eastAsia="Helvetica Neue" w:hAnsi="Helvetica Neue"/>
          <w:color w:val="233447"/>
          <w:rtl w:val="0"/>
          <w:sz w:val="20"/>
        </w:rPr>
        <w:t xml:space="preserve">Government implementation guidance.</w:t>
      </w:r>
      <w:r>
        <w:rPr>
          <w:rFonts w:ascii="Helvetica Neue" w:cs="Helvetica Neue" w:eastAsia="Helvetica Neue" w:hAnsi="Helvetica Neue"/>
          <w:color w:val="233447"/>
          <w:rtl w:val="0"/>
          <w:sz w:val="20"/>
        </w:rPr>
        <w:t xml:space="preserve"> </w:t>
      </w:r>
      <w:hyperlink r:id="rId1024">
        <w:r>
          <w:rPr>
            <w:rFonts w:ascii="Helvetica Neue" w:cs="Helvetica Neue" w:eastAsia="Helvetica Neue" w:hAnsi="Helvetica Neue"/>
            <w:color w:val="2F6B9A"/>
            <w:rtl w:val="0"/>
            <w:sz w:val="20"/>
          </w:rPr>
          <w:t xml:space="preserve">Project Moonshot launch and scope</w:t>
        </w:r>
      </w:hyperlink>
      <w:r>
        <w:rPr>
          <w:rFonts w:ascii="Helvetica Neue" w:cs="Helvetica Neue" w:eastAsia="Helvetica Neue" w:hAnsi="Helvetica Neue"/>
          <w:color w:val="233447"/>
          <w:rtl w:val="0"/>
          <w:sz w:val="20"/>
        </w:rPr>
        <w:t xml:space="preserve">.</w:t>
      </w:r>
      <w:bookmarkEnd w:id="1062"/>
    </w:p>
    <w:p>
      <w:pPr>
        <w:spacing w:after="85" w:line="260" w:lineRule="auto" w:before="0"/>
        <w:jc w:val="left"/>
        <w:rPr>
          <w:rFonts w:ascii="Helvetica Neue" w:cs="Helvetica Neue" w:eastAsia="Helvetica Neue" w:hAnsi="Helvetica Neue"/>
          <w:sz w:val="20"/>
        </w:rPr>
        <w:keepNext w:val="0"/>
        <w:keepLines w:val="1"/>
        <w:widowControl w:val="1"/>
      </w:pPr>
      <w:bookmarkStart w:id="1063" w:name="ref-22"/>
      <w:r>
        <w:rPr>
          <w:rFonts w:ascii="Helvetica Neue" w:cs="Helvetica Neue" w:eastAsia="Helvetica Neue" w:hAnsi="Helvetica Neue"/>
          <w:color w:val="233447"/>
          <w:rtl w:val="0"/>
          <w:sz w:val="20"/>
        </w:rPr>
        <w:t xml:space="preserve">[22] Brynjolfsson, E., Li, D., and Raymond, L. (2025). </w:t>
      </w:r>
      <w:hyperlink r:id="rId1025">
        <w:r>
          <w:rPr>
            <w:rFonts w:ascii="Helvetica Neue" w:cs="Helvetica Neue" w:eastAsia="Helvetica Neue" w:hAnsi="Helvetica Neue"/>
            <w:color w:val="2F6B9A"/>
            <w:rtl w:val="0"/>
            <w:sz w:val="20"/>
          </w:rPr>
          <w:t xml:space="preserve">Generative AI at Work</w:t>
        </w:r>
      </w:hyperlink>
      <w:r>
        <w:rPr>
          <w:rFonts w:ascii="Helvetica Neue" w:cs="Helvetica Neue" w:eastAsia="Helvetica Neue" w:hAnsi="Helvetica Neue"/>
          <w:color w:val="233447"/>
          <w:rtl w:val="0"/>
          <w:sz w:val="20"/>
        </w:rPr>
        <w:t xml:space="preserve">. The Quarterly Journal of Economics, 140(2), 889–942; DOI 10.1093/qje/qjae044. </w:t>
      </w:r>
      <w:r>
        <w:rPr>
          <w:rFonts w:ascii="Helvetica Neue" w:cs="Helvetica Neue" w:eastAsia="Helvetica Neue" w:hAnsi="Helvetica Neue"/>
          <w:color w:val="233447"/>
          <w:rtl w:val="0"/>
          <w:sz w:val="20"/>
        </w:rPr>
        <w:t xml:space="preserve">Peer-reviewed observational field study.</w:t>
      </w:r>
      <w:bookmarkEnd w:id="1063"/>
    </w:p>
    <w:p>
      <w:pPr>
        <w:spacing w:after="85" w:line="260" w:lineRule="auto" w:before="0"/>
        <w:jc w:val="left"/>
        <w:rPr>
          <w:rFonts w:ascii="Helvetica Neue" w:cs="Helvetica Neue" w:eastAsia="Helvetica Neue" w:hAnsi="Helvetica Neue"/>
          <w:sz w:val="20"/>
        </w:rPr>
        <w:keepNext w:val="0"/>
        <w:keepLines w:val="1"/>
        <w:widowControl w:val="1"/>
      </w:pPr>
      <w:bookmarkStart w:id="1064" w:name="ref-23"/>
      <w:r>
        <w:rPr>
          <w:rFonts w:ascii="Helvetica Neue" w:cs="Helvetica Neue" w:eastAsia="Helvetica Neue" w:hAnsi="Helvetica Neue"/>
          <w:color w:val="233447"/>
          <w:rtl w:val="0"/>
          <w:sz w:val="20"/>
        </w:rPr>
        <w:t xml:space="preserve">[23] Dell’Acqua, F., et al. (2026). </w:t>
      </w:r>
      <w:hyperlink r:id="rId1026">
        <w:r>
          <w:rPr>
            <w:rFonts w:ascii="Helvetica Neue" w:cs="Helvetica Neue" w:eastAsia="Helvetica Neue" w:hAnsi="Helvetica Neue"/>
            <w:color w:val="2F6B9A"/>
            <w:rtl w:val="0"/>
            <w:sz w:val="20"/>
          </w:rPr>
          <w:t xml:space="preserve">Navigating the Jagged Technological Frontier: Field Experimental Evidence of the Effects of Artificial Intelligence on Knowledge Worker Productivity and Quality</w:t>
        </w:r>
      </w:hyperlink>
      <w:r>
        <w:rPr>
          <w:rFonts w:ascii="Helvetica Neue" w:cs="Helvetica Neue" w:eastAsia="Helvetica Neue" w:hAnsi="Helvetica Neue"/>
          <w:color w:val="233447"/>
          <w:rtl w:val="0"/>
          <w:sz w:val="20"/>
        </w:rPr>
        <w:t xml:space="preserve">. Organization Science, advance online publication, 11 March; DOI 10.1287/orsc.2025.21838; earlier working paper 2023. </w:t>
      </w:r>
      <w:r>
        <w:rPr>
          <w:rFonts w:ascii="Helvetica Neue" w:cs="Helvetica Neue" w:eastAsia="Helvetica Neue" w:hAnsi="Helvetica Neue"/>
          <w:color w:val="233447"/>
          <w:rtl w:val="0"/>
          <w:sz w:val="20"/>
        </w:rPr>
        <w:t xml:space="preserve">Peer-reviewed randomized field experiment.</w:t>
      </w:r>
      <w:bookmarkEnd w:id="1064"/>
    </w:p>
    <w:p>
      <w:pPr>
        <w:spacing w:after="85" w:line="260" w:lineRule="auto" w:before="0"/>
        <w:jc w:val="left"/>
        <w:rPr>
          <w:rFonts w:ascii="Helvetica Neue" w:cs="Helvetica Neue" w:eastAsia="Helvetica Neue" w:hAnsi="Helvetica Neue"/>
          <w:sz w:val="20"/>
        </w:rPr>
        <w:keepNext w:val="0"/>
        <w:keepLines w:val="1"/>
        <w:widowControl w:val="1"/>
      </w:pPr>
      <w:bookmarkStart w:id="1065" w:name="ref-24"/>
      <w:r>
        <w:rPr>
          <w:rFonts w:ascii="Helvetica Neue" w:cs="Helvetica Neue" w:eastAsia="Helvetica Neue" w:hAnsi="Helvetica Neue"/>
          <w:color w:val="233447"/>
          <w:rtl w:val="0"/>
          <w:sz w:val="20"/>
        </w:rPr>
        <w:t xml:space="preserve">[24] Becker, J., Rush, N., Barnes, E., and Rein, D. (2025). </w:t>
      </w:r>
      <w:hyperlink r:id="rId1027">
        <w:r>
          <w:rPr>
            <w:rFonts w:ascii="Helvetica Neue" w:cs="Helvetica Neue" w:eastAsia="Helvetica Neue" w:hAnsi="Helvetica Neue"/>
            <w:color w:val="2F6B9A"/>
            <w:rtl w:val="0"/>
            <w:sz w:val="20"/>
          </w:rPr>
          <w:t xml:space="preserve">Measuring the Impact of Early-2025 AI on Experienced Open-Source Developer Productivity</w:t>
        </w:r>
      </w:hyperlink>
      <w:r>
        <w:rPr>
          <w:rFonts w:ascii="Helvetica Neue" w:cs="Helvetica Neue" w:eastAsia="Helvetica Neue" w:hAnsi="Helvetica Neue"/>
          <w:color w:val="233447"/>
          <w:rtl w:val="0"/>
          <w:sz w:val="20"/>
        </w:rPr>
        <w:t xml:space="preserve">. arXiv:2507.09089; METR research. </w:t>
      </w:r>
      <w:r>
        <w:rPr>
          <w:rFonts w:ascii="Helvetica Neue" w:cs="Helvetica Neue" w:eastAsia="Helvetica Neue" w:hAnsi="Helvetica Neue"/>
          <w:color w:val="233447"/>
          <w:rtl w:val="0"/>
          <w:sz w:val="20"/>
        </w:rPr>
        <w:t xml:space="preserve">Research preprint reporting a randomized trial.</w:t>
      </w:r>
      <w:bookmarkEnd w:id="1065"/>
    </w:p>
    <w:p>
      <w:pPr>
        <w:spacing w:after="85" w:line="260" w:lineRule="auto" w:before="0"/>
        <w:jc w:val="left"/>
        <w:rPr>
          <w:rFonts w:ascii="Helvetica Neue" w:cs="Helvetica Neue" w:eastAsia="Helvetica Neue" w:hAnsi="Helvetica Neue"/>
          <w:sz w:val="20"/>
        </w:rPr>
        <w:keepNext w:val="0"/>
        <w:keepLines w:val="1"/>
        <w:widowControl w:val="1"/>
      </w:pPr>
      <w:bookmarkStart w:id="1066" w:name="ref-25"/>
      <w:r>
        <w:rPr>
          <w:rFonts w:ascii="Helvetica Neue" w:cs="Helvetica Neue" w:eastAsia="Helvetica Neue" w:hAnsi="Helvetica Neue"/>
          <w:color w:val="233447"/>
          <w:rtl w:val="0"/>
          <w:sz w:val="20"/>
        </w:rPr>
        <w:t xml:space="preserve">[25] Sadiq, R. B., Safie, N., Abd Rahman, A. H., and Goudarzi, S. (2021). </w:t>
      </w:r>
      <w:hyperlink r:id="rId1028">
        <w:r>
          <w:rPr>
            <w:rFonts w:ascii="Helvetica Neue" w:cs="Helvetica Neue" w:eastAsia="Helvetica Neue" w:hAnsi="Helvetica Neue"/>
            <w:color w:val="2F6B9A"/>
            <w:rtl w:val="0"/>
            <w:sz w:val="20"/>
          </w:rPr>
          <w:t xml:space="preserve">Artificial intelligence maturity model: A systematic literature review</w:t>
        </w:r>
      </w:hyperlink>
      <w:r>
        <w:rPr>
          <w:rFonts w:ascii="Helvetica Neue" w:cs="Helvetica Neue" w:eastAsia="Helvetica Neue" w:hAnsi="Helvetica Neue"/>
          <w:color w:val="233447"/>
          <w:rtl w:val="0"/>
          <w:sz w:val="20"/>
        </w:rPr>
        <w:t xml:space="preserve">. PeerJ Computer Science, 7, e661. </w:t>
      </w:r>
      <w:r>
        <w:rPr>
          <w:rFonts w:ascii="Helvetica Neue" w:cs="Helvetica Neue" w:eastAsia="Helvetica Neue" w:hAnsi="Helvetica Neue"/>
          <w:color w:val="233447"/>
          <w:rtl w:val="0"/>
          <w:sz w:val="20"/>
        </w:rPr>
        <w:t xml:space="preserve">Peer-reviewed systematic review.</w:t>
      </w:r>
      <w:bookmarkEnd w:id="1066"/>
    </w:p>
    <w:p>
      <w:pPr>
        <w:spacing w:after="85" w:line="260" w:lineRule="auto" w:before="0"/>
        <w:jc w:val="left"/>
        <w:rPr>
          <w:rFonts w:ascii="Helvetica Neue" w:cs="Helvetica Neue" w:eastAsia="Helvetica Neue" w:hAnsi="Helvetica Neue"/>
          <w:sz w:val="20"/>
        </w:rPr>
        <w:keepNext w:val="0"/>
        <w:keepLines w:val="1"/>
        <w:widowControl w:val="1"/>
      </w:pPr>
      <w:bookmarkStart w:id="1067" w:name="ref-26"/>
      <w:r>
        <w:rPr>
          <w:rFonts w:ascii="Helvetica Neue" w:cs="Helvetica Neue" w:eastAsia="Helvetica Neue" w:hAnsi="Helvetica Neue"/>
          <w:color w:val="233447"/>
          <w:rtl w:val="0"/>
          <w:sz w:val="20"/>
        </w:rPr>
        <w:t xml:space="preserve">[26] Sawang, S., and Sornlertlamvanich, V. (2026). </w:t>
      </w:r>
      <w:hyperlink r:id="rId1029">
        <w:r>
          <w:rPr>
            <w:rFonts w:ascii="Helvetica Neue" w:cs="Helvetica Neue" w:eastAsia="Helvetica Neue" w:hAnsi="Helvetica Neue"/>
            <w:color w:val="2F6B9A"/>
            <w:rtl w:val="0"/>
            <w:sz w:val="20"/>
          </w:rPr>
          <w:t xml:space="preserve">Artificial Intelligence (AI) Maturity in Small and Medium-Sized Enterprises: A Framework of Internalized and Ecosystem-Embedded Capabilities</w:t>
        </w:r>
      </w:hyperlink>
      <w:r>
        <w:rPr>
          <w:rFonts w:ascii="Helvetica Neue" w:cs="Helvetica Neue" w:eastAsia="Helvetica Neue" w:hAnsi="Helvetica Neue"/>
          <w:color w:val="233447"/>
          <w:rtl w:val="0"/>
          <w:sz w:val="20"/>
        </w:rPr>
        <w:t xml:space="preserve">. arXiv:2603.08728. </w:t>
      </w:r>
      <w:r>
        <w:rPr>
          <w:rFonts w:ascii="Helvetica Neue" w:cs="Helvetica Neue" w:eastAsia="Helvetica Neue" w:hAnsi="Helvetica Neue"/>
          <w:color w:val="233447"/>
          <w:rtl w:val="0"/>
          <w:sz w:val="20"/>
        </w:rPr>
        <w:t xml:space="preserve">Conceptual research preprint; empirical validation pending.</w:t>
      </w:r>
      <w:bookmarkEnd w:id="1067"/>
    </w:p>
    <w:p>
      <w:pPr>
        <w:spacing w:after="85" w:line="260" w:lineRule="auto" w:before="0"/>
        <w:jc w:val="left"/>
        <w:rPr>
          <w:rFonts w:ascii="Helvetica Neue" w:cs="Helvetica Neue" w:eastAsia="Helvetica Neue" w:hAnsi="Helvetica Neue"/>
          <w:sz w:val="20"/>
        </w:rPr>
        <w:keepNext w:val="0"/>
        <w:keepLines w:val="1"/>
        <w:widowControl w:val="1"/>
      </w:pPr>
      <w:bookmarkStart w:id="1068" w:name="ref-27"/>
      <w:r>
        <w:rPr>
          <w:rFonts w:ascii="Helvetica Neue" w:cs="Helvetica Neue" w:eastAsia="Helvetica Neue" w:hAnsi="Helvetica Neue"/>
          <w:color w:val="233447"/>
          <w:rtl w:val="0"/>
          <w:sz w:val="20"/>
        </w:rPr>
        <w:t xml:space="preserve">[27] Del Balso, M., and Hermann, J. (2017). </w:t>
      </w:r>
      <w:hyperlink r:id="rId1030">
        <w:r>
          <w:rPr>
            <w:rFonts w:ascii="Helvetica Neue" w:cs="Helvetica Neue" w:eastAsia="Helvetica Neue" w:hAnsi="Helvetica Neue"/>
            <w:color w:val="2F6B9A"/>
            <w:rtl w:val="0"/>
            <w:sz w:val="20"/>
          </w:rPr>
          <w:t xml:space="preserve">Meet Michelangelo: Uber’s Machine Learning Platform</w:t>
        </w:r>
      </w:hyperlink>
      <w:r>
        <w:rPr>
          <w:rFonts w:ascii="Helvetica Neue" w:cs="Helvetica Neue" w:eastAsia="Helvetica Neue" w:hAnsi="Helvetica Neue"/>
          <w:color w:val="233447"/>
          <w:rtl w:val="0"/>
          <w:sz w:val="20"/>
        </w:rPr>
        <w:t xml:space="preserve">. Uber Engineering, 5 September. </w:t>
      </w:r>
      <w:r>
        <w:rPr>
          <w:rFonts w:ascii="Helvetica Neue" w:cs="Helvetica Neue" w:eastAsia="Helvetica Neue" w:hAnsi="Helvetica Neue"/>
          <w:color w:val="233447"/>
          <w:rtl w:val="0"/>
          <w:sz w:val="20"/>
        </w:rPr>
        <w:t xml:space="preserve">First-party engineering case study.</w:t>
      </w:r>
      <w:bookmarkEnd w:id="1068"/>
    </w:p>
    <w:p>
      <w:pPr>
        <w:spacing w:after="85" w:line="260" w:lineRule="auto" w:before="0"/>
        <w:jc w:val="left"/>
        <w:rPr>
          <w:rFonts w:ascii="Helvetica Neue" w:cs="Helvetica Neue" w:eastAsia="Helvetica Neue" w:hAnsi="Helvetica Neue"/>
          <w:sz w:val="20"/>
        </w:rPr>
        <w:keepNext w:val="0"/>
        <w:keepLines w:val="1"/>
        <w:widowControl w:val="1"/>
      </w:pPr>
      <w:bookmarkStart w:id="1069" w:name="ref-28"/>
      <w:r>
        <w:rPr>
          <w:rFonts w:ascii="Helvetica Neue" w:cs="Helvetica Neue" w:eastAsia="Helvetica Neue" w:hAnsi="Helvetica Neue"/>
          <w:color w:val="233447"/>
          <w:rtl w:val="0"/>
          <w:sz w:val="20"/>
        </w:rPr>
        <w:t xml:space="preserve">[28] Microsoft (2022). </w:t>
      </w:r>
      <w:hyperlink r:id="rId1031">
        <w:r>
          <w:rPr>
            <w:rFonts w:ascii="Helvetica Neue" w:cs="Helvetica Neue" w:eastAsia="Helvetica Neue" w:hAnsi="Helvetica Neue"/>
            <w:color w:val="2F6B9A"/>
            <w:rtl w:val="0"/>
            <w:sz w:val="20"/>
          </w:rPr>
          <w:t xml:space="preserve">Microsoft Responsible AI Standard v2 General Requirements</w:t>
        </w:r>
      </w:hyperlink>
      <w:r>
        <w:rPr>
          <w:rFonts w:ascii="Helvetica Neue" w:cs="Helvetica Neue" w:eastAsia="Helvetica Neue" w:hAnsi="Helvetica Neue"/>
          <w:color w:val="233447"/>
          <w:rtl w:val="0"/>
          <w:sz w:val="20"/>
        </w:rPr>
        <w:t xml:space="preserve">. Responsible AI Standard and supporting impact-assessment resources. </w:t>
      </w:r>
      <w:r>
        <w:rPr>
          <w:rFonts w:ascii="Helvetica Neue" w:cs="Helvetica Neue" w:eastAsia="Helvetica Neue" w:hAnsi="Helvetica Neue"/>
          <w:color w:val="233447"/>
          <w:rtl w:val="0"/>
          <w:sz w:val="20"/>
        </w:rPr>
        <w:t xml:space="preserve">First-party governance standard.</w:t>
      </w:r>
      <w:r>
        <w:rPr>
          <w:rFonts w:ascii="Helvetica Neue" w:cs="Helvetica Neue" w:eastAsia="Helvetica Neue" w:hAnsi="Helvetica Neue"/>
          <w:color w:val="233447"/>
          <w:rtl w:val="0"/>
          <w:sz w:val="20"/>
        </w:rPr>
        <w:t xml:space="preserve"> </w:t>
      </w:r>
      <w:hyperlink r:id="rId1032">
        <w:r>
          <w:rPr>
            <w:rFonts w:ascii="Helvetica Neue" w:cs="Helvetica Neue" w:eastAsia="Helvetica Neue" w:hAnsi="Helvetica Neue"/>
            <w:color w:val="2F6B9A"/>
            <w:rtl w:val="0"/>
            <w:sz w:val="20"/>
          </w:rPr>
          <w:t xml:space="preserve">Impact Assessment Template</w:t>
        </w:r>
      </w:hyperlink>
      <w:r>
        <w:rPr>
          <w:rFonts w:ascii="Helvetica Neue" w:cs="Helvetica Neue" w:eastAsia="Helvetica Neue" w:hAnsi="Helvetica Neue"/>
          <w:color w:val="233447"/>
          <w:rtl w:val="0"/>
          <w:sz w:val="20"/>
        </w:rPr>
        <w:t xml:space="preserve">.</w:t>
      </w:r>
      <w:bookmarkEnd w:id="1069"/>
    </w:p>
    <w:p>
      <w:pPr>
        <w:spacing w:after="85" w:line="260" w:lineRule="auto" w:before="0"/>
        <w:jc w:val="left"/>
        <w:rPr>
          <w:rFonts w:ascii="Helvetica Neue" w:cs="Helvetica Neue" w:eastAsia="Helvetica Neue" w:hAnsi="Helvetica Neue"/>
          <w:sz w:val="20"/>
        </w:rPr>
        <w:keepNext w:val="0"/>
        <w:keepLines w:val="1"/>
        <w:widowControl w:val="1"/>
      </w:pPr>
      <w:bookmarkStart w:id="1070" w:name="ref-29"/>
      <w:r>
        <w:rPr>
          <w:rFonts w:ascii="Helvetica Neue" w:cs="Helvetica Neue" w:eastAsia="Helvetica Neue" w:hAnsi="Helvetica Neue"/>
          <w:color w:val="233447"/>
          <w:rtl w:val="0"/>
          <w:sz w:val="20"/>
        </w:rPr>
        <w:t xml:space="preserve">[29] Microsoft (2026). </w:t>
      </w:r>
      <w:hyperlink r:id="rId1033">
        <w:r>
          <w:rPr>
            <w:rFonts w:ascii="Helvetica Neue" w:cs="Helvetica Neue" w:eastAsia="Helvetica Neue" w:hAnsi="Helvetica Neue"/>
            <w:color w:val="2F6B9A"/>
            <w:rtl w:val="0"/>
            <w:sz w:val="20"/>
          </w:rPr>
          <w:t xml:space="preserve">Responsible AI Transparency Report 2026</w:t>
        </w:r>
      </w:hyperlink>
      <w:r>
        <w:rPr>
          <w:rFonts w:ascii="Helvetica Neue" w:cs="Helvetica Neue" w:eastAsia="Helvetica Neue" w:hAnsi="Helvetica Neue"/>
          <w:color w:val="233447"/>
          <w:rtl w:val="0"/>
          <w:sz w:val="20"/>
        </w:rPr>
        <w:t xml:space="preserve">. Governance, agentic capabilities, and deployment chapters. </w:t>
      </w:r>
      <w:r>
        <w:rPr>
          <w:rFonts w:ascii="Helvetica Neue" w:cs="Helvetica Neue" w:eastAsia="Helvetica Neue" w:hAnsi="Helvetica Neue"/>
          <w:color w:val="233447"/>
          <w:rtl w:val="0"/>
          <w:sz w:val="20"/>
        </w:rPr>
        <w:t xml:space="preserve">First-party governance report.</w:t>
      </w:r>
      <w:bookmarkEnd w:id="1070"/>
    </w:p>
    <w:p>
      <w:pPr>
        <w:spacing w:after="85" w:line="260" w:lineRule="auto" w:before="0"/>
        <w:jc w:val="left"/>
        <w:rPr>
          <w:rFonts w:ascii="Helvetica Neue" w:cs="Helvetica Neue" w:eastAsia="Helvetica Neue" w:hAnsi="Helvetica Neue"/>
          <w:sz w:val="20"/>
        </w:rPr>
        <w:keepNext w:val="0"/>
        <w:keepLines w:val="1"/>
        <w:widowControl w:val="1"/>
      </w:pPr>
      <w:bookmarkStart w:id="1071" w:name="ref-30"/>
      <w:r>
        <w:rPr>
          <w:rFonts w:ascii="Helvetica Neue" w:cs="Helvetica Neue" w:eastAsia="Helvetica Neue" w:hAnsi="Helvetica Neue"/>
          <w:color w:val="233447"/>
          <w:rtl w:val="0"/>
          <w:sz w:val="20"/>
        </w:rPr>
        <w:t xml:space="preserve">[30] DBS Group Holdings (2024 reporting period). </w:t>
      </w:r>
      <w:hyperlink r:id="rId1034">
        <w:r>
          <w:rPr>
            <w:rFonts w:ascii="Helvetica Neue" w:cs="Helvetica Neue" w:eastAsia="Helvetica Neue" w:hAnsi="Helvetica Neue"/>
            <w:color w:val="2F6B9A"/>
            <w:rtl w:val="0"/>
            <w:sz w:val="20"/>
          </w:rPr>
          <w:t xml:space="preserve">Letter from Chairman and CEO</w:t>
        </w:r>
      </w:hyperlink>
      <w:r>
        <w:rPr>
          <w:rFonts w:ascii="Helvetica Neue" w:cs="Helvetica Neue" w:eastAsia="Helvetica Neue" w:hAnsi="Helvetica Neue"/>
          <w:color w:val="233447"/>
          <w:rtl w:val="0"/>
          <w:sz w:val="20"/>
        </w:rPr>
        <w:t xml:space="preserve">. DBS Annual Report 2024, published 2025. </w:t>
      </w:r>
      <w:r>
        <w:rPr>
          <w:rFonts w:ascii="Helvetica Neue" w:cs="Helvetica Neue" w:eastAsia="Helvetica Neue" w:hAnsi="Helvetica Neue"/>
          <w:color w:val="233447"/>
          <w:rtl w:val="0"/>
          <w:sz w:val="20"/>
        </w:rPr>
        <w:t xml:space="preserve">Company-reported economic value.</w:t>
      </w:r>
      <w:bookmarkEnd w:id="1071"/>
    </w:p>
    <w:p>
      <w:pPr>
        <w:spacing w:after="85" w:line="260" w:lineRule="auto" w:before="0"/>
        <w:jc w:val="left"/>
        <w:rPr>
          <w:rFonts w:ascii="Helvetica Neue" w:cs="Helvetica Neue" w:eastAsia="Helvetica Neue" w:hAnsi="Helvetica Neue"/>
          <w:sz w:val="20"/>
        </w:rPr>
        <w:keepNext w:val="0"/>
        <w:keepLines w:val="1"/>
        <w:widowControl w:val="1"/>
      </w:pPr>
      <w:bookmarkStart w:id="1072" w:name="ref-31"/>
      <w:r>
        <w:rPr>
          <w:rFonts w:ascii="Helvetica Neue" w:cs="Helvetica Neue" w:eastAsia="Helvetica Neue" w:hAnsi="Helvetica Neue"/>
          <w:color w:val="233447"/>
          <w:rtl w:val="0"/>
          <w:sz w:val="20"/>
        </w:rPr>
        <w:t xml:space="preserve">[31] DBS Group Holdings (2024 reporting period). </w:t>
      </w:r>
      <w:hyperlink r:id="rId1035">
        <w:r>
          <w:rPr>
            <w:rFonts w:ascii="Helvetica Neue" w:cs="Helvetica Neue" w:eastAsia="Helvetica Neue" w:hAnsi="Helvetica Neue"/>
            <w:color w:val="2F6B9A"/>
            <w:rtl w:val="0"/>
            <w:sz w:val="20"/>
          </w:rPr>
          <w:t xml:space="preserve">CEO reflections</w:t>
        </w:r>
      </w:hyperlink>
      <w:r>
        <w:rPr>
          <w:rFonts w:ascii="Helvetica Neue" w:cs="Helvetica Neue" w:eastAsia="Helvetica Neue" w:hAnsi="Helvetica Neue"/>
          <w:color w:val="233447"/>
          <w:rtl w:val="0"/>
          <w:sz w:val="20"/>
        </w:rPr>
        <w:t xml:space="preserve">. DBS Annual Report 2024, published 2025. </w:t>
      </w:r>
      <w:r>
        <w:rPr>
          <w:rFonts w:ascii="Helvetica Neue" w:cs="Helvetica Neue" w:eastAsia="Helvetica Neue" w:hAnsi="Helvetica Neue"/>
          <w:color w:val="233447"/>
          <w:rtl w:val="0"/>
          <w:sz w:val="20"/>
        </w:rPr>
        <w:t xml:space="preserve">Company-reported portfolio scale.</w:t>
      </w:r>
      <w:bookmarkEnd w:id="1072"/>
    </w:p>
    <w:p>
      <w:pPr>
        <w:spacing w:after="85" w:line="260" w:lineRule="auto" w:before="0"/>
        <w:jc w:val="left"/>
        <w:rPr>
          <w:rFonts w:ascii="Helvetica Neue" w:cs="Helvetica Neue" w:eastAsia="Helvetica Neue" w:hAnsi="Helvetica Neue"/>
          <w:sz w:val="20"/>
        </w:rPr>
        <w:keepNext w:val="0"/>
        <w:keepLines w:val="1"/>
        <w:widowControl w:val="1"/>
      </w:pPr>
      <w:bookmarkStart w:id="1073" w:name="ref-32"/>
      <w:r>
        <w:rPr>
          <w:rFonts w:ascii="Helvetica Neue" w:cs="Helvetica Neue" w:eastAsia="Helvetica Neue" w:hAnsi="Helvetica Neue"/>
          <w:color w:val="233447"/>
          <w:rtl w:val="0"/>
          <w:sz w:val="20"/>
        </w:rPr>
        <w:t xml:space="preserve">[32] Morgan Stanley (2024). </w:t>
      </w:r>
      <w:hyperlink r:id="rId1036">
        <w:r>
          <w:rPr>
            <w:rFonts w:ascii="Helvetica Neue" w:cs="Helvetica Neue" w:eastAsia="Helvetica Neue" w:hAnsi="Helvetica Neue"/>
            <w:color w:val="2F6B9A"/>
            <w:rtl w:val="0"/>
            <w:sz w:val="20"/>
          </w:rPr>
          <w:t xml:space="preserve">Morgan Stanley Wealth Management Announces Latest Game-Changing Addition to Suite of GenAI Tools</w:t>
        </w:r>
      </w:hyperlink>
      <w:r>
        <w:rPr>
          <w:rFonts w:ascii="Helvetica Neue" w:cs="Helvetica Neue" w:eastAsia="Helvetica Neue" w:hAnsi="Helvetica Neue"/>
          <w:color w:val="233447"/>
          <w:rtl w:val="0"/>
          <w:sz w:val="20"/>
        </w:rPr>
        <w:t xml:space="preserve">. AI @ Morgan Stanley Debrief launch announcement, 26 June. </w:t>
      </w:r>
      <w:r>
        <w:rPr>
          <w:rFonts w:ascii="Helvetica Neue" w:cs="Helvetica Neue" w:eastAsia="Helvetica Neue" w:hAnsi="Helvetica Neue"/>
          <w:color w:val="233447"/>
          <w:rtl w:val="0"/>
          <w:sz w:val="20"/>
        </w:rPr>
        <w:t xml:space="preserve">Company-reported adoption and product description.</w:t>
      </w:r>
      <w:bookmarkEnd w:id="1073"/>
    </w:p>
    <w:p>
      <w:pPr>
        <w:spacing w:after="85" w:line="260" w:lineRule="auto" w:before="0"/>
        <w:jc w:val="left"/>
        <w:rPr>
          <w:rFonts w:ascii="Helvetica Neue" w:cs="Helvetica Neue" w:eastAsia="Helvetica Neue" w:hAnsi="Helvetica Neue"/>
          <w:sz w:val="20"/>
        </w:rPr>
        <w:keepNext w:val="0"/>
        <w:keepLines w:val="1"/>
        <w:widowControl w:val="1"/>
      </w:pPr>
      <w:bookmarkStart w:id="1074" w:name="ref-33"/>
      <w:r>
        <w:rPr>
          <w:rFonts w:ascii="Helvetica Neue" w:cs="Helvetica Neue" w:eastAsia="Helvetica Neue" w:hAnsi="Helvetica Neue"/>
          <w:color w:val="233447"/>
          <w:rtl w:val="0"/>
          <w:sz w:val="20"/>
        </w:rPr>
        <w:t xml:space="preserve">[33] Beede, E., et al. (2020). </w:t>
      </w:r>
      <w:hyperlink r:id="rId1037">
        <w:r>
          <w:rPr>
            <w:rFonts w:ascii="Helvetica Neue" w:cs="Helvetica Neue" w:eastAsia="Helvetica Neue" w:hAnsi="Helvetica Neue"/>
            <w:color w:val="2F6B9A"/>
            <w:rtl w:val="0"/>
            <w:sz w:val="20"/>
          </w:rPr>
          <w:t xml:space="preserve">A Human-Centered Evaluation of a Deep Learning System Deployed in Clinics for the Detection of Diabetic Retinopathy</w:t>
        </w:r>
      </w:hyperlink>
      <w:r>
        <w:rPr>
          <w:rFonts w:ascii="Helvetica Neue" w:cs="Helvetica Neue" w:eastAsia="Helvetica Neue" w:hAnsi="Helvetica Neue"/>
          <w:color w:val="233447"/>
          <w:rtl w:val="0"/>
          <w:sz w:val="20"/>
        </w:rPr>
        <w:t xml:space="preserve">. Proceedings of the CHI Conference on Human Factors in Computing Systems. </w:t>
      </w:r>
      <w:r>
        <w:rPr>
          <w:rFonts w:ascii="Helvetica Neue" w:cs="Helvetica Neue" w:eastAsia="Helvetica Neue" w:hAnsi="Helvetica Neue"/>
          <w:color w:val="233447"/>
          <w:rtl w:val="0"/>
          <w:sz w:val="20"/>
        </w:rPr>
        <w:t xml:space="preserve">Peer-reviewed qualitative deployment study.</w:t>
      </w:r>
      <w:bookmarkEnd w:id="1074"/>
    </w:p>
    <w:p>
      <w:pPr>
        <w:spacing w:after="85" w:line="260" w:lineRule="auto" w:before="0"/>
        <w:jc w:val="left"/>
        <w:rPr>
          <w:rFonts w:ascii="Helvetica Neue" w:cs="Helvetica Neue" w:eastAsia="Helvetica Neue" w:hAnsi="Helvetica Neue"/>
          <w:sz w:val="20"/>
        </w:rPr>
        <w:keepNext w:val="0"/>
        <w:keepLines w:val="1"/>
        <w:widowControl w:val="1"/>
      </w:pPr>
      <w:bookmarkStart w:id="1075" w:name="ref-34"/>
      <w:r>
        <w:rPr>
          <w:rFonts w:ascii="Helvetica Neue" w:cs="Helvetica Neue" w:eastAsia="Helvetica Neue" w:hAnsi="Helvetica Neue"/>
          <w:color w:val="233447"/>
          <w:rtl w:val="0"/>
          <w:sz w:val="20"/>
        </w:rPr>
        <w:t xml:space="preserve">[34] Wong, A., et al. (2021). </w:t>
      </w:r>
      <w:hyperlink r:id="rId1038">
        <w:r>
          <w:rPr>
            <w:rFonts w:ascii="Helvetica Neue" w:cs="Helvetica Neue" w:eastAsia="Helvetica Neue" w:hAnsi="Helvetica Neue"/>
            <w:color w:val="2F6B9A"/>
            <w:rtl w:val="0"/>
            <w:sz w:val="20"/>
          </w:rPr>
          <w:t xml:space="preserve">External Validation of a Widely Implemented Proprietary Sepsis Prediction Model in Hospitalized Patients</w:t>
        </w:r>
      </w:hyperlink>
      <w:r>
        <w:rPr>
          <w:rFonts w:ascii="Helvetica Neue" w:cs="Helvetica Neue" w:eastAsia="Helvetica Neue" w:hAnsi="Helvetica Neue"/>
          <w:color w:val="233447"/>
          <w:rtl w:val="0"/>
          <w:sz w:val="20"/>
        </w:rPr>
        <w:t xml:space="preserve">. JAMA Internal Medicine, 181(8), 1065–1070; DOI 10.1001/jamainternmed.2021.2626. </w:t>
      </w:r>
      <w:r>
        <w:rPr>
          <w:rFonts w:ascii="Helvetica Neue" w:cs="Helvetica Neue" w:eastAsia="Helvetica Neue" w:hAnsi="Helvetica Neue"/>
          <w:color w:val="233447"/>
          <w:rtl w:val="0"/>
          <w:sz w:val="20"/>
        </w:rPr>
        <w:t xml:space="preserve">Peer-reviewed retrospective external validation.</w:t>
      </w:r>
      <w:bookmarkEnd w:id="1075"/>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AI maturity | Readiness and effectiveness</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1001" Type="http://schemas.openxmlformats.org/officeDocument/2006/relationships/hyperlink" Target="https://link.springer.com/article/10.1007/s12599-020-00676-7" TargetMode="External"/><Relationship Id="rId1002" Type="http://schemas.openxmlformats.org/officeDocument/2006/relationships/hyperlink" Target="https://doi.org/10.1016/j.im.2021.103434" TargetMode="External"/><Relationship Id="rId1003" Type="http://schemas.openxmlformats.org/officeDocument/2006/relationships/hyperlink" Target="https://papers.nips.cc/paper/2015/hash/86df7dcfd896fcaf2674f757a2463eba-Abstract.html" TargetMode="External"/><Relationship Id="rId1004" Type="http://schemas.openxmlformats.org/officeDocument/2006/relationships/hyperlink" Target="https://research.google.com/pubs/archive/aad9f93b86b7addfea4c419b9100c6cdd26cacea.pdf" TargetMode="External"/><Relationship Id="rId1005" Type="http://schemas.openxmlformats.org/officeDocument/2006/relationships/hyperlink" Target="https://www.oecd.org/en/publications/oecd-framework-for-the-classification-of-ai-systems_cb6d9eca-en.html" TargetMode="External"/><Relationship Id="rId1006" Type="http://schemas.openxmlformats.org/officeDocument/2006/relationships/hyperlink" Target="https://www.nature.com/articles/s41562-024-02024-1" TargetMode="External"/><Relationship Id="rId1007" Type="http://schemas.openxmlformats.org/officeDocument/2006/relationships/hyperlink" Target="https://doi.org/10.1257/mac.20180386" TargetMode="External"/><Relationship Id="rId1008" Type="http://schemas.openxmlformats.org/officeDocument/2006/relationships/hyperlink" Target="https://arxiv.org/abs/2005.11401" TargetMode="External"/><Relationship Id="rId1009" Type="http://schemas.openxmlformats.org/officeDocument/2006/relationships/hyperlink" Target="https://arxiv.org/abs/2210.03629" TargetMode="External"/><Relationship Id="rId1010" Type="http://schemas.openxmlformats.org/officeDocument/2006/relationships/hyperlink" Target="https://arxiv.org/abs/2406.12045" TargetMode="External"/><Relationship Id="rId1011" Type="http://schemas.openxmlformats.org/officeDocument/2006/relationships/hyperlink" Target="https://arxiv.org/abs/2307.03172" TargetMode="External"/><Relationship Id="rId1012" Type="http://schemas.openxmlformats.org/officeDocument/2006/relationships/hyperlink" Target="https://www.anthropic.com/engineering/effective-context-engineering-for-ai-agents" TargetMode="External"/><Relationship Id="rId1013" Type="http://schemas.openxmlformats.org/officeDocument/2006/relationships/hyperlink" Target="https://genai.owasp.org/llmrisk/llm01-prompt-injection/" TargetMode="External"/><Relationship Id="rId1014" Type="http://schemas.openxmlformats.org/officeDocument/2006/relationships/hyperlink" Target="https://arxiv.org/abs/1810.03993" TargetMode="External"/><Relationship Id="rId1015" Type="http://schemas.openxmlformats.org/officeDocument/2006/relationships/hyperlink" Target="https://arxiv.org/abs/1803.09010" TargetMode="External"/><Relationship Id="rId1016" Type="http://schemas.openxmlformats.org/officeDocument/2006/relationships/hyperlink" Target="https://nvlpubs.nist.gov/nistpubs/ai/NIST.AI.100-1.pdf" TargetMode="External"/><Relationship Id="rId1017" Type="http://schemas.openxmlformats.org/officeDocument/2006/relationships/hyperlink" Target="https://airc.nist.gov/" TargetMode="External"/><Relationship Id="rId1018" Type="http://schemas.openxmlformats.org/officeDocument/2006/relationships/hyperlink" Target="https://doi.org/10.6028/NIST.AI.600-1" TargetMode="External"/><Relationship Id="rId1019" Type="http://schemas.openxmlformats.org/officeDocument/2006/relationships/hyperlink" Target="https://www.iso.org/standard/42001" TargetMode="External"/><Relationship Id="rId1020" Type="http://schemas.openxmlformats.org/officeDocument/2006/relationships/hyperlink" Target="https://docs.aws.amazon.com/whitepapers/latest/aws-caf-for-ai/aws-caf-for-ai.html" TargetMode="External"/><Relationship Id="rId1021" Type="http://schemas.openxmlformats.org/officeDocument/2006/relationships/hyperlink" Target="https://docs.aws.amazon.com/whitepapers/latest/aws-caf-for-ai/foundational-ai-capabilities.html" TargetMode="External"/><Relationship Id="rId1022" Type="http://schemas.openxmlformats.org/officeDocument/2006/relationships/hyperlink" Target="https://docs.cloud.google.com/architecture/mlops-continuous-delivery-and-automation-pipelines-in-machine-learning" TargetMode="External"/><Relationship Id="rId1023" Type="http://schemas.openxmlformats.org/officeDocument/2006/relationships/hyperlink" Target="https://www.imda.gov.sg/-/media/imda/files/news-and-events/media-room/media-releases/2024/09/ai-playbook-for-small-states/imda-ai-playbook-for-small-states.pdf" TargetMode="External"/><Relationship Id="rId1024" Type="http://schemas.openxmlformats.org/officeDocument/2006/relationships/hyperlink" Target="https://www.imda.gov.sg/resources/press-releases-factsheets-and-speeches/press-releases/2024/sg-launches-project-moonshot" TargetMode="External"/><Relationship Id="rId1025" Type="http://schemas.openxmlformats.org/officeDocument/2006/relationships/hyperlink" Target="https://academic.oup.com/qje/article/140/2/889/7990658" TargetMode="External"/><Relationship Id="rId1026" Type="http://schemas.openxmlformats.org/officeDocument/2006/relationships/hyperlink" Target="https://www.hbs.edu/ris/Publication%20Files/dell-acqua-et-al-2026-navigating-the-jagged-technological-frontier_5c589c8c-fbb5-458f-b285-c944746cd717.pdf" TargetMode="External"/><Relationship Id="rId1027" Type="http://schemas.openxmlformats.org/officeDocument/2006/relationships/hyperlink" Target="https://arxiv.org/abs/2507.09089" TargetMode="External"/><Relationship Id="rId1028" Type="http://schemas.openxmlformats.org/officeDocument/2006/relationships/hyperlink" Target="https://doi.org/10.7717/peerj-cs.661" TargetMode="External"/><Relationship Id="rId1029" Type="http://schemas.openxmlformats.org/officeDocument/2006/relationships/hyperlink" Target="https://arxiv.org/abs/2603.08728" TargetMode="External"/><Relationship Id="rId1030" Type="http://schemas.openxmlformats.org/officeDocument/2006/relationships/hyperlink" Target="https://www.uber.com/blog/michelangelo-machine-learning-platform/" TargetMode="External"/><Relationship Id="rId1031" Type="http://schemas.openxmlformats.org/officeDocument/2006/relationships/hyperlink" Target="https://msblogs.thesourcemediaassets.com/sites/5/2022/06/Microsoft-Responsible-AI-Standard-v2-General-Requirements-3.pdf" TargetMode="External"/><Relationship Id="rId1032" Type="http://schemas.openxmlformats.org/officeDocument/2006/relationships/hyperlink" Target="https://blogs.microsoft.com/wp-content/uploads/prod/sites/5/2022/06/Microsoft-RAI-Impact-Assessment-Template.pdf" TargetMode="External"/><Relationship Id="rId1033" Type="http://schemas.openxmlformats.org/officeDocument/2006/relationships/hyperlink" Target="https://www.microsoft.com/en-us/corporate-responsibility/topics/responsible-ai/reports/transparency-report/" TargetMode="External"/><Relationship Id="rId1034" Type="http://schemas.openxmlformats.org/officeDocument/2006/relationships/hyperlink" Target="https://www.dbs.com/annualreports/2024/letter-from-chairman-ceo.html" TargetMode="External"/><Relationship Id="rId1035" Type="http://schemas.openxmlformats.org/officeDocument/2006/relationships/hyperlink" Target="https://www.dbs.com/annualreports/2024/ceo-reflections.html" TargetMode="External"/><Relationship Id="rId1036" Type="http://schemas.openxmlformats.org/officeDocument/2006/relationships/hyperlink" Target="https://www.morganstanley.com/press-releases/ai-at-morgan-stanley-debrief-launch" TargetMode="External"/><Relationship Id="rId1037" Type="http://schemas.openxmlformats.org/officeDocument/2006/relationships/hyperlink" Target="https://research.google/pubs/a-human-centered-evaluation-of-a-deep-learning-system-deployed-in-clinics-for-the-detection-of-diabetic-retinopathy/" TargetMode="External"/><Relationship Id="rId1038" Type="http://schemas.openxmlformats.org/officeDocument/2006/relationships/hyperlink" Target="https://jamanetwork.com/journals/jamainternalmedicine/fullarticle/27813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