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AI-Ready</w:t>
      </w:r>
      <w:r>
        <w:t xml:space="preserve"> </w:t>
      </w:r>
      <w:r>
        <w:t xml:space="preserve">Repositories</w:t>
      </w:r>
    </w:p>
    <w:p>
      <w:pPr>
        <w:pStyle w:val="Subtitle"/>
      </w:pPr>
      <w:r>
        <w:t xml:space="preserve">Assessing</w:t>
      </w:r>
      <w:r>
        <w:t xml:space="preserve"> </w:t>
      </w:r>
      <w:r>
        <w:t xml:space="preserve">AI</w:t>
      </w:r>
      <w:r>
        <w:t xml:space="preserve"> </w:t>
      </w:r>
      <w:r>
        <w:t xml:space="preserve">maturity,</w:t>
      </w:r>
      <w:r>
        <w:t xml:space="preserve"> </w:t>
      </w:r>
      <w:r>
        <w:t xml:space="preserve">effectiveness</w:t>
      </w:r>
      <w:r>
        <w:t xml:space="preserve"> </w:t>
      </w:r>
      <w:r>
        <w:t xml:space="preserve">and</w:t>
      </w:r>
      <w:r>
        <w:t xml:space="preserve"> </w:t>
      </w:r>
      <w:r>
        <w:t xml:space="preserve">readiness</w:t>
      </w:r>
      <w:r>
        <w:t xml:space="preserve"> </w:t>
      </w:r>
      <w:r>
        <w:t xml:space="preserve">from</w:t>
      </w:r>
      <w:r>
        <w:t xml:space="preserve"> </w:t>
      </w:r>
      <w:r>
        <w:t xml:space="preserve">the</w:t>
      </w:r>
      <w:r>
        <w:t xml:space="preserve"> </w:t>
      </w:r>
      <w:r>
        <w:t xml:space="preserve">codebase</w:t>
      </w:r>
      <w:r>
        <w:t xml:space="preserve"> </w:t>
      </w:r>
      <w:r>
        <w:t xml:space="preserve">up,</w:t>
      </w:r>
      <w:r>
        <w:t xml:space="preserve"> </w:t>
      </w:r>
      <w:r>
        <w:t xml:space="preserve">with</w:t>
      </w:r>
      <w:r>
        <w:t xml:space="preserve"> </w:t>
      </w:r>
      <w:r>
        <w:t xml:space="preserve">deep</w:t>
      </w:r>
      <w:r>
        <w:t xml:space="preserve"> </w:t>
      </w:r>
      <w:r>
        <w:t xml:space="preserve">case</w:t>
      </w:r>
      <w:r>
        <w:t xml:space="preserve"> </w:t>
      </w:r>
      <w:r>
        <w:t xml:space="preserve">studies</w:t>
      </w:r>
      <w:r>
        <w:t xml:space="preserve"> </w:t>
      </w:r>
      <w:r>
        <w:t xml:space="preserve">of</w:t>
      </w:r>
      <w:r>
        <w:t xml:space="preserve"> </w:t>
      </w:r>
      <w:r>
        <w:t xml:space="preserve">Google</w:t>
      </w:r>
      <w:r>
        <w:t xml:space="preserve"> </w:t>
      </w:r>
      <w:r>
        <w:t xml:space="preserve">and</w:t>
      </w:r>
      <w:r>
        <w:t xml:space="preserve"> </w:t>
      </w:r>
      <w:r>
        <w:t xml:space="preserve">JPMorgan</w:t>
      </w:r>
      <w:r>
        <w:t xml:space="preserve"> </w:t>
      </w:r>
      <w:r>
        <w:t xml:space="preserve">Chase</w:t>
      </w:r>
      <w:r>
        <w:t xml:space="preserve"> </w:t>
      </w:r>
      <w:r>
        <w:t xml:space="preserve">and</w:t>
      </w:r>
      <w:r>
        <w:t xml:space="preserve"> </w:t>
      </w:r>
      <w:r>
        <w:t xml:space="preserve">a</w:t>
      </w:r>
      <w:r>
        <w:t xml:space="preserve"> </w:t>
      </w:r>
      <w:r>
        <w:t xml:space="preserve">roadmap</w:t>
      </w:r>
      <w:r>
        <w:t xml:space="preserve"> </w:t>
      </w:r>
      <w:r>
        <w:t xml:space="preserve">for</w:t>
      </w:r>
      <w:r>
        <w:t xml:space="preserve"> </w:t>
      </w:r>
      <w:r>
        <w:t xml:space="preserve">regulated</w:t>
      </w:r>
      <w:r>
        <w:t xml:space="preserve"> </w:t>
      </w:r>
      <w:r>
        <w:t xml:space="preserve">financial</w:t>
      </w:r>
      <w:r>
        <w:t xml:space="preserve"> </w:t>
      </w:r>
      <w:r>
        <w:t xml:space="preserve">institutions</w:t>
      </w:r>
    </w:p>
    <w:p>
      <w:pPr>
        <w:pStyle w:val="Author"/>
      </w:pPr>
      <w:r>
        <w:t xml:space="preserve">Working</w:t>
      </w:r>
      <w:r>
        <w:t xml:space="preserve"> </w:t>
      </w:r>
      <w:r>
        <w:t xml:space="preserve">paper,</w:t>
      </w:r>
      <w:r>
        <w:t xml:space="preserve"> </w:t>
      </w:r>
      <w:r>
        <w:t xml:space="preserve">version</w:t>
      </w:r>
      <w:r>
        <w:t xml:space="preserve"> </w:t>
      </w:r>
      <w:r>
        <w:t xml:space="preserve">2.0.</w:t>
      </w:r>
      <w:r>
        <w:t xml:space="preserve"> </w:t>
      </w:r>
      <w:r>
        <w:t xml:space="preserve">September</w:t>
      </w:r>
      <w:r>
        <w:t xml:space="preserve"> </w:t>
      </w:r>
      <w:r>
        <w:t xml:space="preserve">2026.</w:t>
      </w:r>
      <w:r>
        <w:t xml:space="preserve"> </w:t>
      </w:r>
      <w:r>
        <w:t xml:space="preserve">Written</w:t>
      </w:r>
      <w:r>
        <w:t xml:space="preserve"> </w:t>
      </w:r>
      <w:r>
        <w:t xml:space="preserve">from</w:t>
      </w:r>
      <w:r>
        <w:t xml:space="preserve"> </w:t>
      </w:r>
      <w:r>
        <w:t xml:space="preserve">the</w:t>
      </w:r>
      <w:r>
        <w:t xml:space="preserve"> </w:t>
      </w:r>
      <w:r>
        <w:t xml:space="preserve">standpoint</w:t>
      </w:r>
      <w:r>
        <w:t xml:space="preserve"> </w:t>
      </w:r>
      <w:r>
        <w:t xml:space="preserve">of</w:t>
      </w:r>
      <w:r>
        <w:t xml:space="preserve"> </w:t>
      </w:r>
      <w:r>
        <w:t xml:space="preserve">an</w:t>
      </w:r>
      <w:r>
        <w:t xml:space="preserve"> </w:t>
      </w:r>
      <w:r>
        <w:t xml:space="preserve">AI/ML</w:t>
      </w:r>
      <w:r>
        <w:t xml:space="preserve"> </w:t>
      </w:r>
      <w:r>
        <w:t xml:space="preserve">researcher</w:t>
      </w:r>
      <w:r>
        <w:t xml:space="preserve"> </w:t>
      </w:r>
      <w:r>
        <w:t xml:space="preserve">and</w:t>
      </w:r>
      <w:r>
        <w:t xml:space="preserve"> </w:t>
      </w:r>
      <w:r>
        <w:t xml:space="preserve">Distinguished</w:t>
      </w:r>
      <w:r>
        <w:t xml:space="preserve"> </w:t>
      </w:r>
      <w:r>
        <w:t xml:space="preserve">Engineer</w:t>
      </w:r>
      <w:r>
        <w:t xml:space="preserve"> </w:t>
      </w:r>
      <w:r>
        <w:t xml:space="preserve">in</w:t>
      </w:r>
      <w:r>
        <w:t xml:space="preserve"> </w:t>
      </w:r>
      <w:r>
        <w:t xml:space="preserve">a</w:t>
      </w:r>
      <w:r>
        <w:t xml:space="preserve"> </w:t>
      </w:r>
      <w:r>
        <w:t xml:space="preserve">large</w:t>
      </w:r>
      <w:r>
        <w:t xml:space="preserve"> </w:t>
      </w:r>
      <w:r>
        <w:t xml:space="preserve">technology</w:t>
      </w:r>
      <w:r>
        <w:t xml:space="preserve"> </w:t>
      </w:r>
      <w:r>
        <w:t xml:space="preserve">organization</w:t>
      </w:r>
      <w:r>
        <w:t xml:space="preserve"> </w:t>
      </w:r>
      <w:r>
        <w:t xml:space="preserve">operating</w:t>
      </w:r>
      <w:r>
        <w:t xml:space="preserve"> </w:t>
      </w:r>
      <w:r>
        <w:t xml:space="preserve">under</w:t>
      </w:r>
      <w:r>
        <w:t xml:space="preserve"> </w:t>
      </w:r>
      <w:r>
        <w:t xml:space="preserve">regulatory</w:t>
      </w:r>
      <w:r>
        <w:t xml:space="preserve"> </w:t>
      </w:r>
      <w:r>
        <w:t xml:space="preserve">and</w:t>
      </w:r>
      <w:r>
        <w:t xml:space="preserve"> </w:t>
      </w:r>
      <w:r>
        <w:t xml:space="preserve">compliance</w:t>
      </w:r>
      <w:r>
        <w:t xml:space="preserve"> </w:t>
      </w:r>
      <w:r>
        <w:t xml:space="preserve">obligations.</w:t>
      </w:r>
      <w:r>
        <w:t xml:space="preserve"> </w:t>
      </w:r>
      <w:r>
        <w:t xml:space="preserve">All</w:t>
      </w:r>
      <w:r>
        <w:t xml:space="preserve"> </w:t>
      </w:r>
      <w:r>
        <w:t xml:space="preserve">sources</w:t>
      </w:r>
      <w:r>
        <w:t xml:space="preserve"> </w:t>
      </w:r>
      <w:r>
        <w:t xml:space="preserve">are</w:t>
      </w:r>
      <w:r>
        <w:t xml:space="preserve"> </w:t>
      </w:r>
      <w:r>
        <w:t xml:space="preserve">public.</w:t>
      </w:r>
    </w:p>
    <w:p>
      <w:pPr>
        <w:pStyle w:val="BodyText"/>
        <w:spacing w:after="40"/>
        <w:ind w:left="280"/>
      </w:pPr>
      <w:r>
        <w:rPr>
          <w:sz w:val="20"/>
        </w:rPr>
        <w:t>Abstract</w:t>
      </w:r>
    </w:p>
    <w:p>
      <w:pPr>
        <w:pStyle w:val="BodyText"/>
        <w:spacing w:after="40"/>
        <w:ind w:left="280"/>
      </w:pPr>
      <w:r>
        <w:rPr>
          <w:sz w:val="20"/>
        </w:rPr>
        <w:t>1. Introduction, scope and definitions</w:t>
      </w:r>
    </w:p>
    <w:p>
      <w:pPr>
        <w:pStyle w:val="BodyText"/>
        <w:spacing w:after="40"/>
        <w:ind w:left="280"/>
      </w:pPr>
      <w:r>
        <w:rPr>
          <w:sz w:val="20"/>
        </w:rPr>
        <w:t>2. The problem</w:t>
      </w:r>
    </w:p>
    <w:p>
      <w:pPr>
        <w:pStyle w:val="BodyText"/>
        <w:spacing w:after="40"/>
        <w:ind w:left="280"/>
      </w:pPr>
      <w:r>
        <w:rPr>
          <w:sz w:val="20"/>
        </w:rPr>
        <w:t>3. What a repository needs to be called AI-ready and mature</w:t>
      </w:r>
    </w:p>
    <w:p>
      <w:pPr>
        <w:pStyle w:val="BodyText"/>
        <w:spacing w:after="40"/>
        <w:ind w:left="280"/>
      </w:pPr>
      <w:r>
        <w:rPr>
          <w:sz w:val="20"/>
        </w:rPr>
        <w:t>4. What the industry has: landscape, academic guidance and deep case studies</w:t>
      </w:r>
    </w:p>
    <w:p>
      <w:pPr>
        <w:pStyle w:val="BodyText"/>
        <w:spacing w:after="40"/>
        <w:ind w:left="280"/>
      </w:pPr>
      <w:r>
        <w:rPr>
          <w:sz w:val="20"/>
        </w:rPr>
        <w:t>5. What a regulated, fintech or compliance-bound company can do</w:t>
      </w:r>
    </w:p>
    <w:p>
      <w:pPr>
        <w:pStyle w:val="BodyText"/>
        <w:spacing w:after="40"/>
        <w:ind w:left="280"/>
      </w:pPr>
      <w:r>
        <w:rPr>
          <w:sz w:val="20"/>
        </w:rPr>
        <w:t>6. Limitations and threats to validity</w:t>
      </w:r>
    </w:p>
    <w:p>
      <w:pPr>
        <w:pStyle w:val="BodyText"/>
        <w:spacing w:after="40"/>
        <w:ind w:left="280"/>
      </w:pPr>
      <w:r>
        <w:rPr>
          <w:sz w:val="20"/>
        </w:rPr>
        <w:t>7. Conclusion</w:t>
      </w:r>
    </w:p>
    <w:p>
      <w:pPr>
        <w:pStyle w:val="BodyText"/>
        <w:spacing w:after="40"/>
        <w:ind w:left="280"/>
      </w:pPr>
      <w:r>
        <w:rPr>
          <w:sz w:val="20"/>
        </w:rPr>
        <w:t>8. References</w:t>
      </w:r>
    </w:p>
    <w:bookmarkStart w:id="20" w:name="abstract"/>
    <w:p>
      <w:pPr>
        <w:pStyle w:val="Heading2"/>
      </w:pPr>
      <w:r>
        <w:t xml:space="preserve">Abstract</w:t>
      </w:r>
    </w:p>
    <w:p>
      <w:pPr>
        <w:pStyle w:val="FirstParagraph"/>
      </w:pPr>
      <w:r>
        <w:t xml:space="preserve">Roughly nine in ten organizations report regular AI use, yet the share attributing any enterprise-level earnings impact to AI has been flat at 37-39% for two years and only about 6% qualify as high performers [1, 2]. In software engineering the gap is sharper still: coding agents are the most-scaled class of enterprise agent, one in three pull requests on GitHub now involves an agent [3], and the controlled evidence on their effect ranges from a 26% increase in completed tasks to a 19% slowdown depending on the codebase and task [4, 5]. This paper argues that the missing unit of assessment is the code repository. Enterprise maturity models score strategy, data and governance; developer productivity metrics score people; model risk management scores models. None scores whether a repository is in a state that lets an agent act on it reliably, safely and measurably.</w:t>
      </w:r>
    </w:p>
    <w:p>
      <w:pPr>
        <w:pStyle w:val="BodyText"/>
      </w:pPr>
      <w:r>
        <w:t xml:space="preserve">The paper does four things. First, it states the problem: an adoption-value gap, a measurement gap, a model gap and a governance gap, each of which resolves to the repository. Second, it answers what a repository needs to be called AI-ready and mature, drawing on environment-setup benchmarks, flaky-test research, code-health economics, instruction-file experiments and vendor guidance, and proposes the Repository AI-Readiness Model (RARM): eight dimensions with computable indicators, scored on the minimum across dimensions, with an estate-level maturity ladder above it. Third, it surveys what the industry and academia have and presents two deep case studies from public sources: Google, whose monorepo, universal code review, static analysis, continuous testing and large-scale-change machinery made it ready for AI before the models arrived; and JPMorgan Chase, whose AI program shows how a regulated bank scales from assistants to agents while measuring outcomes. Fourth, it sets out what a regulated, fintech or compliance-bound company can do: a mapping from supervisory rules on secure development, change management and segregation of duties (MAS TRM, DORA, FFIEC, NYDFS, PCI DSS) to repository controls for agent-authored code, an evidence pack for auditors, and a 12-month roadmap.</w:t>
      </w:r>
    </w:p>
    <w:p>
      <w:pPr>
        <w:pStyle w:val="BodyText"/>
      </w:pPr>
      <w:r>
        <w:rPr>
          <w:bCs/>
          <w:b/>
        </w:rPr>
        <w:t xml:space="preserve">Keywords:</w:t>
      </w:r>
      <w:r>
        <w:t xml:space="preserve"> </w:t>
      </w:r>
      <w:r>
        <w:t xml:space="preserve">AI maturity model, AI-ready codebase, agentic software engineering, repository readiness, developer productivity measurement, model risk management, secure development lifecycle.</w:t>
      </w:r>
    </w:p>
    <w:bookmarkEnd w:id="20"/>
    <w:bookmarkStart w:id="25" w:name="introduction-scope-and-definitions"/>
    <w:p>
      <w:pPr>
        <w:pStyle w:val="Heading2"/>
      </w:pPr>
      <w:r>
        <w:t xml:space="preserve">1. Introduction, scope and definitions</w:t>
      </w:r>
    </w:p>
    <w:bookmarkStart w:id="21" w:name="why-the-repository"/>
    <w:p>
      <w:pPr>
        <w:pStyle w:val="Heading3"/>
      </w:pPr>
      <w:r>
        <w:t xml:space="preserve">1.1 Why the repository</w:t>
      </w:r>
    </w:p>
    <w:p>
      <w:pPr>
        <w:pStyle w:val="FirstParagraph"/>
      </w:pPr>
      <w:r>
        <w:t xml:space="preserve">Every enterprise AI maturity model published between 2018 and 2026 has a</w:t>
      </w:r>
      <w:r>
        <w:t xml:space="preserve"> </w:t>
      </w:r>
      <w:r>
        <w:t xml:space="preserve">“</w:t>
      </w:r>
      <w:r>
        <w:t xml:space="preserve">data</w:t>
      </w:r>
      <w:r>
        <w:t xml:space="preserve">”</w:t>
      </w:r>
      <w:r>
        <w:t xml:space="preserve"> </w:t>
      </w:r>
      <w:r>
        <w:t xml:space="preserve">dimension, and most have</w:t>
      </w:r>
      <w:r>
        <w:t xml:space="preserve"> </w:t>
      </w:r>
      <w:r>
        <w:t xml:space="preserve">“</w:t>
      </w:r>
      <w:r>
        <w:t xml:space="preserve">technology,</w:t>
      </w:r>
      <w:r>
        <w:t xml:space="preserve">”</w:t>
      </w:r>
      <w:r>
        <w:t xml:space="preserve"> </w:t>
      </w:r>
      <w:r>
        <w:t xml:space="preserve">“</w:t>
      </w:r>
      <w:r>
        <w:t xml:space="preserve">governance</w:t>
      </w:r>
      <w:r>
        <w:t xml:space="preserve">”</w:t>
      </w:r>
      <w:r>
        <w:t xml:space="preserve"> </w:t>
      </w:r>
      <w:r>
        <w:t xml:space="preserve">and</w:t>
      </w:r>
      <w:r>
        <w:t xml:space="preserve"> </w:t>
      </w:r>
      <w:r>
        <w:t xml:space="preserve">“</w:t>
      </w:r>
      <w:r>
        <w:t xml:space="preserve">people.</w:t>
      </w:r>
      <w:r>
        <w:t xml:space="preserve">”</w:t>
      </w:r>
      <w:r>
        <w:t xml:space="preserve"> </w:t>
      </w:r>
      <w:r>
        <w:t xml:space="preserve">None has a dimension for the artifact that coding agents actually touch: the repository, with its build, tests, documentation, ownership rules and pull-request workflow. That omission was tolerable when AI meant dashboards and models; it is not tolerable when McKinsey finds roughly 20% of organizations, and 31% of large enterprises, scaling software-coding agents [1], Google reports that 75% of its new code is AI-generated and approved by engineers [6], and Gartner projects that 90% of enterprise software engineers will use AI code assistants by 2028, up from under 14% in early 2024 [7].</w:t>
      </w:r>
    </w:p>
    <w:p>
      <w:pPr>
        <w:pStyle w:val="BodyText"/>
      </w:pPr>
      <w:r>
        <w:t xml:space="preserve">The evidence assembled in Section 3 shows why the repository is the right unit. The same model, harness and task produce different outcomes depending on whether the repository can be set up and run, whether its tests mean anything, whether its structure can be navigated, and whether its workflow can verify and govern a change. Those are properties of the codebase and the organization around it, not of the model. DORA’s finding that AI</w:t>
      </w:r>
      <w:r>
        <w:t xml:space="preserve"> </w:t>
      </w:r>
      <w:r>
        <w:t xml:space="preserve">“</w:t>
      </w:r>
      <w:r>
        <w:t xml:space="preserve">amplifies what’s already there</w:t>
      </w:r>
      <w:r>
        <w:t xml:space="preserve">”</w:t>
      </w:r>
      <w:r>
        <w:t xml:space="preserve"> </w:t>
      </w:r>
      <w:r>
        <w:t xml:space="preserve">is the same observation at the level of the team [8].</w:t>
      </w:r>
    </w:p>
    <w:bookmarkEnd w:id="21"/>
    <w:bookmarkStart w:id="22" w:name="scope"/>
    <w:p>
      <w:pPr>
        <w:pStyle w:val="Heading3"/>
      </w:pPr>
      <w:r>
        <w:t xml:space="preserve">1.2 Scope</w:t>
      </w:r>
    </w:p>
    <w:p>
      <w:pPr>
        <w:pStyle w:val="FirstParagraph"/>
      </w:pPr>
      <w:r>
        <w:t xml:space="preserve">The paper covers three levels and connects them: the organization (strategy, governance, platform, people, measurement), the engineering estate (the portfolio of repositories and the process that manages their readiness), and the repository (a single codebase and its workflow).</w:t>
      </w:r>
      <w:r>
        <w:t xml:space="preserve"> </w:t>
      </w:r>
      <w:r>
        <w:t xml:space="preserve">“</w:t>
      </w:r>
      <w:r>
        <w:t xml:space="preserve">Repository</w:t>
      </w:r>
      <w:r>
        <w:t xml:space="preserve">”</w:t>
      </w:r>
      <w:r>
        <w:t xml:space="preserve"> </w:t>
      </w:r>
      <w:r>
        <w:t xml:space="preserve">means a code repository. Documentation stores, wikis and data assets appear only as knowledge sources that a repository or workflow reaches. Case studies use public sources only. Financial services receives the most weight in Section 5 because it is where the regulatory lens on the software development lifecycle is sharpest.</w:t>
      </w:r>
    </w:p>
    <w:bookmarkEnd w:id="22"/>
    <w:bookmarkStart w:id="23" w:name="definitions"/>
    <w:p>
      <w:pPr>
        <w:pStyle w:val="Heading3"/>
      </w:pPr>
      <w:r>
        <w:t xml:space="preserve">1.3 Definitions</w:t>
      </w:r>
    </w:p>
    <w:p>
      <w:pPr>
        <w:numPr>
          <w:ilvl w:val="0"/>
          <w:numId w:val="1001"/>
        </w:numPr>
        <w:pStyle w:val="Compact"/>
      </w:pPr>
      <w:r>
        <w:rPr>
          <w:bCs/>
          <w:b/>
        </w:rPr>
        <w:t xml:space="preserve">AI readiness</w:t>
      </w:r>
      <w:r>
        <w:t xml:space="preserve"> </w:t>
      </w:r>
      <w:r>
        <w:t xml:space="preserve">is a pre-adoption, purpose-specific property: whether an organization’s assets, capabilities and commitment are adequate for a particular AI adoption purpose [9]. Readiness is task-relative, as data can be ready for one question and unready for another [10].</w:t>
      </w:r>
    </w:p>
    <w:p>
      <w:pPr>
        <w:numPr>
          <w:ilvl w:val="0"/>
          <w:numId w:val="1001"/>
        </w:numPr>
        <w:pStyle w:val="Compact"/>
      </w:pPr>
      <w:r>
        <w:rPr>
          <w:bCs/>
          <w:b/>
        </w:rPr>
        <w:t xml:space="preserve">AI maturity</w:t>
      </w:r>
      <w:r>
        <w:t xml:space="preserve"> </w:t>
      </w:r>
      <w:r>
        <w:t xml:space="preserve">is a post-adoption, staged property: the degree to which practices are defined, repeatable, measured and continuously improved, in the lineage of the Capability Maturity Model [11].</w:t>
      </w:r>
    </w:p>
    <w:p>
      <w:pPr>
        <w:numPr>
          <w:ilvl w:val="0"/>
          <w:numId w:val="1001"/>
        </w:numPr>
        <w:pStyle w:val="Compact"/>
      </w:pPr>
      <w:r>
        <w:rPr>
          <w:bCs/>
          <w:b/>
        </w:rPr>
        <w:t xml:space="preserve">AI effectiveness</w:t>
      </w:r>
      <w:r>
        <w:t xml:space="preserve"> </w:t>
      </w:r>
      <w:r>
        <w:t xml:space="preserve">is the measured system-level outcome: change in delivery performance, quality, cost and risk attributable to AI, not inferred from individual usage or self-report.</w:t>
      </w:r>
    </w:p>
    <w:p>
      <w:pPr>
        <w:numPr>
          <w:ilvl w:val="0"/>
          <w:numId w:val="1001"/>
        </w:numPr>
        <w:pStyle w:val="Compact"/>
      </w:pPr>
      <w:r>
        <w:t xml:space="preserve">A</w:t>
      </w:r>
      <w:r>
        <w:t xml:space="preserve"> </w:t>
      </w:r>
      <w:r>
        <w:rPr>
          <w:bCs/>
          <w:b/>
        </w:rPr>
        <w:t xml:space="preserve">coding agent</w:t>
      </w:r>
      <w:r>
        <w:t xml:space="preserve"> </w:t>
      </w:r>
      <w:r>
        <w:t xml:space="preserve">is a system in which a language model directs its own process and tool use to change a codebase, as distinct from a completion assistant [12]. A</w:t>
      </w:r>
      <w:r>
        <w:t xml:space="preserve"> </w:t>
      </w:r>
      <w:r>
        <w:rPr>
          <w:bCs/>
          <w:b/>
        </w:rPr>
        <w:t xml:space="preserve">harness</w:t>
      </w:r>
      <w:r>
        <w:t xml:space="preserve"> </w:t>
      </w:r>
      <w:r>
        <w:t xml:space="preserve">is the runtime that wraps a model with tools, context management, permissions and an execution environment. A</w:t>
      </w:r>
      <w:r>
        <w:t xml:space="preserve"> </w:t>
      </w:r>
      <w:r>
        <w:rPr>
          <w:bCs/>
          <w:b/>
        </w:rPr>
        <w:t xml:space="preserve">context file</w:t>
      </w:r>
      <w:r>
        <w:t xml:space="preserve"> </w:t>
      </w:r>
      <w:r>
        <w:t xml:space="preserve">is a repository-level instruction file (AGENTS.md, CLAUDE.md, copilot-instructions.md, Cursor rules) read by a harness [13-15].</w:t>
      </w:r>
    </w:p>
    <w:p>
      <w:pPr>
        <w:numPr>
          <w:ilvl w:val="0"/>
          <w:numId w:val="1001"/>
        </w:numPr>
        <w:pStyle w:val="Compact"/>
      </w:pPr>
      <w:r>
        <w:t xml:space="preserve">An</w:t>
      </w:r>
      <w:r>
        <w:t xml:space="preserve"> </w:t>
      </w:r>
      <w:r>
        <w:rPr>
          <w:bCs/>
          <w:b/>
        </w:rPr>
        <w:t xml:space="preserve">AI-ready repository</w:t>
      </w:r>
      <w:r>
        <w:t xml:space="preserve"> </w:t>
      </w:r>
      <w:r>
        <w:t xml:space="preserve">is one whose environment, verification signals, structure, documentation, workflow and telemetry allow a coding agent to complete a defined class of tasks with measured reliability under the organization’s controls. A</w:t>
      </w:r>
      <w:r>
        <w:t xml:space="preserve"> </w:t>
      </w:r>
      <w:r>
        <w:rPr>
          <w:bCs/>
          <w:b/>
        </w:rPr>
        <w:t xml:space="preserve">mature estate</w:t>
      </w:r>
      <w:r>
        <w:t xml:space="preserve"> </w:t>
      </w:r>
      <w:r>
        <w:t xml:space="preserve">is one in which readiness is inventoried, scored, remediated and re-measured as a repeatable process.</w:t>
      </w:r>
    </w:p>
    <w:bookmarkEnd w:id="23"/>
    <w:bookmarkStart w:id="24" w:name="contributions"/>
    <w:p>
      <w:pPr>
        <w:pStyle w:val="Heading3"/>
      </w:pPr>
      <w:r>
        <w:t xml:space="preserve">1.4 Contributions</w:t>
      </w:r>
    </w:p>
    <w:p>
      <w:pPr>
        <w:numPr>
          <w:ilvl w:val="0"/>
          <w:numId w:val="1002"/>
        </w:numPr>
        <w:pStyle w:val="Compact"/>
      </w:pPr>
      <w:r>
        <w:t xml:space="preserve">A statement of the assessment problem that resolves each of its four components to the repository (Section 2).</w:t>
      </w:r>
    </w:p>
    <w:p>
      <w:pPr>
        <w:numPr>
          <w:ilvl w:val="0"/>
          <w:numId w:val="1002"/>
        </w:numPr>
        <w:pStyle w:val="Compact"/>
      </w:pPr>
      <w:r>
        <w:t xml:space="preserve">The Repository AI-Readiness Model (RARM): eight evidence-backed dimensions, computable indicators, a minimum-across scoring rule, task-class tiers, and a five-level estate maturity ladder (Section 3).</w:t>
      </w:r>
    </w:p>
    <w:p>
      <w:pPr>
        <w:numPr>
          <w:ilvl w:val="0"/>
          <w:numId w:val="1002"/>
        </w:numPr>
        <w:pStyle w:val="Compact"/>
      </w:pPr>
      <w:r>
        <w:t xml:space="preserve">A landscape survey and two deep case studies, Google and JPMorgan Chase, each mapped onto the model’s dimensions, with Goldman Sachs, DBS, Citi and Morgan Stanley as comparators (Section 4).</w:t>
      </w:r>
    </w:p>
    <w:p>
      <w:pPr>
        <w:numPr>
          <w:ilvl w:val="0"/>
          <w:numId w:val="1002"/>
        </w:numPr>
        <w:pStyle w:val="Compact"/>
      </w:pPr>
      <w:r>
        <w:t xml:space="preserve">A regulated-company playbook: a control mapping from supervisory SDLC rules to agent-authored code, an audit evidence pack, an effectiveness metric set and a 12-month roadmap (Section 5).</w:t>
      </w:r>
    </w:p>
    <w:bookmarkEnd w:id="24"/>
    <w:bookmarkEnd w:id="25"/>
    <w:bookmarkStart w:id="31" w:name="the-problem"/>
    <w:p>
      <w:pPr>
        <w:pStyle w:val="Heading2"/>
      </w:pPr>
      <w:r>
        <w:t xml:space="preserve">2. The problem</w:t>
      </w:r>
    </w:p>
    <w:bookmarkStart w:id="26" w:name="X6b26a1c4093a239bea927346b2168c335c7d6e5"/>
    <w:p>
      <w:pPr>
        <w:pStyle w:val="Heading3"/>
      </w:pPr>
      <w:r>
        <w:t xml:space="preserve">2.1 Adoption has outrun value, and the difference is organizational</w:t>
      </w:r>
    </w:p>
    <w:p>
      <w:pPr>
        <w:pStyle w:val="FirstParagraph"/>
      </w:pPr>
      <w:r>
        <w:t xml:space="preserve">Independent surveys from 2025 and 2026 agree on the shape of the problem. McKinsey’s 2026 survey (n=1,719) finds nearly nine in ten organizations using AI in at least one function and 44% scaled enterprise-wide, while only 37% attribute any EBIT impact to AI (39% the prior year) and 6% qualify as high performers [1, 2]. BCG finds 5% of companies</w:t>
      </w:r>
      <w:r>
        <w:t xml:space="preserve"> </w:t>
      </w:r>
      <w:r>
        <w:t xml:space="preserve">“</w:t>
      </w:r>
      <w:r>
        <w:t xml:space="preserve">future-built</w:t>
      </w:r>
      <w:r>
        <w:t xml:space="preserve">”</w:t>
      </w:r>
      <w:r>
        <w:t xml:space="preserve"> </w:t>
      </w:r>
      <w:r>
        <w:t xml:space="preserve">and 60% reaping</w:t>
      </w:r>
      <w:r>
        <w:t xml:space="preserve"> </w:t>
      </w:r>
      <w:r>
        <w:t xml:space="preserve">“</w:t>
      </w:r>
      <w:r>
        <w:t xml:space="preserve">hardly any material value</w:t>
      </w:r>
      <w:r>
        <w:t xml:space="preserve">”</w:t>
      </w:r>
      <w:r>
        <w:t xml:space="preserve"> </w:t>
      </w:r>
      <w:r>
        <w:t xml:space="preserve">[16]. IBM’s CEO study reports that 25% of AI initiatives delivered expected ROI and 16% scaled enterprise-wide [17]. Deloitte finds 21% with mature agent governance [18]; Capgemini finds 2% with fully scaled agents and trust in fully autonomous agents falling from 43% to 27% in a year [19]. Gartner projects that through 2026 organizations will abandon 60% of AI projects unsupported by AI-ready data [20], and that more than 40% of agentic AI projects will be cancelled by the end of 2027 for</w:t>
      </w:r>
      <w:r>
        <w:t xml:space="preserve"> </w:t>
      </w:r>
      <w:r>
        <w:t xml:space="preserve">“</w:t>
      </w:r>
      <w:r>
        <w:t xml:space="preserve">escalating costs, unclear business value or inadequate risk controls</w:t>
      </w:r>
      <w:r>
        <w:t xml:space="preserve">”</w:t>
      </w:r>
      <w:r>
        <w:t xml:space="preserve"> </w:t>
      </w:r>
      <w:r>
        <w:t xml:space="preserve">[21]. The most-cited failure statistic, MIT NANDA’s</w:t>
      </w:r>
      <w:r>
        <w:t xml:space="preserve"> </w:t>
      </w:r>
      <w:r>
        <w:t xml:space="preserve">“</w:t>
      </w:r>
      <w:r>
        <w:t xml:space="preserve">95% get zero return,</w:t>
      </w:r>
      <w:r>
        <w:t xml:space="preserve">”</w:t>
      </w:r>
      <w:r>
        <w:t xml:space="preserve"> </w:t>
      </w:r>
      <w:r>
        <w:t xml:space="preserve">rests on 52 interviews and 153 survey responses and is not derived in the report; it belongs in the record only with that caveat [22, 23].</w:t>
      </w:r>
    </w:p>
    <w:p>
      <w:pPr>
        <w:pStyle w:val="BodyText"/>
      </w:pPr>
      <w:r>
        <w:t xml:space="preserve">What separates the few from the many is organizational rather than technical. McKinsey’s high performers are almost three times as likely to have fundamentally redesigned workflows (73% versus 25%) [1]. Microsoft’s 2026 Work Trend Index attributes 67% of AI impact to organizational factors and 32% to individual ones [24]. BCG’s 10-20-70 rule puts 70% of the effort on people and processes [16, 25]. MIT CISR’s four-stage model, built on 721 companies, finds the largest financial step between</w:t>
      </w:r>
      <w:r>
        <w:t xml:space="preserve"> </w:t>
      </w:r>
      <w:r>
        <w:t xml:space="preserve">“</w:t>
      </w:r>
      <w:r>
        <w:t xml:space="preserve">build pilots and capabilities</w:t>
      </w:r>
      <w:r>
        <w:t xml:space="preserve">”</w:t>
      </w:r>
      <w:r>
        <w:t xml:space="preserve"> </w:t>
      </w:r>
      <w:r>
        <w:t xml:space="preserve">and</w:t>
      </w:r>
      <w:r>
        <w:t xml:space="preserve"> </w:t>
      </w:r>
      <w:r>
        <w:t xml:space="preserve">“</w:t>
      </w:r>
      <w:r>
        <w:t xml:space="preserve">develop AI ways of working</w:t>
      </w:r>
      <w:r>
        <w:t xml:space="preserve">”</w:t>
      </w:r>
      <w:r>
        <w:t xml:space="preserve"> </w:t>
      </w:r>
      <w:r>
        <w:t xml:space="preserve">[26, 27]. For software engineering,</w:t>
      </w:r>
      <w:r>
        <w:t xml:space="preserve"> </w:t>
      </w:r>
      <w:r>
        <w:t xml:space="preserve">“</w:t>
      </w:r>
      <w:r>
        <w:t xml:space="preserve">ways of working</w:t>
      </w:r>
      <w:r>
        <w:t xml:space="preserve">”</w:t>
      </w:r>
      <w:r>
        <w:t xml:space="preserve"> </w:t>
      </w:r>
      <w:r>
        <w:t xml:space="preserve">are encoded in repositories and their workflows, which is where this paper looks.</w:t>
      </w:r>
    </w:p>
    <w:bookmarkEnd w:id="26"/>
    <w:bookmarkStart w:id="27" w:name="X14dcb4a330de5b0a2a031cc92fe73ee82831f41"/>
    <w:p>
      <w:pPr>
        <w:pStyle w:val="Heading3"/>
      </w:pPr>
      <w:r>
        <w:t xml:space="preserve">2.2 The measurement gap: what is counted is not what matters</w:t>
      </w:r>
    </w:p>
    <w:p>
      <w:pPr>
        <w:pStyle w:val="FirstParagraph"/>
      </w:pPr>
      <w:r>
        <w:rPr>
          <w:bCs/>
          <w:b/>
        </w:rPr>
        <w:t xml:space="preserve">Perception is not measurement.</w:t>
      </w:r>
      <w:r>
        <w:t xml:space="preserve"> </w:t>
      </w:r>
      <w:r>
        <w:t xml:space="preserve">METR’s randomized trial gave 16 experienced open-source developers 246 real tasks on repositories they knew; they forecast a 24% speedup, believed afterwards they had been 20% faster, and were measured 19% slower [5]. METR’s 2026 follow-up found the slowdown no longer distinguishable from zero but the design compromised by self-selection and task substitution [28], and its survey work warns that self-reported time savings have overestimated measured savings by about 40 percentage points [29].</w:t>
      </w:r>
    </w:p>
    <w:p>
      <w:pPr>
        <w:pStyle w:val="BodyText"/>
      </w:pPr>
      <w:r>
        <w:rPr>
          <w:bCs/>
          <w:b/>
        </w:rPr>
        <w:t xml:space="preserve">Task-level gains are real and bounded.</w:t>
      </w:r>
      <w:r>
        <w:t xml:space="preserve"> </w:t>
      </w:r>
      <w:r>
        <w:t xml:space="preserve">Three field experiments with 4,867 developers found a 26.08% increase in completed tasks (standard error 10.3%) [4]; Google’s enterprise RCT with 96 engineers found roughly 21% less time on task with a wide confidence interval [30]; the original Copilot experiment found 55.8% on one greenfield task [31]. All measure bounded, well-specified work; METR shows formally that an arbitrarily high speedup on observed tasks is consistent with an arbitrarily small uplift in value [32].</w:t>
      </w:r>
    </w:p>
    <w:p>
      <w:pPr>
        <w:pStyle w:val="BodyText"/>
      </w:pPr>
      <w:r>
        <w:rPr>
          <w:bCs/>
          <w:b/>
        </w:rPr>
        <w:t xml:space="preserve">System-level delivery does not follow automatically.</w:t>
      </w:r>
      <w:r>
        <w:t xml:space="preserve"> </w:t>
      </w:r>
      <w:r>
        <w:t xml:space="preserve">DORA’s 2024 report associated a 25% increase in AI adoption with 1.5% lower throughput and 7.2% lower stability [33]; its 2025 report found throughput now positive but stability still negative [8]. Faros AI’s telemetry across roughly 10,000 developers found high-adoption teams merging 98% more pull requests with review time up 91% and no organization-level throughput gain; its 2026 follow-up across 22,000 developers reported incidents per PR tripling and deployments per week falling 11.7% [34]. GitClear’s 2026 analysis of 623 million code changes found duplication up 81% and refactoring down to 3.8% of changed lines [35]; Uplevel found 41% more bugs with no cycle-time change [36]; Veracode found roughly 45% of AI-generated samples failing OWASP checks in both 2025 and spring 2026, unchanged across model generations when no security guidance was supplied [37].</w:t>
      </w:r>
    </w:p>
    <w:p>
      <w:pPr>
        <w:pStyle w:val="BodyText"/>
      </w:pPr>
      <w:r>
        <w:rPr>
          <w:bCs/>
          <w:b/>
        </w:rPr>
        <w:t xml:space="preserve">Exposure metrics are not comparable.</w:t>
      </w:r>
      <w:r>
        <w:t xml:space="preserve"> </w:t>
      </w:r>
      <w:r>
        <w:t xml:space="preserve">Google reports 75% of new code AI-generated and approved [6]; Microsoft 20-30% [38]; Coinbase about 40% [39]; Anthropic’s spokesperson 70-90% [40]. The denominators (characters, lines, commits), attribution windows and quality qualifiers differ. Google’s own management metric is different in kind: a</w:t>
      </w:r>
      <w:r>
        <w:t xml:space="preserve"> </w:t>
      </w:r>
      <w:r>
        <w:t xml:space="preserve">“</w:t>
      </w:r>
      <w:r>
        <w:t xml:space="preserve">carefully measured</w:t>
      </w:r>
      <w:r>
        <w:t xml:space="preserve">”</w:t>
      </w:r>
      <w:r>
        <w:t xml:space="preserve"> </w:t>
      </w:r>
      <w:r>
        <w:t xml:space="preserve">increase in engineering velocity of about 10%, defined as capacity created in hours per week [41]. Trust lags usage throughout: 84% of developers use or plan to use AI tools, 33% trust the output, and 66% are frustrated by solutions that are</w:t>
      </w:r>
      <w:r>
        <w:t xml:space="preserve"> </w:t>
      </w:r>
      <w:r>
        <w:t xml:space="preserve">“</w:t>
      </w:r>
      <w:r>
        <w:t xml:space="preserve">almost right, but not quite</w:t>
      </w:r>
      <w:r>
        <w:t xml:space="preserve">”</w:t>
      </w:r>
      <w:r>
        <w:t xml:space="preserve"> </w:t>
      </w:r>
      <w:r>
        <w:t xml:space="preserve">[42].</w:t>
      </w:r>
    </w:p>
    <w:bookmarkEnd w:id="27"/>
    <w:bookmarkStart w:id="28" w:name="X34ef25340e0a1a838abc24f1a6cb3051ddb2a32"/>
    <w:p>
      <w:pPr>
        <w:pStyle w:val="Heading3"/>
      </w:pPr>
      <w:r>
        <w:t xml:space="preserve">2.3 The model gap: no instrument scores the codebase</w:t>
      </w:r>
    </w:p>
    <w:p>
      <w:pPr>
        <w:pStyle w:val="FirstParagraph"/>
      </w:pPr>
      <w:r>
        <w:t xml:space="preserve">The maturity-model literature has known its weaknesses for fifteen years. Becker et al. derived eight design requirements, including comparison with existing models and iterative evaluation [43]; Pöppelbuß and Röglinger distinguished descriptive models from prescriptive ones that supply improvement measures [44]; Sadiq et al.’s systematic review found 87% of AI maturity models descriptive and only 47% empirically validated [45]. Industry models follow the pattern: Gartner scores seven pillars on five levels whose names changed between editions [46]; Microsoft’s 2026 agentic model has five CMM-style levels and five pillars [47]; Salesforce’s is an autonomy ladder [48]; only MIT CISR, BCG and Accenture connect stage to financial outcome, all by self-reported staging [16, 26, 49].</w:t>
      </w:r>
    </w:p>
    <w:p>
      <w:pPr>
        <w:pStyle w:val="BodyText"/>
      </w:pPr>
      <w:r>
        <w:t xml:space="preserve">The closest existing instruments to the codebase are DORA’s 2025 AI Capabilities Model, whose seven capabilities include</w:t>
      </w:r>
      <w:r>
        <w:t xml:space="preserve"> </w:t>
      </w:r>
      <w:r>
        <w:t xml:space="preserve">“</w:t>
      </w:r>
      <w:r>
        <w:t xml:space="preserve">AI-accessible internal data,</w:t>
      </w:r>
      <w:r>
        <w:t xml:space="preserve">”</w:t>
      </w:r>
      <w:r>
        <w:t xml:space="preserve"> </w:t>
      </w:r>
      <w:r>
        <w:t xml:space="preserve">“</w:t>
      </w:r>
      <w:r>
        <w:t xml:space="preserve">healthy data ecosystems,</w:t>
      </w:r>
      <w:r>
        <w:t xml:space="preserve">”</w:t>
      </w:r>
      <w:r>
        <w:t xml:space="preserve"> </w:t>
      </w:r>
      <w:r>
        <w:t xml:space="preserve">“</w:t>
      </w:r>
      <w:r>
        <w:t xml:space="preserve">strong version control practices</w:t>
      </w:r>
      <w:r>
        <w:t xml:space="preserve">”</w:t>
      </w:r>
      <w:r>
        <w:t xml:space="preserve"> </w:t>
      </w:r>
      <w:r>
        <w:t xml:space="preserve">and</w:t>
      </w:r>
      <w:r>
        <w:t xml:space="preserve"> </w:t>
      </w:r>
      <w:r>
        <w:t xml:space="preserve">“</w:t>
      </w:r>
      <w:r>
        <w:t xml:space="preserve">working in small batches</w:t>
      </w:r>
      <w:r>
        <w:t xml:space="preserve">”</w:t>
      </w:r>
      <w:r>
        <w:t xml:space="preserve"> </w:t>
      </w:r>
      <w:r>
        <w:t xml:space="preserve">[8], and the ML production-readiness rubrics of the previous decade: the ML Test Score’s 28 tests scored on the minimum across sections [50] and Amershi et al.’s six-attribute Activity Maturity Index [51]. DORA’s capabilities are team-level survey constructs; the ML rubrics were written for models, not repositories. Neither tells an engineering leader which of 3,000 repositories an agent can be trusted with.</w:t>
      </w:r>
    </w:p>
    <w:bookmarkEnd w:id="28"/>
    <w:bookmarkStart w:id="29" w:name="X055a23a96552d3c0a1839710ddf9fc299cc6555"/>
    <w:p>
      <w:pPr>
        <w:pStyle w:val="Heading3"/>
      </w:pPr>
      <w:r>
        <w:t xml:space="preserve">2.4 The governance gap: agents act on code that regulators care about</w:t>
      </w:r>
    </w:p>
    <w:p>
      <w:pPr>
        <w:pStyle w:val="FirstParagraph"/>
      </w:pPr>
      <w:r>
        <w:t xml:space="preserve">Three developments make the gap urgent. First, capability horizons are lengthening: METR’s 50%-reliability time horizon has doubled roughly every seven months since 2019 and every three months since 2024 [52], and JPMorgan’s chief analytics officer described 2026 as</w:t>
      </w:r>
      <w:r>
        <w:t xml:space="preserve"> </w:t>
      </w:r>
      <w:r>
        <w:t xml:space="preserve">“</w:t>
      </w:r>
      <w:r>
        <w:t xml:space="preserve">the era of long-running autonomous agents</w:t>
      </w:r>
      <w:r>
        <w:t xml:space="preserve">”</w:t>
      </w:r>
      <w:r>
        <w:t xml:space="preserve"> </w:t>
      </w:r>
      <w:r>
        <w:t xml:space="preserve">operating for</w:t>
      </w:r>
      <w:r>
        <w:t xml:space="preserve"> </w:t>
      </w:r>
      <w:r>
        <w:t xml:space="preserve">“</w:t>
      </w:r>
      <w:r>
        <w:t xml:space="preserve">an hour or two,</w:t>
      </w:r>
      <w:r>
        <w:t xml:space="preserve">”</w:t>
      </w:r>
      <w:r>
        <w:t xml:space="preserve"> </w:t>
      </w:r>
      <w:r>
        <w:t xml:space="preserve">with a path to</w:t>
      </w:r>
      <w:r>
        <w:t xml:space="preserve"> </w:t>
      </w:r>
      <w:r>
        <w:t xml:space="preserve">“</w:t>
      </w:r>
      <w:r>
        <w:t xml:space="preserve">multiple hours, then days, then weeks</w:t>
      </w:r>
      <w:r>
        <w:t xml:space="preserve">”</w:t>
      </w:r>
      <w:r>
        <w:t xml:space="preserve"> </w:t>
      </w:r>
      <w:r>
        <w:t xml:space="preserve">[53]. Second, the security and supply-chain surface has grown: tool-poisoning attacks hide instructions in tool descriptions [54]; OWASP’s Top 10 for Agentic Applications names memory and context poisoning, tool misuse and agentic supply-chain risks [55]; FINOS’s AI Governance Framework catalogues agent-specific risks including MCP server supply-chain compromise and agent-mediated credential discovery [56]. Third, the regulatory evidence set is shifting. US banking agencies replaced SR 11-7 with SR 26-2 in April 2026 and placed generative and agentic AI explicitly outside model risk management pending an interagency request for information [57, 58]. Singapore’s MAS has proposed AI risk management guidelines that name AI agents and require inventories, materiality tiering, kill switches and version control of code, data and parameters [59]. The EU’s Digital Omnibus delayed high-risk AI Act obligations to December 2027 but left the evidence set intact [60], while DORA’s technical standards already require static and dynamic source-code testing and independent change approval for any ICT change [61]. Supervisors quantify the gap themselves: 75% of UK financial firms use AI with a third of use cases involving third parties [62]; more than 85% of large euro-area banks use AI [63]; ASIC found governance</w:t>
      </w:r>
      <w:r>
        <w:t xml:space="preserve"> </w:t>
      </w:r>
      <w:r>
        <w:t xml:space="preserve">“</w:t>
      </w:r>
      <w:r>
        <w:t xml:space="preserve">lagging</w:t>
      </w:r>
      <w:r>
        <w:t xml:space="preserve">”</w:t>
      </w:r>
      <w:r>
        <w:t xml:space="preserve"> </w:t>
      </w:r>
      <w:r>
        <w:t xml:space="preserve">adoption [64]; FINMA found most institutions</w:t>
      </w:r>
      <w:r>
        <w:t xml:space="preserve"> </w:t>
      </w:r>
      <w:r>
        <w:t xml:space="preserve">“</w:t>
      </w:r>
      <w:r>
        <w:t xml:space="preserve">still in the early stages</w:t>
      </w:r>
      <w:r>
        <w:t xml:space="preserve">”</w:t>
      </w:r>
      <w:r>
        <w:t xml:space="preserve"> </w:t>
      </w:r>
      <w:r>
        <w:t xml:space="preserve">of AI governance [65].</w:t>
      </w:r>
    </w:p>
    <w:bookmarkEnd w:id="29"/>
    <w:bookmarkStart w:id="30" w:name="problem-statement"/>
    <w:p>
      <w:pPr>
        <w:pStyle w:val="Heading3"/>
      </w:pPr>
      <w:r>
        <w:t xml:space="preserve">2.5 Problem statement</w:t>
      </w:r>
    </w:p>
    <w:p>
      <w:pPr>
        <w:pStyle w:val="BlockText"/>
      </w:pPr>
      <w:r>
        <w:t xml:space="preserve">An engineering organization needs an instrument that (a) scores, per repository and per task class, whether a coding agent can be expected to succeed reliably and safely; (b) aggregates those scores into an estate-level maturity that can be managed as a repeatable process; (c) measures effectiveness at the system level with outcome metrics rather than usage or self-report; (d) produces evidence in the shape regulators and auditors expect for changes to production code; and (e) satisfies the design requirements of a defensible maturity model.</w:t>
      </w:r>
    </w:p>
    <w:p>
      <w:pPr>
        <w:pStyle w:val="FirstParagraph"/>
      </w:pPr>
      <w:r>
        <w:t xml:space="preserve">No published model does all five. Section 3 builds the repository layer from evidence; Section 4 shows what the industry has and how two large organizations have solved parts of the problem; Section 5 adds the regulated-company layer.</w:t>
      </w:r>
    </w:p>
    <w:bookmarkEnd w:id="30"/>
    <w:bookmarkEnd w:id="31"/>
    <w:bookmarkStart w:id="38" w:name="Xfeefc823c81b621dfe2b35d030fd1a69fc24ac6"/>
    <w:p>
      <w:pPr>
        <w:pStyle w:val="Heading2"/>
      </w:pPr>
      <w:r>
        <w:t xml:space="preserve">3. What a repository needs to be called AI-ready and mature</w:t>
      </w:r>
    </w:p>
    <w:bookmarkStart w:id="32" w:name="Xcf2ac7c51d50ce13bd416ea0a53fdfc450854a3"/>
    <w:p>
      <w:pPr>
        <w:pStyle w:val="Heading3"/>
      </w:pPr>
      <w:r>
        <w:t xml:space="preserve">3.1 The evidence: what determines whether an agent succeeds on a codebase</w:t>
      </w:r>
    </w:p>
    <w:p>
      <w:pPr>
        <w:pStyle w:val="FirstParagraph"/>
      </w:pPr>
      <w:r>
        <w:t xml:space="preserve">The benchmark and field literature of 2023-2026 allows a reasonably confident ranking of the properties that condition agent success. We group the evidence by property, strongest first.</w:t>
      </w:r>
    </w:p>
    <w:p>
      <w:pPr>
        <w:pStyle w:val="BodyText"/>
      </w:pPr>
      <w:r>
        <w:rPr>
          <w:bCs/>
          <w:b/>
        </w:rPr>
        <w:t xml:space="preserve">Executability.</w:t>
      </w:r>
      <w:r>
        <w:t xml:space="preserve"> </w:t>
      </w:r>
      <w:r>
        <w:t xml:space="preserve">An agent that cannot build and run the code cannot verify anything it writes. Automated environment setup is the least solved problem in the agent stack: on EnvBench, the best approach configured 6.69% of 329 Python repositories and 29.47% of 665 JVM repositories with</w:t>
      </w:r>
      <w:r>
        <w:t xml:space="preserve"> </w:t>
      </w:r>
      <w:r>
        <w:t xml:space="preserve">“</w:t>
      </w:r>
      <w:r>
        <w:t xml:space="preserve">genuine configuration challenges</w:t>
      </w:r>
      <w:r>
        <w:t xml:space="preserve">”</w:t>
      </w:r>
      <w:r>
        <w:t xml:space="preserve"> </w:t>
      </w:r>
      <w:r>
        <w:t xml:space="preserve">[66]; Installamatic installed 55% of 40 Python projects at least once in ten attempts [67]; ExecutionAgent ran the test suites of 33 of 50 projects across 14 languages [68]; Repo2Run reached 86% on 420 Python repositories that already had unit tests, and its authors describe environment building as</w:t>
      </w:r>
      <w:r>
        <w:t xml:space="preserve"> </w:t>
      </w:r>
      <w:r>
        <w:t xml:space="preserve">“</w:t>
      </w:r>
      <w:r>
        <w:t xml:space="preserve">the primary bottleneck</w:t>
      </w:r>
      <w:r>
        <w:t xml:space="preserve">”</w:t>
      </w:r>
      <w:r>
        <w:t xml:space="preserve"> </w:t>
      </w:r>
      <w:r>
        <w:t xml:space="preserve">for executable code datasets [69]. Infrastructure matters even when setup succeeds: identical model, harness and tasks produced a 6-point gap on Terminal-Bench across VM resource configurations [70]. GitHub’s coding agent pre-installs dependencies through a setup workflow so the agent can</w:t>
      </w:r>
      <w:r>
        <w:t xml:space="preserve"> </w:t>
      </w:r>
      <w:r>
        <w:t xml:space="preserve">“</w:t>
      </w:r>
      <w:r>
        <w:t xml:space="preserve">hit the ground running</w:t>
      </w:r>
      <w:r>
        <w:t xml:space="preserve">”</w:t>
      </w:r>
      <w:r>
        <w:t xml:space="preserve"> </w:t>
      </w:r>
      <w:r>
        <w:t xml:space="preserve">instead of discovering them by trial and error [71]; OpenAI’s Codex runs each task in a sandbox preloaded with the repository, with internet off during the agent phase [72]. Hermetic builds and dev containers are the organizational prerequisites [73].</w:t>
      </w:r>
    </w:p>
    <w:p>
      <w:pPr>
        <w:pStyle w:val="BodyText"/>
      </w:pPr>
      <w:r>
        <w:rPr>
          <w:bCs/>
          <w:b/>
        </w:rPr>
        <w:t xml:space="preserve">Verification signal.</w:t>
      </w:r>
      <w:r>
        <w:t xml:space="preserve"> </w:t>
      </w:r>
      <w:r>
        <w:t xml:space="preserve">Tests are the agent’s only ground truth, and their quality bounds what any measurement of agent success can mean. SWE-bench Verified doubled the measured success of the same model (16% to 33.2%) by removing underspecified issues, overly specific tests and broken environments [74]; SWE-Bench+ found 31.08% of</w:t>
      </w:r>
      <w:r>
        <w:t xml:space="preserve"> </w:t>
      </w:r>
      <w:r>
        <w:t xml:space="preserve">“</w:t>
      </w:r>
      <w:r>
        <w:t xml:space="preserve">passing</w:t>
      </w:r>
      <w:r>
        <w:t xml:space="preserve">”</w:t>
      </w:r>
      <w:r>
        <w:t xml:space="preserve"> </w:t>
      </w:r>
      <w:r>
        <w:t xml:space="preserve">patches passed only because of weak tests and 32.67% because the solution leaked in the issue text or comments [75]. Flakiness is the everyday form of the problem: at Google, about 1.5% of test runs report a flaky result, almost 16% of tests show some flakiness, and about 84% of observed pass-to-fail transitions involve a flaky test [76]; root causes were catalogued a decade ago [77]. Static analysis is verification that scales: Google’s Tricorder runs more than 100 analyzers with an effective false-positive rate just under 5%, and authors apply automated fixes about 3,000 times a day because the findings are surfaced in code review [78, 79]. Feeding static-analysis warnings back to the model fixed up to 55.5% of security weaknesses in AI-generated snippets [80], which matters because roughly 40% of AI-generated programs in security-relevant scenarios were vulnerable in the earliest study and the rate has barely moved since [37, 81]. Production migrations show the same dependence on verification loops: Airbnb migrated 3,500 test files in six weeks with a validation state machine that fed errors back to the model, reaching 75% in a four-hour run and 97% after four days of tuning [82], and Amazon’s Java-upgrade agent, credited with an estimated 4,500 developer-years saved, operates on a task class where compilation and existing tests define done [83]. GitHub scopes its coding agent to</w:t>
      </w:r>
      <w:r>
        <w:t xml:space="preserve"> </w:t>
      </w:r>
      <w:r>
        <w:t xml:space="preserve">“</w:t>
      </w:r>
      <w:r>
        <w:t xml:space="preserve">well-tested codebases</w:t>
      </w:r>
      <w:r>
        <w:t xml:space="preserve">”</w:t>
      </w:r>
      <w:r>
        <w:t xml:space="preserve"> </w:t>
      </w:r>
      <w:r>
        <w:t xml:space="preserve">[84]; Anthropic’s guidance reduces to</w:t>
      </w:r>
      <w:r>
        <w:t xml:space="preserve"> </w:t>
      </w:r>
      <w:r>
        <w:t xml:space="preserve">“</w:t>
      </w:r>
      <w:r>
        <w:t xml:space="preserve">if you can’t verify it, don’t ship it</w:t>
      </w:r>
      <w:r>
        <w:t xml:space="preserve">”</w:t>
      </w:r>
      <w:r>
        <w:t xml:space="preserve"> </w:t>
      </w:r>
      <w:r>
        <w:t xml:space="preserve">[14].</w:t>
      </w:r>
    </w:p>
    <w:p>
      <w:pPr>
        <w:pStyle w:val="BodyText"/>
      </w:pPr>
      <w:r>
        <w:rPr>
          <w:bCs/>
          <w:b/>
        </w:rPr>
        <w:t xml:space="preserve">Structure and navigability.</w:t>
      </w:r>
      <w:r>
        <w:t xml:space="preserve"> </w:t>
      </w:r>
      <w:r>
        <w:t xml:space="preserve">Repository-level tasks require</w:t>
      </w:r>
      <w:r>
        <w:t xml:space="preserve"> </w:t>
      </w:r>
      <w:r>
        <w:t xml:space="preserve">“</w:t>
      </w:r>
      <w:r>
        <w:t xml:space="preserve">understanding and coordinating changes across multiple functions, classes, and even files</w:t>
      </w:r>
      <w:r>
        <w:t xml:space="preserve">”</w:t>
      </w:r>
      <w:r>
        <w:t xml:space="preserve"> </w:t>
      </w:r>
      <w:r>
        <w:t xml:space="preserve">[85]; cross-file context is the decisive input in CrossCodeEval and RepoBench [86, 87]; a line-level repository graph improved every agent it was plugged into [88]; retrieval helps but retrievers, not generators, are the bottleneck [89]. Code health has a measured business cost independent of AI: across 39 production codebases, low-quality code contained 15 times more defects and took 124% more development time to change [90]. Thoughtworks’</w:t>
      </w:r>
      <w:r>
        <w:t xml:space="preserve"> </w:t>
      </w:r>
      <w:r>
        <w:t xml:space="preserve">“</w:t>
      </w:r>
      <w:r>
        <w:t xml:space="preserve">AI-friendly code design</w:t>
      </w:r>
      <w:r>
        <w:t xml:space="preserve">”</w:t>
      </w:r>
      <w:r>
        <w:t xml:space="preserve"> </w:t>
      </w:r>
      <w:r>
        <w:t xml:space="preserve">blip makes the connection explicit: expressive naming</w:t>
      </w:r>
      <w:r>
        <w:t xml:space="preserve"> </w:t>
      </w:r>
      <w:r>
        <w:t xml:space="preserve">“</w:t>
      </w:r>
      <w:r>
        <w:t xml:space="preserve">provides domain context,</w:t>
      </w:r>
      <w:r>
        <w:t xml:space="preserve">”</w:t>
      </w:r>
      <w:r>
        <w:t xml:space="preserve"> </w:t>
      </w:r>
      <w:r>
        <w:t xml:space="preserve">modularity and abstractions</w:t>
      </w:r>
      <w:r>
        <w:t xml:space="preserve"> </w:t>
      </w:r>
      <w:r>
        <w:t xml:space="preserve">“</w:t>
      </w:r>
      <w:r>
        <w:t xml:space="preserve">keep AI’s context manageable by limiting necessary changes,</w:t>
      </w:r>
      <w:r>
        <w:t xml:space="preserve">”</w:t>
      </w:r>
      <w:r>
        <w:t xml:space="preserve"> </w:t>
      </w:r>
      <w:r>
        <w:t xml:space="preserve">and</w:t>
      </w:r>
      <w:r>
        <w:t xml:space="preserve"> </w:t>
      </w:r>
      <w:r>
        <w:t xml:space="preserve">“</w:t>
      </w:r>
      <w:r>
        <w:t xml:space="preserve">good software design for humans also benefits AI</w:t>
      </w:r>
      <w:r>
        <w:t xml:space="preserve">”</w:t>
      </w:r>
      <w:r>
        <w:t xml:space="preserve"> </w:t>
      </w:r>
      <w:r>
        <w:t xml:space="preserve">[91]. Google’s monorepo case shows the counterintuitive corollary: a single repository of billions of lines is navigable because of its tooling (Piper, code search, OWNERS files, a build graph) rather than its size [92, 93].</w:t>
      </w:r>
    </w:p>
    <w:p>
      <w:pPr>
        <w:pStyle w:val="BodyText"/>
      </w:pPr>
      <w:r>
        <w:rPr>
          <w:bCs/>
          <w:b/>
        </w:rPr>
        <w:t xml:space="preserve">Documentation and decisions.</w:t>
      </w:r>
      <w:r>
        <w:t xml:space="preserve"> </w:t>
      </w:r>
      <w:r>
        <w:t xml:space="preserve">Retrieving documentation improved code generation by 52% relative on CoNaLa [94], and library documentation is the most useful retrieval source in CodeRAG-Bench [89]. But most READMEs</w:t>
      </w:r>
      <w:r>
        <w:t xml:space="preserve"> </w:t>
      </w:r>
      <w:r>
        <w:t xml:space="preserve">“</w:t>
      </w:r>
      <w:r>
        <w:t xml:space="preserve">lack information regarding the purpose and status</w:t>
      </w:r>
      <w:r>
        <w:t xml:space="preserve">”</w:t>
      </w:r>
      <w:r>
        <w:t xml:space="preserve"> </w:t>
      </w:r>
      <w:r>
        <w:t xml:space="preserve">of a project [95], and practitioners report documentation issues dominated by staleness and incompleteness. Architecture decision records give agents the</w:t>
      </w:r>
      <w:r>
        <w:t xml:space="preserve"> </w:t>
      </w:r>
      <w:r>
        <w:t xml:space="preserve">“</w:t>
      </w:r>
      <w:r>
        <w:t xml:space="preserve">why</w:t>
      </w:r>
      <w:r>
        <w:t xml:space="preserve">”</w:t>
      </w:r>
      <w:r>
        <w:t xml:space="preserve"> </w:t>
      </w:r>
      <w:r>
        <w:t xml:space="preserve">that code cannot express:</w:t>
      </w:r>
      <w:r>
        <w:t xml:space="preserve"> </w:t>
      </w:r>
      <w:r>
        <w:t xml:space="preserve">“</w:t>
      </w:r>
      <w:r>
        <w:t xml:space="preserve">a collection of records for</w:t>
      </w:r>
      <w:r>
        <w:t xml:space="preserve"> </w:t>
      </w:r>
      <w:r>
        <w:t xml:space="preserve">‘</w:t>
      </w:r>
      <w:r>
        <w:t xml:space="preserve">architecturally significant</w:t>
      </w:r>
      <w:r>
        <w:t xml:space="preserve">’</w:t>
      </w:r>
      <w:r>
        <w:t xml:space="preserve"> </w:t>
      </w:r>
      <w:r>
        <w:t xml:space="preserve">decisions</w:t>
      </w:r>
      <w:r>
        <w:t xml:space="preserve">”</w:t>
      </w:r>
      <w:r>
        <w:t xml:space="preserve"> </w:t>
      </w:r>
      <w:r>
        <w:t xml:space="preserve">kept in version control [96].</w:t>
      </w:r>
    </w:p>
    <w:p>
      <w:pPr>
        <w:pStyle w:val="BodyText"/>
      </w:pPr>
      <w:r>
        <w:rPr>
          <w:bCs/>
          <w:b/>
        </w:rPr>
        <w:t xml:space="preserve">Context files.</w:t>
      </w:r>
      <w:r>
        <w:t xml:space="preserve"> </w:t>
      </w:r>
      <w:r>
        <w:t xml:space="preserve">The only controlled study of repository instruction files found that they</w:t>
      </w:r>
      <w:r>
        <w:t xml:space="preserve"> </w:t>
      </w:r>
      <w:r>
        <w:t xml:space="preserve">“</w:t>
      </w:r>
      <w:r>
        <w:t xml:space="preserve">do not generally improve task success rates, while increasing inference cost by over 20% on average</w:t>
      </w:r>
      <w:r>
        <w:t xml:space="preserve">”</w:t>
      </w:r>
      <w:r>
        <w:t xml:space="preserve">; developer-written files beat LLM-generated ones (p=0.038); explicit command and tool instructions were followed reliably; and</w:t>
      </w:r>
      <w:r>
        <w:t xml:space="preserve"> </w:t>
      </w:r>
      <w:r>
        <w:t xml:space="preserve">“</w:t>
      </w:r>
      <w:r>
        <w:t xml:space="preserve">repository overviews, although popular and recommended by model providers, are not helpful</w:t>
      </w:r>
      <w:r>
        <w:t xml:space="preserve">”</w:t>
      </w:r>
      <w:r>
        <w:t xml:space="preserve"> </w:t>
      </w:r>
      <w:r>
        <w:t xml:space="preserve">[97]. Vendor guidance agrees: keep CLAUDE.md concise and ask of each line</w:t>
      </w:r>
      <w:r>
        <w:t xml:space="preserve"> </w:t>
      </w:r>
      <w:r>
        <w:t xml:space="preserve">“</w:t>
      </w:r>
      <w:r>
        <w:t xml:space="preserve">would removing this cause Claude to make mistakes?</w:t>
      </w:r>
      <w:r>
        <w:t xml:space="preserve">”</w:t>
      </w:r>
      <w:r>
        <w:t xml:space="preserve"> </w:t>
      </w:r>
      <w:r>
        <w:t xml:space="preserve">[14]; keep rules under 500 lines and add one only when the agent repeats a mistake [15]; treat AGENTS.md as</w:t>
      </w:r>
      <w:r>
        <w:t xml:space="preserve"> </w:t>
      </w:r>
      <w:r>
        <w:t xml:space="preserve">“</w:t>
      </w:r>
      <w:r>
        <w:t xml:space="preserve">a README for agents</w:t>
      </w:r>
      <w:r>
        <w:t xml:space="preserve">”</w:t>
      </w:r>
      <w:r>
        <w:t xml:space="preserve"> </w:t>
      </w:r>
      <w:r>
        <w:t xml:space="preserve">with setup commands, test instructions and PR conventions [13, 98]. Procedures that are only sometimes relevant belong in on-demand skills or playbooks rather than the always-loaded file [99, 100]. Context is a finite resource whose value declines with length [101-103].</w:t>
      </w:r>
    </w:p>
    <w:p>
      <w:pPr>
        <w:pStyle w:val="BodyText"/>
      </w:pPr>
      <w:r>
        <w:rPr>
          <w:bCs/>
          <w:b/>
        </w:rPr>
        <w:t xml:space="preserve">Task specification.</w:t>
      </w:r>
      <w:r>
        <w:t xml:space="preserve"> </w:t>
      </w:r>
      <w:r>
        <w:t xml:space="preserve">On the hardest public benchmark,</w:t>
      </w:r>
      <w:r>
        <w:t xml:space="preserve"> </w:t>
      </w:r>
      <w:r>
        <w:t xml:space="preserve">“</w:t>
      </w:r>
      <w:r>
        <w:t xml:space="preserve">wrong solution</w:t>
      </w:r>
      <w:r>
        <w:t xml:space="preserve">”</w:t>
      </w:r>
      <w:r>
        <w:t xml:space="preserve"> </w:t>
      </w:r>
      <w:r>
        <w:t xml:space="preserve">is the largest failure category (35-50%) [104]. GitHub’s ideal task</w:t>
      </w:r>
      <w:r>
        <w:t xml:space="preserve"> </w:t>
      </w:r>
      <w:r>
        <w:t xml:space="preserve">“</w:t>
      </w:r>
      <w:r>
        <w:t xml:space="preserve">includes: a clear description of the problem to be solved or the work required,</w:t>
      </w:r>
      <w:r>
        <w:t xml:space="preserve">”</w:t>
      </w:r>
      <w:r>
        <w:t xml:space="preserve"> </w:t>
      </w:r>
      <w:r>
        <w:t xml:space="preserve">acceptance criteria and the files to change [71]. Specification discipline is a repository property when it lives in issue templates and acceptance tests; Amazon’s Kiro makes it a first-class artifact with requirements, design and tasks carrying acceptance criteria and hooks that trigger tests on events [105], and Anthropic’s harness research finds generator/evaluator separation and pre-negotiated</w:t>
      </w:r>
      <w:r>
        <w:t xml:space="preserve"> </w:t>
      </w:r>
      <w:r>
        <w:t xml:space="preserve">“</w:t>
      </w:r>
      <w:r>
        <w:t xml:space="preserve">sprint contracts</w:t>
      </w:r>
      <w:r>
        <w:t xml:space="preserve">”</w:t>
      </w:r>
      <w:r>
        <w:t xml:space="preserve"> </w:t>
      </w:r>
      <w:r>
        <w:t xml:space="preserve">to be strong levers on long-running work [106].</w:t>
      </w:r>
    </w:p>
    <w:p>
      <w:pPr>
        <w:pStyle w:val="BodyText"/>
      </w:pPr>
      <w:r>
        <w:rPr>
          <w:bCs/>
          <w:b/>
        </w:rPr>
        <w:t xml:space="preserve">Ownership, workflow and guardrails.</w:t>
      </w:r>
      <w:r>
        <w:t xml:space="preserve"> </w:t>
      </w:r>
      <w:r>
        <w:t xml:space="preserve">Ownership has predicted defects for fifteen years: the number of low-expertise contributors and the share of the top owner relate to both pre-release faults and post-release failures [107]. Google’s OWNERS files are the mechanism by which its large-scale-change tooling shards and routes hundreds of automated changes a day for review [78]. In modern forges the equivalents are CODEOWNERS with required owner review [108], rulesets that enforce required reviews, status checks and signed commits and resolve conflicts to</w:t>
      </w:r>
      <w:r>
        <w:t xml:space="preserve"> </w:t>
      </w:r>
      <w:r>
        <w:t xml:space="preserve">“</w:t>
      </w:r>
      <w:r>
        <w:t xml:space="preserve">the most restrictive version of the rule</w:t>
      </w:r>
      <w:r>
        <w:t xml:space="preserve">”</w:t>
      </w:r>
      <w:r>
        <w:t xml:space="preserve"> </w:t>
      </w:r>
      <w:r>
        <w:t xml:space="preserve">[109], and harness-side hooks that</w:t>
      </w:r>
      <w:r>
        <w:t xml:space="preserve"> </w:t>
      </w:r>
      <w:r>
        <w:t xml:space="preserve">“</w:t>
      </w:r>
      <w:r>
        <w:t xml:space="preserve">execute automatically at specific points</w:t>
      </w:r>
      <w:r>
        <w:t xml:space="preserve">”</w:t>
      </w:r>
      <w:r>
        <w:t xml:space="preserve"> </w:t>
      </w:r>
      <w:r>
        <w:t xml:space="preserve">to block destructive commands, run linters and audit tool use [110]. GitHub’s coding agent can push only to its own branches and requires an approver different from the assigner [84]. Sonar’s quality gate for agentic AI adds a dependency-risk condition because</w:t>
      </w:r>
      <w:r>
        <w:t xml:space="preserve"> </w:t>
      </w:r>
      <w:r>
        <w:t xml:space="preserve">“</w:t>
      </w:r>
      <w:r>
        <w:t xml:space="preserve">AI agents have autonomy to write code and introduce dependencies</w:t>
      </w:r>
      <w:r>
        <w:t xml:space="preserve">”</w:t>
      </w:r>
      <w:r>
        <w:t xml:space="preserve"> </w:t>
      </w:r>
      <w:r>
        <w:t xml:space="preserve">[111].</w:t>
      </w:r>
    </w:p>
    <w:p>
      <w:pPr>
        <w:pStyle w:val="BodyText"/>
      </w:pPr>
      <w:r>
        <w:rPr>
          <w:bCs/>
          <w:b/>
        </w:rPr>
        <w:t xml:space="preserve">Measurement.</w:t>
      </w:r>
      <w:r>
        <w:t xml:space="preserve"> </w:t>
      </w:r>
      <w:r>
        <w:t xml:space="preserve">Without a private task suite and telemetry, none of the above can be shown to work. Public benchmarks are contaminated and infrastructure-sensitive [70, 75]; enterprises need 20-50 real tasks per task class with pass^k (all of k trials succeed) rather than pass@k, because reliability determines what can be delegated [112, 113].</w:t>
      </w:r>
    </w:p>
    <w:bookmarkEnd w:id="32"/>
    <w:bookmarkStart w:id="33" w:name="the-repository-ai-readiness-model-rarm"/>
    <w:p>
      <w:pPr>
        <w:pStyle w:val="Heading3"/>
      </w:pPr>
      <w:r>
        <w:t xml:space="preserve">3.2 The Repository AI-Readiness Model (RARM)</w:t>
      </w:r>
    </w:p>
    <w:p>
      <w:pPr>
        <w:pStyle w:val="FirstParagraph"/>
      </w:pPr>
      <w:r>
        <w:t xml:space="preserve">RARM turns the evidence into an instrument with three properties borrowed from the ML production-readiness lineage: computable indicators rather than interview answers, a minimum-across scoring rule [50], and task-relative readiness [10]. It has eight dimensions, each scored 0-4. Table 3.1 gives the anchor descriptions for scores 0, 2 and 4 and the indicators that can be computed from version control, CI, code-analysis and harness telemetry.</w:t>
      </w:r>
    </w:p>
    <w:p>
      <w:pPr>
        <w:pStyle w:val="BodyText"/>
      </w:pPr>
      <w:r>
        <w:rPr>
          <w:bCs/>
          <w:b/>
        </w:rPr>
        <w:t xml:space="preserve">Table 3.1. RARM dimensions, anchors and indicators</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584"/>
        <w:gridCol w:w="1584"/>
        <w:gridCol w:w="1584"/>
        <w:gridCol w:w="1584"/>
        <w:gridCol w:w="1584"/>
      </w:tblGrid>
      <w:tr>
        <w:trPr>
          <w:tblHeader w:val="true"/>
        </w:trPr>
        <w:tc>
          <w:tcPr>
            <w:shd w:val="clear" w:color="auto" w:fill="EEF2F6"/>
          </w:tcPr>
          <w:p>
            <w:pPr>
              <w:pStyle w:val="Compact"/>
              <w:spacing w:after="40"/>
              <w:jc w:val="left"/>
            </w:pPr>
            <w:r>
              <w:rPr>
                <w:rFonts w:ascii="Calibri" w:hAnsi="Calibri"/>
                <w:b/>
                <w:sz w:val="17"/>
              </w:rPr>
              <w:t xml:space="preserve">Dimension</w:t>
            </w:r>
          </w:p>
        </w:tc>
        <w:tc>
          <w:tcPr>
            <w:shd w:val="clear" w:color="auto" w:fill="EEF2F6"/>
          </w:tcPr>
          <w:p>
            <w:pPr>
              <w:pStyle w:val="Compact"/>
              <w:spacing w:after="40"/>
              <w:jc w:val="left"/>
            </w:pPr>
            <w:r>
              <w:rPr>
                <w:rFonts w:ascii="Calibri" w:hAnsi="Calibri"/>
                <w:b/>
                <w:sz w:val="17"/>
              </w:rPr>
              <w:t xml:space="preserve">Score 0</w:t>
            </w:r>
          </w:p>
        </w:tc>
        <w:tc>
          <w:tcPr>
            <w:shd w:val="clear" w:color="auto" w:fill="EEF2F6"/>
          </w:tcPr>
          <w:p>
            <w:pPr>
              <w:pStyle w:val="Compact"/>
              <w:spacing w:after="40"/>
              <w:jc w:val="left"/>
            </w:pPr>
            <w:r>
              <w:rPr>
                <w:rFonts w:ascii="Calibri" w:hAnsi="Calibri"/>
                <w:b/>
                <w:sz w:val="17"/>
              </w:rPr>
              <w:t xml:space="preserve">Score 2</w:t>
            </w:r>
          </w:p>
        </w:tc>
        <w:tc>
          <w:tcPr>
            <w:shd w:val="clear" w:color="auto" w:fill="EEF2F6"/>
          </w:tcPr>
          <w:p>
            <w:pPr>
              <w:pStyle w:val="Compact"/>
              <w:spacing w:after="40"/>
              <w:jc w:val="left"/>
            </w:pPr>
            <w:r>
              <w:rPr>
                <w:rFonts w:ascii="Calibri" w:hAnsi="Calibri"/>
                <w:b/>
                <w:sz w:val="17"/>
              </w:rPr>
              <w:t xml:space="preserve">Score 4</w:t>
            </w:r>
          </w:p>
        </w:tc>
        <w:tc>
          <w:tcPr>
            <w:shd w:val="clear" w:color="auto" w:fill="EEF2F6"/>
          </w:tcPr>
          <w:p>
            <w:pPr>
              <w:pStyle w:val="Compact"/>
              <w:spacing w:after="40"/>
              <w:jc w:val="left"/>
            </w:pPr>
            <w:r>
              <w:rPr>
                <w:rFonts w:ascii="Calibri" w:hAnsi="Calibri"/>
                <w:b/>
                <w:sz w:val="17"/>
              </w:rPr>
              <w:t xml:space="preserve">Computable indicators</w:t>
            </w:r>
          </w:p>
        </w:tc>
      </w:tr>
      <w:tr>
        <w:tc>
          <w:tcPr/>
          <w:p>
            <w:pPr>
              <w:pStyle w:val="Compact"/>
              <w:spacing w:after="40"/>
              <w:jc w:val="left"/>
            </w:pPr>
            <w:r>
              <w:rPr>
                <w:bCs/>
                <w:rFonts w:ascii="Calibri" w:hAnsi="Calibri"/>
                <w:b/>
                <w:sz w:val="17"/>
              </w:rPr>
              <w:t xml:space="preserve">R1 Executability and environment determinism</w:t>
            </w:r>
          </w:p>
        </w:tc>
        <w:tc>
          <w:tcPr/>
          <w:p>
            <w:pPr>
              <w:pStyle w:val="Compact"/>
              <w:spacing w:after="40"/>
              <w:jc w:val="left"/>
            </w:pPr>
            <w:r>
              <w:rPr>
                <w:rFonts w:ascii="Calibri" w:hAnsi="Calibri"/>
                <w:sz w:val="17"/>
              </w:rPr>
              <w:t xml:space="preserve">Build depends on a developer’s machine; no lockfiles; no documented setup</w:t>
            </w:r>
          </w:p>
        </w:tc>
        <w:tc>
          <w:tcPr/>
          <w:p>
            <w:pPr>
              <w:pStyle w:val="Compact"/>
              <w:spacing w:after="40"/>
              <w:jc w:val="left"/>
            </w:pPr>
            <w:r>
              <w:rPr>
                <w:rFonts w:ascii="Calibri" w:hAnsi="Calibri"/>
                <w:sz w:val="17"/>
              </w:rPr>
              <w:t xml:space="preserve">Containerized dev environment; setup documented; builds reproducible most of the time</w:t>
            </w:r>
          </w:p>
        </w:tc>
        <w:tc>
          <w:tcPr/>
          <w:p>
            <w:pPr>
              <w:pStyle w:val="Compact"/>
              <w:spacing w:after="40"/>
              <w:jc w:val="left"/>
            </w:pPr>
            <w:r>
              <w:rPr>
                <w:rFonts w:ascii="Calibri" w:hAnsi="Calibri"/>
                <w:sz w:val="17"/>
              </w:rPr>
              <w:t xml:space="preserve">Hermetic build; dev container or equivalent; automated setup under 10 minutes; agent sandbox with egress policy; pinned dependencies</w:t>
            </w:r>
          </w:p>
        </w:tc>
        <w:tc>
          <w:tcPr/>
          <w:p>
            <w:pPr>
              <w:pStyle w:val="Compact"/>
              <w:spacing w:after="40"/>
              <w:jc w:val="left"/>
            </w:pPr>
            <w:r>
              <w:rPr>
                <w:rFonts w:ascii="Calibri" w:hAnsi="Calibri"/>
                <w:sz w:val="17"/>
              </w:rPr>
              <w:t xml:space="preserve">Automated-setup success rate; reproducible-build rate; median setup time; lockfile presence; pinned-dependency score [114]</w:t>
            </w:r>
          </w:p>
        </w:tc>
      </w:tr>
      <w:tr>
        <w:tc>
          <w:tcPr/>
          <w:p>
            <w:pPr>
              <w:pStyle w:val="Compact"/>
              <w:spacing w:after="40"/>
              <w:jc w:val="left"/>
            </w:pPr>
            <w:r>
              <w:rPr>
                <w:bCs/>
                <w:rFonts w:ascii="Calibri" w:hAnsi="Calibri"/>
                <w:b/>
                <w:sz w:val="17"/>
              </w:rPr>
              <w:t xml:space="preserve">R2 Verification signal quality</w:t>
            </w:r>
          </w:p>
        </w:tc>
        <w:tc>
          <w:tcPr/>
          <w:p>
            <w:pPr>
              <w:pStyle w:val="Compact"/>
              <w:spacing w:after="40"/>
              <w:jc w:val="left"/>
            </w:pPr>
            <w:r>
              <w:rPr>
                <w:rFonts w:ascii="Calibri" w:hAnsi="Calibri"/>
                <w:sz w:val="17"/>
              </w:rPr>
              <w:t xml:space="preserve">No automated tests, or tests routinely skipped</w:t>
            </w:r>
          </w:p>
        </w:tc>
        <w:tc>
          <w:tcPr/>
          <w:p>
            <w:pPr>
              <w:pStyle w:val="Compact"/>
              <w:spacing w:after="40"/>
              <w:jc w:val="left"/>
            </w:pPr>
            <w:r>
              <w:rPr>
                <w:rFonts w:ascii="Calibri" w:hAnsi="Calibri"/>
                <w:sz w:val="17"/>
              </w:rPr>
              <w:t xml:space="preserve">Unit tests on core paths; linting in CI; coverage measured</w:t>
            </w:r>
          </w:p>
        </w:tc>
        <w:tc>
          <w:tcPr/>
          <w:p>
            <w:pPr>
              <w:pStyle w:val="Compact"/>
              <w:spacing w:after="40"/>
              <w:jc w:val="left"/>
            </w:pPr>
            <w:r>
              <w:rPr>
                <w:rFonts w:ascii="Calibri" w:hAnsi="Calibri"/>
                <w:sz w:val="17"/>
              </w:rPr>
              <w:t xml:space="preserve">Tests cover changed lines; flaky tests quarantined below an agreed rate; type checks, static analysis and security scanning in CI with machine-readable results; mutation or contract tests where risk warrants</w:t>
            </w:r>
          </w:p>
        </w:tc>
        <w:tc>
          <w:tcPr/>
          <w:p>
            <w:pPr>
              <w:pStyle w:val="Compact"/>
              <w:spacing w:after="40"/>
              <w:jc w:val="left"/>
            </w:pPr>
            <w:r>
              <w:rPr>
                <w:rFonts w:ascii="Calibri" w:hAnsi="Calibri"/>
                <w:sz w:val="17"/>
              </w:rPr>
              <w:t xml:space="preserve">Coverage on changed lines; flaky-test rate; CI feedback latency; static-analysis findings fed back to the agent; share of merges with green verification</w:t>
            </w:r>
          </w:p>
        </w:tc>
      </w:tr>
      <w:tr>
        <w:tc>
          <w:tcPr/>
          <w:p>
            <w:pPr>
              <w:pStyle w:val="Compact"/>
              <w:spacing w:after="40"/>
              <w:jc w:val="left"/>
            </w:pPr>
            <w:r>
              <w:rPr>
                <w:bCs/>
                <w:rFonts w:ascii="Calibri" w:hAnsi="Calibri"/>
                <w:b/>
                <w:sz w:val="17"/>
              </w:rPr>
              <w:t xml:space="preserve">R3 Task specification hygiene</w:t>
            </w:r>
          </w:p>
        </w:tc>
        <w:tc>
          <w:tcPr/>
          <w:p>
            <w:pPr>
              <w:pStyle w:val="Compact"/>
              <w:spacing w:after="40"/>
              <w:jc w:val="left"/>
            </w:pPr>
            <w:r>
              <w:rPr>
                <w:rFonts w:ascii="Calibri" w:hAnsi="Calibri"/>
                <w:sz w:val="17"/>
              </w:rPr>
              <w:t xml:space="preserve">One-line tickets</w:t>
            </w:r>
          </w:p>
        </w:tc>
        <w:tc>
          <w:tcPr/>
          <w:p>
            <w:pPr>
              <w:pStyle w:val="Compact"/>
              <w:spacing w:after="40"/>
              <w:jc w:val="left"/>
            </w:pPr>
            <w:r>
              <w:rPr>
                <w:rFonts w:ascii="Calibri" w:hAnsi="Calibri"/>
                <w:sz w:val="17"/>
              </w:rPr>
              <w:t xml:space="preserve">Issue templates; acceptance criteria sometimes</w:t>
            </w:r>
          </w:p>
        </w:tc>
        <w:tc>
          <w:tcPr/>
          <w:p>
            <w:pPr>
              <w:pStyle w:val="Compact"/>
              <w:spacing w:after="40"/>
              <w:jc w:val="left"/>
            </w:pPr>
            <w:r>
              <w:rPr>
                <w:rFonts w:ascii="Calibri" w:hAnsi="Calibri"/>
                <w:sz w:val="17"/>
              </w:rPr>
              <w:t xml:space="preserve">Issues carry problem statement, acceptance criteria, scope and non-goals; specs for non-trivial work; acceptance tests written before delegation</w:t>
            </w:r>
          </w:p>
        </w:tc>
        <w:tc>
          <w:tcPr/>
          <w:p>
            <w:pPr>
              <w:pStyle w:val="Compact"/>
              <w:spacing w:after="40"/>
              <w:jc w:val="left"/>
            </w:pPr>
            <w:r>
              <w:rPr>
                <w:rFonts w:ascii="Calibri" w:hAnsi="Calibri"/>
                <w:sz w:val="17"/>
              </w:rPr>
              <w:t xml:space="preserve">Share of agent tasks with acceptance tests; wrong-solution share in failure analysis</w:t>
            </w:r>
          </w:p>
        </w:tc>
      </w:tr>
      <w:tr>
        <w:tc>
          <w:tcPr/>
          <w:p>
            <w:pPr>
              <w:pStyle w:val="Compact"/>
              <w:spacing w:after="40"/>
              <w:jc w:val="left"/>
            </w:pPr>
            <w:r>
              <w:rPr>
                <w:bCs/>
                <w:rFonts w:ascii="Calibri" w:hAnsi="Calibri"/>
                <w:b/>
                <w:sz w:val="17"/>
              </w:rPr>
              <w:t xml:space="preserve">R4 Structure and navigability</w:t>
            </w:r>
          </w:p>
        </w:tc>
        <w:tc>
          <w:tcPr/>
          <w:p>
            <w:pPr>
              <w:pStyle w:val="Compact"/>
              <w:spacing w:after="40"/>
              <w:jc w:val="left"/>
            </w:pPr>
            <w:r>
              <w:rPr>
                <w:rFonts w:ascii="Calibri" w:hAnsi="Calibri"/>
                <w:sz w:val="17"/>
              </w:rPr>
              <w:t xml:space="preserve">Large tangled modules; inconsistent naming; no index</w:t>
            </w:r>
          </w:p>
        </w:tc>
        <w:tc>
          <w:tcPr/>
          <w:p>
            <w:pPr>
              <w:pStyle w:val="Compact"/>
              <w:spacing w:after="40"/>
              <w:jc w:val="left"/>
            </w:pPr>
            <w:r>
              <w:rPr>
                <w:rFonts w:ascii="Calibri" w:hAnsi="Calibri"/>
                <w:sz w:val="17"/>
              </w:rPr>
              <w:t xml:space="preserve">Modular boundaries; consistent naming; code search available</w:t>
            </w:r>
          </w:p>
        </w:tc>
        <w:tc>
          <w:tcPr/>
          <w:p>
            <w:pPr>
              <w:pStyle w:val="Compact"/>
              <w:spacing w:after="40"/>
              <w:jc w:val="left"/>
            </w:pPr>
            <w:r>
              <w:rPr>
                <w:rFonts w:ascii="Calibri" w:hAnsi="Calibri"/>
                <w:sz w:val="17"/>
              </w:rPr>
              <w:t xml:space="preserve">Modules with explicit interfaces; expressive naming; low duplication; code index or graph available to harnesses; code-health score above threshold</w:t>
            </w:r>
          </w:p>
        </w:tc>
        <w:tc>
          <w:tcPr/>
          <w:p>
            <w:pPr>
              <w:pStyle w:val="Compact"/>
              <w:spacing w:after="40"/>
              <w:jc w:val="left"/>
            </w:pPr>
            <w:r>
              <w:rPr>
                <w:rFonts w:ascii="Calibri" w:hAnsi="Calibri"/>
                <w:sz w:val="17"/>
              </w:rPr>
              <w:t xml:space="preserve">Module coupling and file size distributions; duplication rate; code-health score [90]; index freshness; cross-file failure share</w:t>
            </w:r>
          </w:p>
        </w:tc>
      </w:tr>
      <w:tr>
        <w:tc>
          <w:tcPr/>
          <w:p>
            <w:pPr>
              <w:pStyle w:val="Compact"/>
              <w:spacing w:after="40"/>
              <w:jc w:val="left"/>
            </w:pPr>
            <w:r>
              <w:rPr>
                <w:bCs/>
                <w:rFonts w:ascii="Calibri" w:hAnsi="Calibri"/>
                <w:b/>
                <w:sz w:val="17"/>
              </w:rPr>
              <w:t xml:space="preserve">R5 Documentation and decisions</w:t>
            </w:r>
          </w:p>
        </w:tc>
        <w:tc>
          <w:tcPr/>
          <w:p>
            <w:pPr>
              <w:pStyle w:val="Compact"/>
              <w:spacing w:after="40"/>
              <w:jc w:val="left"/>
            </w:pPr>
            <w:r>
              <w:rPr>
                <w:rFonts w:ascii="Calibri" w:hAnsi="Calibri"/>
                <w:sz w:val="17"/>
              </w:rPr>
              <w:t xml:space="preserve">README absent or stale</w:t>
            </w:r>
          </w:p>
        </w:tc>
        <w:tc>
          <w:tcPr/>
          <w:p>
            <w:pPr>
              <w:pStyle w:val="Compact"/>
              <w:spacing w:after="40"/>
              <w:jc w:val="left"/>
            </w:pPr>
            <w:r>
              <w:rPr>
                <w:rFonts w:ascii="Calibri" w:hAnsi="Calibri"/>
                <w:sz w:val="17"/>
              </w:rPr>
              <w:t xml:space="preserve">README with purpose and status; some architecture notes</w:t>
            </w:r>
          </w:p>
        </w:tc>
        <w:tc>
          <w:tcPr/>
          <w:p>
            <w:pPr>
              <w:pStyle w:val="Compact"/>
              <w:spacing w:after="40"/>
              <w:jc w:val="left"/>
            </w:pPr>
            <w:r>
              <w:rPr>
                <w:rFonts w:ascii="Calibri" w:hAnsi="Calibri"/>
                <w:sz w:val="17"/>
              </w:rPr>
              <w:t xml:space="preserve">Current README and architecture docs with verified dates; ADRs for significant decisions; API docs generated from source</w:t>
            </w:r>
          </w:p>
        </w:tc>
        <w:tc>
          <w:tcPr/>
          <w:p>
            <w:pPr>
              <w:pStyle w:val="Compact"/>
              <w:spacing w:after="40"/>
              <w:jc w:val="left"/>
            </w:pPr>
            <w:r>
              <w:rPr>
                <w:rFonts w:ascii="Calibri" w:hAnsi="Calibri"/>
                <w:sz w:val="17"/>
              </w:rPr>
              <w:t xml:space="preserve">Doc currency (days since verified); ADR coverage of major changes; broken-link and stale-reference counts</w:t>
            </w:r>
          </w:p>
        </w:tc>
      </w:tr>
      <w:tr>
        <w:tc>
          <w:tcPr/>
          <w:p>
            <w:pPr>
              <w:pStyle w:val="Compact"/>
              <w:spacing w:after="40"/>
              <w:jc w:val="left"/>
            </w:pPr>
            <w:r>
              <w:rPr>
                <w:bCs/>
                <w:rFonts w:ascii="Calibri" w:hAnsi="Calibri"/>
                <w:b/>
                <w:sz w:val="17"/>
              </w:rPr>
              <w:t xml:space="preserve">R6 Context files and procedural knowledge</w:t>
            </w:r>
          </w:p>
        </w:tc>
        <w:tc>
          <w:tcPr/>
          <w:p>
            <w:pPr>
              <w:pStyle w:val="Compact"/>
              <w:spacing w:after="40"/>
              <w:jc w:val="left"/>
            </w:pPr>
            <w:r>
              <w:rPr>
                <w:rFonts w:ascii="Calibri" w:hAnsi="Calibri"/>
                <w:sz w:val="17"/>
              </w:rPr>
              <w:t xml:space="preserve">None, or generated boilerplate</w:t>
            </w:r>
          </w:p>
        </w:tc>
        <w:tc>
          <w:tcPr/>
          <w:p>
            <w:pPr>
              <w:pStyle w:val="Compact"/>
              <w:spacing w:after="40"/>
              <w:jc w:val="left"/>
            </w:pPr>
            <w:r>
              <w:rPr>
                <w:rFonts w:ascii="Calibri" w:hAnsi="Calibri"/>
                <w:sz w:val="17"/>
              </w:rPr>
              <w:t xml:space="preserve">Context file present, unmaintained</w:t>
            </w:r>
          </w:p>
        </w:tc>
        <w:tc>
          <w:tcPr/>
          <w:p>
            <w:pPr>
              <w:pStyle w:val="Compact"/>
              <w:spacing w:after="40"/>
              <w:jc w:val="left"/>
            </w:pPr>
            <w:r>
              <w:rPr>
                <w:rFonts w:ascii="Calibri" w:hAnsi="Calibri"/>
                <w:sz w:val="17"/>
              </w:rPr>
              <w:t xml:space="preserve">Short, prescriptive, non-derivable context file owned by the team; procedures delivered as on-demand skills or playbooks; staleness reviewed each release</w:t>
            </w:r>
          </w:p>
        </w:tc>
        <w:tc>
          <w:tcPr/>
          <w:p>
            <w:pPr>
              <w:pStyle w:val="Compact"/>
              <w:spacing w:after="40"/>
              <w:jc w:val="left"/>
            </w:pPr>
            <w:r>
              <w:rPr>
                <w:rFonts w:ascii="Calibri" w:hAnsi="Calibri"/>
                <w:sz w:val="17"/>
              </w:rPr>
              <w:t xml:space="preserve">Context-file size, age and owner; instruction-follow rate; incremental token cost per task; skill usage counts</w:t>
            </w:r>
          </w:p>
        </w:tc>
      </w:tr>
      <w:tr>
        <w:tc>
          <w:tcPr/>
          <w:p>
            <w:pPr>
              <w:pStyle w:val="Compact"/>
              <w:spacing w:after="40"/>
              <w:jc w:val="left"/>
            </w:pPr>
            <w:r>
              <w:rPr>
                <w:bCs/>
                <w:rFonts w:ascii="Calibri" w:hAnsi="Calibri"/>
                <w:b/>
                <w:sz w:val="17"/>
              </w:rPr>
              <w:t xml:space="preserve">R7 Ownership, workflow and guardrails</w:t>
            </w:r>
          </w:p>
        </w:tc>
        <w:tc>
          <w:tcPr/>
          <w:p>
            <w:pPr>
              <w:pStyle w:val="Compact"/>
              <w:spacing w:after="40"/>
              <w:jc w:val="left"/>
            </w:pPr>
            <w:r>
              <w:rPr>
                <w:rFonts w:ascii="Calibri" w:hAnsi="Calibri"/>
                <w:sz w:val="17"/>
              </w:rPr>
              <w:t xml:space="preserve">Agent output pasted manually; no owners; direct pushes</w:t>
            </w:r>
          </w:p>
        </w:tc>
        <w:tc>
          <w:tcPr/>
          <w:p>
            <w:pPr>
              <w:pStyle w:val="Compact"/>
              <w:spacing w:after="40"/>
              <w:jc w:val="left"/>
            </w:pPr>
            <w:r>
              <w:rPr>
                <w:rFonts w:ascii="Calibri" w:hAnsi="Calibri"/>
                <w:sz w:val="17"/>
              </w:rPr>
              <w:t xml:space="preserve">CODEOWNERS; PR review; branch protection on main</w:t>
            </w:r>
          </w:p>
        </w:tc>
        <w:tc>
          <w:tcPr/>
          <w:p>
            <w:pPr>
              <w:pStyle w:val="Compact"/>
              <w:spacing w:after="40"/>
              <w:jc w:val="left"/>
            </w:pPr>
            <w:r>
              <w:rPr>
                <w:rFonts w:ascii="Calibri" w:hAnsi="Calibri"/>
                <w:sz w:val="17"/>
              </w:rPr>
              <w:t xml:space="preserve">Owners for all paths; rulesets with required reviews, status checks and signed commits; separate approver for agent PRs; scoped agent identity and credentials; hooks that block prohibited actions; audit trail of agent actions; secrets scanning</w:t>
            </w:r>
          </w:p>
        </w:tc>
        <w:tc>
          <w:tcPr/>
          <w:p>
            <w:pPr>
              <w:pStyle w:val="Compact"/>
              <w:spacing w:after="40"/>
              <w:jc w:val="left"/>
            </w:pPr>
            <w:r>
              <w:rPr>
                <w:rFonts w:ascii="Calibri" w:hAnsi="Calibri"/>
                <w:sz w:val="17"/>
              </w:rPr>
              <w:t xml:space="preserve">Share of agent changes through the governed flow; bypass and exception counts; ownerless-path share; permission-denied and blocked-action counts</w:t>
            </w:r>
          </w:p>
        </w:tc>
      </w:tr>
      <w:tr>
        <w:tc>
          <w:tcPr/>
          <w:p>
            <w:pPr>
              <w:pStyle w:val="Compact"/>
              <w:spacing w:after="40"/>
              <w:jc w:val="left"/>
            </w:pPr>
            <w:r>
              <w:rPr>
                <w:bCs/>
                <w:rFonts w:ascii="Calibri" w:hAnsi="Calibri"/>
                <w:b/>
                <w:sz w:val="17"/>
              </w:rPr>
              <w:t xml:space="preserve">R8 Measurement and evaluation</w:t>
            </w:r>
          </w:p>
        </w:tc>
        <w:tc>
          <w:tcPr/>
          <w:p>
            <w:pPr>
              <w:pStyle w:val="Compact"/>
              <w:spacing w:after="40"/>
              <w:jc w:val="left"/>
            </w:pPr>
            <w:r>
              <w:rPr>
                <w:rFonts w:ascii="Calibri" w:hAnsi="Calibri"/>
                <w:sz w:val="17"/>
              </w:rPr>
              <w:t xml:space="preserve">No measurement</w:t>
            </w:r>
          </w:p>
        </w:tc>
        <w:tc>
          <w:tcPr/>
          <w:p>
            <w:pPr>
              <w:pStyle w:val="Compact"/>
              <w:spacing w:after="40"/>
              <w:jc w:val="left"/>
            </w:pPr>
            <w:r>
              <w:rPr>
                <w:rFonts w:ascii="Calibri" w:hAnsi="Calibri"/>
                <w:sz w:val="17"/>
              </w:rPr>
              <w:t xml:space="preserve">Usage counts</w:t>
            </w:r>
          </w:p>
        </w:tc>
        <w:tc>
          <w:tcPr/>
          <w:p>
            <w:pPr>
              <w:pStyle w:val="Compact"/>
              <w:spacing w:after="40"/>
              <w:jc w:val="left"/>
            </w:pPr>
            <w:r>
              <w:rPr>
                <w:rFonts w:ascii="Calibri" w:hAnsi="Calibri"/>
                <w:sz w:val="17"/>
              </w:rPr>
              <w:t xml:space="preserve">Private eval suite of 20-50 real tasks per task class with pass^k tracked; cost per merged change; review load, rework, defects and vulnerabilities attributed to agent-assisted changes; regression evals on model or harness change</w:t>
            </w:r>
          </w:p>
        </w:tc>
        <w:tc>
          <w:tcPr/>
          <w:p>
            <w:pPr>
              <w:pStyle w:val="Compact"/>
              <w:spacing w:after="40"/>
              <w:jc w:val="left"/>
            </w:pPr>
            <w:r>
              <w:rPr>
                <w:rFonts w:ascii="Calibri" w:hAnsi="Calibri"/>
                <w:sz w:val="17"/>
              </w:rPr>
              <w:t xml:space="preserve">pass^k by task class; cost per merged change; review time per PR; defect and vulnerability density in agent-assisted changes</w:t>
            </w:r>
          </w:p>
        </w:tc>
      </w:tr>
    </w:tbl>
    <w:p>
      <w:pPr>
        <w:pStyle w:val="BodyText"/>
      </w:pPr>
      <w:r>
        <w:t xml:space="preserve">Three rules govern scoring.</w:t>
      </w:r>
    </w:p>
    <w:p>
      <w:pPr>
        <w:numPr>
          <w:ilvl w:val="0"/>
          <w:numId w:val="1003"/>
        </w:numPr>
        <w:pStyle w:val="Compact"/>
      </w:pPr>
      <w:r>
        <w:rPr>
          <w:bCs/>
          <w:b/>
        </w:rPr>
        <w:t xml:space="preserve">Minimum across dimensions.</w:t>
      </w:r>
      <w:r>
        <w:t xml:space="preserve"> </w:t>
      </w:r>
      <w:r>
        <w:t xml:space="preserve">A repository’s readiness score is the minimum of its eight dimension scores, with the mean reported alongside for planning. This is deliberately harsh, for the reason the ML Test Score gives:</w:t>
      </w:r>
      <w:r>
        <w:t xml:space="preserve"> </w:t>
      </w:r>
      <w:r>
        <w:t xml:space="preserve">“</w:t>
      </w:r>
      <w:r>
        <w:t xml:space="preserve">a system must consider all in order to raise the score</w:t>
      </w:r>
      <w:r>
        <w:t xml:space="preserve">”</w:t>
      </w:r>
      <w:r>
        <w:t xml:space="preserve"> </w:t>
      </w:r>
      <w:r>
        <w:t xml:space="preserve">[50]. A repository with excellent context files and no reproducible build produces confident, unverifiable output, which is the failure mode the evidence documents most clearly.</w:t>
      </w:r>
    </w:p>
    <w:p>
      <w:pPr>
        <w:numPr>
          <w:ilvl w:val="0"/>
          <w:numId w:val="1003"/>
        </w:numPr>
        <w:pStyle w:val="Compact"/>
      </w:pPr>
      <w:r>
        <w:rPr>
          <w:bCs/>
          <w:b/>
        </w:rPr>
        <w:t xml:space="preserve">Task-class relativity.</w:t>
      </w:r>
      <w:r>
        <w:t xml:space="preserve"> </w:t>
      </w:r>
      <w:r>
        <w:t xml:space="preserve">Scores are recorded per task class (for example dependency upgrades, test generation, bug fixes with a reproduction, feature work behind an interface, migrations). A repository can be tier 3 for upgrades and tier 1 for feature work. GitHub’s own guidance draws the same line: start with bug fixes, test coverage, documentation and technical-debt reduction; avoid cross-repository refactors and security-sensitive work [71].</w:t>
      </w:r>
    </w:p>
    <w:p>
      <w:pPr>
        <w:numPr>
          <w:ilvl w:val="0"/>
          <w:numId w:val="1003"/>
        </w:numPr>
        <w:pStyle w:val="Compact"/>
      </w:pPr>
      <w:r>
        <w:rPr>
          <w:bCs/>
          <w:b/>
        </w:rPr>
        <w:t xml:space="preserve">Evidence, not assertion.</w:t>
      </w:r>
      <w:r>
        <w:t xml:space="preserve"> </w:t>
      </w:r>
      <w:r>
        <w:t xml:space="preserve">A dimension cannot score above 2 without telemetry evidence, or 4 without an independent check of that evidence (internal audit, platform team, or a second assessor).</w:t>
      </w:r>
    </w:p>
    <w:bookmarkEnd w:id="33"/>
    <w:bookmarkStart w:id="34" w:name="readiness-tiers-and-what-they-permit"/>
    <w:p>
      <w:pPr>
        <w:pStyle w:val="Heading3"/>
      </w:pPr>
      <w:r>
        <w:t xml:space="preserve">3.3 Readiness tiers and what they permit</w:t>
      </w:r>
    </w:p>
    <w:p>
      <w:pPr>
        <w:pStyle w:val="FirstParagraph"/>
      </w:pPr>
      <w:r>
        <w:t xml:space="preserve">The minimum score maps to four tiers, which double as governance classifications aligned with the human-in-, over- and out-of-the-loop taxonomy of Singapore’s governance frameworks [115, 116].</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980"/>
        <w:gridCol w:w="1980"/>
        <w:gridCol w:w="1980"/>
        <w:gridCol w:w="1980"/>
      </w:tblGrid>
      <w:tr>
        <w:trPr>
          <w:tblHeader w:val="true"/>
        </w:trPr>
        <w:tc>
          <w:tcPr>
            <w:shd w:val="clear" w:color="auto" w:fill="EEF2F6"/>
          </w:tcPr>
          <w:p>
            <w:pPr>
              <w:pStyle w:val="Compact"/>
              <w:spacing w:after="40"/>
              <w:jc w:val="left"/>
            </w:pPr>
            <w:r>
              <w:rPr>
                <w:rFonts w:ascii="Calibri" w:hAnsi="Calibri"/>
                <w:b/>
                <w:sz w:val="17"/>
              </w:rPr>
              <w:t xml:space="preserve">Tier</w:t>
            </w:r>
          </w:p>
        </w:tc>
        <w:tc>
          <w:tcPr>
            <w:shd w:val="clear" w:color="auto" w:fill="EEF2F6"/>
          </w:tcPr>
          <w:p>
            <w:pPr>
              <w:pStyle w:val="Compact"/>
              <w:spacing w:after="40"/>
              <w:jc w:val="left"/>
            </w:pPr>
            <w:r>
              <w:rPr>
                <w:rFonts w:ascii="Calibri" w:hAnsi="Calibri"/>
                <w:b/>
                <w:sz w:val="17"/>
              </w:rPr>
              <w:t xml:space="preserve">Minimum score</w:t>
            </w:r>
          </w:p>
        </w:tc>
        <w:tc>
          <w:tcPr>
            <w:shd w:val="clear" w:color="auto" w:fill="EEF2F6"/>
          </w:tcPr>
          <w:p>
            <w:pPr>
              <w:pStyle w:val="Compact"/>
              <w:spacing w:after="40"/>
              <w:jc w:val="left"/>
            </w:pPr>
            <w:r>
              <w:rPr>
                <w:rFonts w:ascii="Calibri" w:hAnsi="Calibri"/>
                <w:b/>
                <w:sz w:val="17"/>
              </w:rPr>
              <w:t xml:space="preserve">What is permitted</w:t>
            </w:r>
          </w:p>
        </w:tc>
        <w:tc>
          <w:tcPr>
            <w:shd w:val="clear" w:color="auto" w:fill="EEF2F6"/>
          </w:tcPr>
          <w:p>
            <w:pPr>
              <w:pStyle w:val="Compact"/>
              <w:spacing w:after="40"/>
              <w:jc w:val="left"/>
            </w:pPr>
            <w:r>
              <w:rPr>
                <w:rFonts w:ascii="Calibri" w:hAnsi="Calibri"/>
                <w:b/>
                <w:sz w:val="17"/>
              </w:rPr>
              <w:t xml:space="preserve">Evidence required</w:t>
            </w:r>
          </w:p>
        </w:tc>
      </w:tr>
      <w:tr>
        <w:tc>
          <w:tcPr/>
          <w:p>
            <w:pPr>
              <w:pStyle w:val="Compact"/>
              <w:spacing w:after="40"/>
              <w:jc w:val="left"/>
            </w:pPr>
            <w:r>
              <w:rPr>
                <w:rFonts w:ascii="Calibri" w:hAnsi="Calibri"/>
                <w:sz w:val="17"/>
              </w:rPr>
              <w:t xml:space="preserve">T0 Not ready</w:t>
            </w:r>
          </w:p>
        </w:tc>
        <w:tc>
          <w:tcPr/>
          <w:p>
            <w:pPr>
              <w:pStyle w:val="Compact"/>
              <w:spacing w:after="40"/>
              <w:jc w:val="left"/>
            </w:pPr>
            <w:r>
              <w:rPr>
                <w:rFonts w:ascii="Calibri" w:hAnsi="Calibri"/>
                <w:sz w:val="17"/>
              </w:rPr>
              <w:t xml:space="preserve">0-1</w:t>
            </w:r>
          </w:p>
        </w:tc>
        <w:tc>
          <w:tcPr/>
          <w:p>
            <w:pPr>
              <w:pStyle w:val="Compact"/>
              <w:spacing w:after="40"/>
              <w:jc w:val="left"/>
            </w:pPr>
            <w:r>
              <w:rPr>
                <w:rFonts w:ascii="Calibri" w:hAnsi="Calibri"/>
                <w:sz w:val="17"/>
              </w:rPr>
              <w:t xml:space="preserve">Completion assistants only; no autonomous changes</w:t>
            </w:r>
          </w:p>
        </w:tc>
        <w:tc>
          <w:tcPr/>
          <w:p>
            <w:pPr>
              <w:pStyle w:val="Compact"/>
              <w:spacing w:after="40"/>
              <w:jc w:val="left"/>
            </w:pPr>
            <w:r>
              <w:rPr>
                <w:rFonts w:ascii="Calibri" w:hAnsi="Calibri"/>
                <w:sz w:val="17"/>
              </w:rPr>
              <w:t xml:space="preserve">None beyond inventory entry</w:t>
            </w:r>
          </w:p>
        </w:tc>
      </w:tr>
      <w:tr>
        <w:tc>
          <w:tcPr/>
          <w:p>
            <w:pPr>
              <w:pStyle w:val="Compact"/>
              <w:spacing w:after="40"/>
              <w:jc w:val="left"/>
            </w:pPr>
            <w:r>
              <w:rPr>
                <w:rFonts w:ascii="Calibri" w:hAnsi="Calibri"/>
                <w:sz w:val="17"/>
              </w:rPr>
              <w:t xml:space="preserve">T1 Assisted</w:t>
            </w:r>
          </w:p>
        </w:tc>
        <w:tc>
          <w:tcPr/>
          <w:p>
            <w:pPr>
              <w:pStyle w:val="Compact"/>
              <w:spacing w:after="40"/>
              <w:jc w:val="left"/>
            </w:pPr>
            <w:r>
              <w:rPr>
                <w:rFonts w:ascii="Calibri" w:hAnsi="Calibri"/>
                <w:sz w:val="17"/>
              </w:rPr>
              <w:t xml:space="preserve">2</w:t>
            </w:r>
          </w:p>
        </w:tc>
        <w:tc>
          <w:tcPr/>
          <w:p>
            <w:pPr>
              <w:pStyle w:val="Compact"/>
              <w:spacing w:after="40"/>
              <w:jc w:val="left"/>
            </w:pPr>
            <w:r>
              <w:rPr>
                <w:rFonts w:ascii="Calibri" w:hAnsi="Calibri"/>
                <w:sz w:val="17"/>
              </w:rPr>
              <w:t xml:space="preserve">Agents propose changes; humans verify everything; agent PRs cannot be merged without owner review</w:t>
            </w:r>
          </w:p>
        </w:tc>
        <w:tc>
          <w:tcPr/>
          <w:p>
            <w:pPr>
              <w:pStyle w:val="Compact"/>
              <w:spacing w:after="40"/>
              <w:jc w:val="left"/>
            </w:pPr>
            <w:r>
              <w:rPr>
                <w:rFonts w:ascii="Calibri" w:hAnsi="Calibri"/>
                <w:sz w:val="17"/>
              </w:rPr>
              <w:t xml:space="preserve">R1, R2, R7 at 2 or above</w:t>
            </w:r>
          </w:p>
        </w:tc>
      </w:tr>
      <w:tr>
        <w:tc>
          <w:tcPr/>
          <w:p>
            <w:pPr>
              <w:pStyle w:val="Compact"/>
              <w:spacing w:after="40"/>
              <w:jc w:val="left"/>
            </w:pPr>
            <w:r>
              <w:rPr>
                <w:rFonts w:ascii="Calibri" w:hAnsi="Calibri"/>
                <w:sz w:val="17"/>
              </w:rPr>
              <w:t xml:space="preserve">T2 Delegable with checkpoints</w:t>
            </w:r>
          </w:p>
        </w:tc>
        <w:tc>
          <w:tcPr/>
          <w:p>
            <w:pPr>
              <w:pStyle w:val="Compact"/>
              <w:spacing w:after="40"/>
              <w:jc w:val="left"/>
            </w:pPr>
            <w:r>
              <w:rPr>
                <w:rFonts w:ascii="Calibri" w:hAnsi="Calibri"/>
                <w:sz w:val="17"/>
              </w:rPr>
              <w:t xml:space="preserve">3</w:t>
            </w:r>
          </w:p>
        </w:tc>
        <w:tc>
          <w:tcPr/>
          <w:p>
            <w:pPr>
              <w:pStyle w:val="Compact"/>
              <w:spacing w:after="40"/>
              <w:jc w:val="left"/>
            </w:pPr>
            <w:r>
              <w:rPr>
                <w:rFonts w:ascii="Calibri" w:hAnsi="Calibri"/>
                <w:sz w:val="17"/>
              </w:rPr>
              <w:t xml:space="preserve">Bounded task classes delegated with defined checkpoints for irreversible actions; pass^k above an agreed threshold on the private suite for that class</w:t>
            </w:r>
          </w:p>
        </w:tc>
        <w:tc>
          <w:tcPr/>
          <w:p>
            <w:pPr>
              <w:pStyle w:val="Compact"/>
              <w:spacing w:after="40"/>
              <w:jc w:val="left"/>
            </w:pPr>
            <w:r>
              <w:rPr>
                <w:rFonts w:ascii="Calibri" w:hAnsi="Calibri"/>
                <w:sz w:val="17"/>
              </w:rPr>
              <w:t xml:space="preserve">All dimensions at 3 or above for the class; pass^k evidence</w:t>
            </w:r>
          </w:p>
        </w:tc>
      </w:tr>
      <w:tr>
        <w:tc>
          <w:tcPr/>
          <w:p>
            <w:pPr>
              <w:pStyle w:val="Compact"/>
              <w:spacing w:after="40"/>
              <w:jc w:val="left"/>
            </w:pPr>
            <w:r>
              <w:rPr>
                <w:rFonts w:ascii="Calibri" w:hAnsi="Calibri"/>
                <w:sz w:val="17"/>
              </w:rPr>
              <w:t xml:space="preserve">T3 Autonomous with oversight</w:t>
            </w:r>
          </w:p>
        </w:tc>
        <w:tc>
          <w:tcPr/>
          <w:p>
            <w:pPr>
              <w:pStyle w:val="Compact"/>
              <w:spacing w:after="40"/>
              <w:jc w:val="left"/>
            </w:pPr>
            <w:r>
              <w:rPr>
                <w:rFonts w:ascii="Calibri" w:hAnsi="Calibri"/>
                <w:sz w:val="17"/>
              </w:rPr>
              <w:t xml:space="preserve">4</w:t>
            </w:r>
          </w:p>
        </w:tc>
        <w:tc>
          <w:tcPr/>
          <w:p>
            <w:pPr>
              <w:pStyle w:val="Compact"/>
              <w:spacing w:after="40"/>
              <w:jc w:val="left"/>
            </w:pPr>
            <w:r>
              <w:rPr>
                <w:rFonts w:ascii="Calibri" w:hAnsi="Calibri"/>
                <w:sz w:val="17"/>
              </w:rPr>
              <w:t xml:space="preserve">Long-running or scheduled agent work with monitoring, kill switches and periodic audit</w:t>
            </w:r>
          </w:p>
        </w:tc>
        <w:tc>
          <w:tcPr/>
          <w:p>
            <w:pPr>
              <w:pStyle w:val="Compact"/>
              <w:spacing w:after="40"/>
              <w:jc w:val="left"/>
            </w:pPr>
            <w:r>
              <w:rPr>
                <w:rFonts w:ascii="Calibri" w:hAnsi="Calibri"/>
                <w:sz w:val="17"/>
              </w:rPr>
              <w:t xml:space="preserve">All dimensions at 4; monitoring and audit evidence</w:t>
            </w:r>
          </w:p>
        </w:tc>
      </w:tr>
    </w:tbl>
    <w:p>
      <w:pPr>
        <w:pStyle w:val="BodyText"/>
      </w:pPr>
      <w:r>
        <w:t xml:space="preserve">The threshold for pass^k is a policy choice, but the benchmark literature suggests the order of magnitude: τ-bench reports pass^8 below 25% in its retail domain for a model whose single-shot success was already under 50%, which is why reliability rather than peak performance must govern delegation [113].</w:t>
      </w:r>
    </w:p>
    <w:bookmarkEnd w:id="34"/>
    <w:bookmarkStart w:id="35" w:name="Xb7d4046d5f37eb138db2b51e5ad44526e696333"/>
    <w:p>
      <w:pPr>
        <w:pStyle w:val="Heading3"/>
      </w:pPr>
      <w:r>
        <w:t xml:space="preserve">3.4 From ready repositories to a mature estate</w:t>
      </w:r>
    </w:p>
    <w:p>
      <w:pPr>
        <w:pStyle w:val="FirstParagraph"/>
      </w:pPr>
      <w:r>
        <w:t xml:space="preserve">Readiness is a state of one repository. Maturity is the property of the process that produces and maintains that state across the estate. Following Amershi et al.’s six attributes for any engineering activity (goals defined, consistent, documented, automated, measured, continuously improved) [51] and CMM’s staged levels [11], we define five estate-maturity levels.</w:t>
      </w:r>
    </w:p>
    <w:p>
      <w:pPr>
        <w:pStyle w:val="BodyText"/>
      </w:pPr>
      <w:r>
        <w:rPr>
          <w:bCs/>
          <w:b/>
        </w:rPr>
        <w:t xml:space="preserve">Table 3.2. Estate maturity ladder</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2640"/>
        <w:gridCol w:w="2640"/>
        <w:gridCol w:w="2640"/>
      </w:tblGrid>
      <w:tr>
        <w:trPr>
          <w:tblHeader w:val="true"/>
        </w:trPr>
        <w:tc>
          <w:tcPr>
            <w:shd w:val="clear" w:color="auto" w:fill="EEF2F6"/>
          </w:tcPr>
          <w:p>
            <w:pPr>
              <w:pStyle w:val="Compact"/>
              <w:spacing w:after="40"/>
              <w:jc w:val="left"/>
            </w:pPr>
            <w:r>
              <w:rPr>
                <w:rFonts w:ascii="Calibri" w:hAnsi="Calibri"/>
                <w:b/>
                <w:sz w:val="17"/>
              </w:rPr>
              <w:t xml:space="preserve">Level</w:t>
            </w:r>
          </w:p>
        </w:tc>
        <w:tc>
          <w:tcPr>
            <w:shd w:val="clear" w:color="auto" w:fill="EEF2F6"/>
          </w:tcPr>
          <w:p>
            <w:pPr>
              <w:pStyle w:val="Compact"/>
              <w:spacing w:after="40"/>
              <w:jc w:val="left"/>
            </w:pPr>
            <w:r>
              <w:rPr>
                <w:rFonts w:ascii="Calibri" w:hAnsi="Calibri"/>
                <w:b/>
                <w:sz w:val="17"/>
              </w:rPr>
              <w:t xml:space="preserve">Name</w:t>
            </w:r>
          </w:p>
        </w:tc>
        <w:tc>
          <w:tcPr>
            <w:shd w:val="clear" w:color="auto" w:fill="EEF2F6"/>
          </w:tcPr>
          <w:p>
            <w:pPr>
              <w:pStyle w:val="Compact"/>
              <w:spacing w:after="40"/>
              <w:jc w:val="left"/>
            </w:pPr>
            <w:r>
              <w:rPr>
                <w:rFonts w:ascii="Calibri" w:hAnsi="Calibri"/>
                <w:b/>
                <w:sz w:val="17"/>
              </w:rPr>
              <w:t xml:space="preserve">What is true of the estate</w:t>
            </w:r>
          </w:p>
        </w:tc>
      </w:tr>
      <w:tr>
        <w:tc>
          <w:tcPr/>
          <w:p>
            <w:pPr>
              <w:pStyle w:val="Compact"/>
              <w:spacing w:after="40"/>
              <w:jc w:val="left"/>
            </w:pPr>
            <w:r>
              <w:rPr>
                <w:rFonts w:ascii="Calibri" w:hAnsi="Calibri"/>
                <w:sz w:val="17"/>
              </w:rPr>
              <w:t xml:space="preserve">1</w:t>
            </w:r>
          </w:p>
        </w:tc>
        <w:tc>
          <w:tcPr/>
          <w:p>
            <w:pPr>
              <w:pStyle w:val="Compact"/>
              <w:spacing w:after="40"/>
              <w:jc w:val="left"/>
            </w:pPr>
            <w:r>
              <w:rPr>
                <w:rFonts w:ascii="Calibri" w:hAnsi="Calibri"/>
                <w:sz w:val="17"/>
              </w:rPr>
              <w:t xml:space="preserve">Ad hoc</w:t>
            </w:r>
          </w:p>
        </w:tc>
        <w:tc>
          <w:tcPr/>
          <w:p>
            <w:pPr>
              <w:pStyle w:val="Compact"/>
              <w:spacing w:after="40"/>
              <w:jc w:val="left"/>
            </w:pPr>
            <w:r>
              <w:rPr>
                <w:rFonts w:ascii="Calibri" w:hAnsi="Calibri"/>
                <w:sz w:val="17"/>
              </w:rPr>
              <w:t xml:space="preserve">Individual teams use agents on whatever repositories they own; no inventory; readiness unknown</w:t>
            </w:r>
          </w:p>
        </w:tc>
      </w:tr>
      <w:tr>
        <w:tc>
          <w:tcPr/>
          <w:p>
            <w:pPr>
              <w:pStyle w:val="Compact"/>
              <w:spacing w:after="40"/>
              <w:jc w:val="left"/>
            </w:pPr>
            <w:r>
              <w:rPr>
                <w:rFonts w:ascii="Calibri" w:hAnsi="Calibri"/>
                <w:sz w:val="17"/>
              </w:rPr>
              <w:t xml:space="preserve">2</w:t>
            </w:r>
          </w:p>
        </w:tc>
        <w:tc>
          <w:tcPr/>
          <w:p>
            <w:pPr>
              <w:pStyle w:val="Compact"/>
              <w:spacing w:after="40"/>
              <w:jc w:val="left"/>
            </w:pPr>
            <w:r>
              <w:rPr>
                <w:rFonts w:ascii="Calibri" w:hAnsi="Calibri"/>
                <w:sz w:val="17"/>
              </w:rPr>
              <w:t xml:space="preserve">Inventoried</w:t>
            </w:r>
          </w:p>
        </w:tc>
        <w:tc>
          <w:tcPr/>
          <w:p>
            <w:pPr>
              <w:pStyle w:val="Compact"/>
              <w:spacing w:after="40"/>
              <w:jc w:val="left"/>
            </w:pPr>
            <w:r>
              <w:rPr>
                <w:rFonts w:ascii="Calibri" w:hAnsi="Calibri"/>
                <w:sz w:val="17"/>
              </w:rPr>
              <w:t xml:space="preserve">Every repository is in an inventory with owner, sensitivity tier, harnesses in use and task classes attempted; context files catalogued</w:t>
            </w:r>
          </w:p>
        </w:tc>
      </w:tr>
      <w:tr>
        <w:tc>
          <w:tcPr/>
          <w:p>
            <w:pPr>
              <w:pStyle w:val="Compact"/>
              <w:spacing w:after="40"/>
              <w:jc w:val="left"/>
            </w:pPr>
            <w:r>
              <w:rPr>
                <w:rFonts w:ascii="Calibri" w:hAnsi="Calibri"/>
                <w:sz w:val="17"/>
              </w:rPr>
              <w:t xml:space="preserve">3</w:t>
            </w:r>
          </w:p>
        </w:tc>
        <w:tc>
          <w:tcPr/>
          <w:p>
            <w:pPr>
              <w:pStyle w:val="Compact"/>
              <w:spacing w:after="40"/>
              <w:jc w:val="left"/>
            </w:pPr>
            <w:r>
              <w:rPr>
                <w:rFonts w:ascii="Calibri" w:hAnsi="Calibri"/>
                <w:sz w:val="17"/>
              </w:rPr>
              <w:t xml:space="preserve">Scored</w:t>
            </w:r>
          </w:p>
        </w:tc>
        <w:tc>
          <w:tcPr/>
          <w:p>
            <w:pPr>
              <w:pStyle w:val="Compact"/>
              <w:spacing w:after="40"/>
              <w:jc w:val="left"/>
            </w:pPr>
            <w:r>
              <w:rPr>
                <w:rFonts w:ascii="Calibri" w:hAnsi="Calibri"/>
                <w:sz w:val="17"/>
              </w:rPr>
              <w:t xml:space="preserve">RARM indicators computed automatically for the repositories carrying most agent traffic; tiers assigned; remediation backlog exists; private eval suites for at least the top task classes</w:t>
            </w:r>
          </w:p>
        </w:tc>
      </w:tr>
      <w:tr>
        <w:tc>
          <w:tcPr/>
          <w:p>
            <w:pPr>
              <w:pStyle w:val="Compact"/>
              <w:spacing w:after="40"/>
              <w:jc w:val="left"/>
            </w:pPr>
            <w:r>
              <w:rPr>
                <w:rFonts w:ascii="Calibri" w:hAnsi="Calibri"/>
                <w:sz w:val="17"/>
              </w:rPr>
              <w:t xml:space="preserve">4</w:t>
            </w:r>
          </w:p>
        </w:tc>
        <w:tc>
          <w:tcPr/>
          <w:p>
            <w:pPr>
              <w:pStyle w:val="Compact"/>
              <w:spacing w:after="40"/>
              <w:jc w:val="left"/>
            </w:pPr>
            <w:r>
              <w:rPr>
                <w:rFonts w:ascii="Calibri" w:hAnsi="Calibri"/>
                <w:sz w:val="17"/>
              </w:rPr>
              <w:t xml:space="preserve">Managed</w:t>
            </w:r>
          </w:p>
        </w:tc>
        <w:tc>
          <w:tcPr/>
          <w:p>
            <w:pPr>
              <w:pStyle w:val="Compact"/>
              <w:spacing w:after="40"/>
              <w:jc w:val="left"/>
            </w:pPr>
            <w:r>
              <w:rPr>
                <w:rFonts w:ascii="Calibri" w:hAnsi="Calibri"/>
                <w:sz w:val="17"/>
              </w:rPr>
              <w:t xml:space="preserve">Indicators computed for the whole estate on a schedule; tier changes require evidence; guardrails enforced by platform (rulesets, hooks, identity); effectiveness measured with DORA, quality and cost outcomes per team; regression evals on model or harness change</w:t>
            </w:r>
          </w:p>
        </w:tc>
      </w:tr>
      <w:tr>
        <w:tc>
          <w:tcPr/>
          <w:p>
            <w:pPr>
              <w:pStyle w:val="Compact"/>
              <w:spacing w:after="40"/>
              <w:jc w:val="left"/>
            </w:pPr>
            <w:r>
              <w:rPr>
                <w:rFonts w:ascii="Calibri" w:hAnsi="Calibri"/>
                <w:sz w:val="17"/>
              </w:rPr>
              <w:t xml:space="preserve">5</w:t>
            </w:r>
          </w:p>
        </w:tc>
        <w:tc>
          <w:tcPr/>
          <w:p>
            <w:pPr>
              <w:pStyle w:val="Compact"/>
              <w:spacing w:after="40"/>
              <w:jc w:val="left"/>
            </w:pPr>
            <w:r>
              <w:rPr>
                <w:rFonts w:ascii="Calibri" w:hAnsi="Calibri"/>
                <w:sz w:val="17"/>
              </w:rPr>
              <w:t xml:space="preserve">Optimizing</w:t>
            </w:r>
          </w:p>
        </w:tc>
        <w:tc>
          <w:tcPr/>
          <w:p>
            <w:pPr>
              <w:pStyle w:val="Compact"/>
              <w:spacing w:after="40"/>
              <w:jc w:val="left"/>
            </w:pPr>
            <w:r>
              <w:rPr>
                <w:rFonts w:ascii="Calibri" w:hAnsi="Calibri"/>
                <w:sz w:val="17"/>
              </w:rPr>
              <w:t xml:space="preserve">Remediation prioritized by measured value; readiness telemetry feeds curation of context files and knowledge sources; agents used to raise readiness (setup automation, test generation, documentation currency) under the same gates; external assurance</w:t>
            </w:r>
          </w:p>
        </w:tc>
      </w:tr>
    </w:tbl>
    <w:p>
      <w:pPr>
        <w:pStyle w:val="BodyText"/>
      </w:pPr>
      <w:r>
        <w:t xml:space="preserve">The ladder makes the relationship between the two words precise. An organization can have a handful of ready repositories at level 1 and no ready repositories at level 3; what changes with level is the repeatability and evidential quality of the process, not the state of any single codebase. Level 4 is where regulators’ expectations of inventory, materiality, lifecycle controls and monitoring are met for coding agents (Section 5).</w:t>
      </w:r>
    </w:p>
    <w:bookmarkEnd w:id="35"/>
    <w:bookmarkStart w:id="36" w:name="how-much-readiness-is-enough"/>
    <w:p>
      <w:pPr>
        <w:pStyle w:val="Heading3"/>
      </w:pPr>
      <w:r>
        <w:t xml:space="preserve">3.5 How much readiness is enough</w:t>
      </w:r>
    </w:p>
    <w:p>
      <w:pPr>
        <w:pStyle w:val="FirstParagraph"/>
      </w:pPr>
      <w:r>
        <w:t xml:space="preserve">The evidence gives a rough production function. Executability and verification (R1, R2) are necessary for any autonomous change and account for most of the difference between benchmark configurations [66, 70, 74]. Structure and specification (R3, R4) determine the ceiling on task complexity [86, 104]. Documentation and context files (R5, R6) shift cost and convention adherence more than success rates [94, 97]. Ownership, workflow and guardrails (R7) determine whether the organization is allowed to use what works [107, 116]. Measurement (R8) determines whether anyone can tell. A regular company with a mixed estate should therefore expect its first year of readiness work to be dominated by builds, tests and tickets rather than by prompts, a conclusion Google’s migration report reaches from the other direction: with the estate in place, the bottleneck became</w:t>
      </w:r>
      <w:r>
        <w:t xml:space="preserve"> </w:t>
      </w:r>
      <w:r>
        <w:t xml:space="preserve">“</w:t>
      </w:r>
      <w:r>
        <w:t xml:space="preserve">the speed at which engineers could review the changes</w:t>
      </w:r>
      <w:r>
        <w:t xml:space="preserve">”</w:t>
      </w:r>
      <w:r>
        <w:t xml:space="preserve"> </w:t>
      </w:r>
      <w:r>
        <w:t xml:space="preserve">[117].</w:t>
      </w:r>
    </w:p>
    <w:bookmarkEnd w:id="36"/>
    <w:bookmarkStart w:id="37" w:name="repository-anti-patterns"/>
    <w:p>
      <w:pPr>
        <w:pStyle w:val="Heading3"/>
      </w:pPr>
      <w:r>
        <w:t xml:space="preserve">3.6 Repository anti-patterns</w:t>
      </w:r>
    </w:p>
    <w:p>
      <w:pPr>
        <w:numPr>
          <w:ilvl w:val="0"/>
          <w:numId w:val="1004"/>
        </w:numPr>
        <w:pStyle w:val="Compact"/>
      </w:pPr>
      <w:r>
        <w:rPr>
          <w:bCs/>
          <w:b/>
        </w:rPr>
        <w:t xml:space="preserve">Overview-style context files.</w:t>
      </w:r>
      <w:r>
        <w:t xml:space="preserve"> </w:t>
      </w:r>
      <w:r>
        <w:t xml:space="preserve">Long, generated repository summaries raise cost and do not raise success [97].</w:t>
      </w:r>
    </w:p>
    <w:p>
      <w:pPr>
        <w:numPr>
          <w:ilvl w:val="0"/>
          <w:numId w:val="1004"/>
        </w:numPr>
        <w:pStyle w:val="Compact"/>
      </w:pPr>
      <w:r>
        <w:rPr>
          <w:bCs/>
          <w:b/>
        </w:rPr>
        <w:t xml:space="preserve">Green CI on weak tests.</w:t>
      </w:r>
      <w:r>
        <w:t xml:space="preserve"> </w:t>
      </w:r>
      <w:r>
        <w:t xml:space="preserve">Passing tests that do not exercise the change give agents and reviewers false confidence [75].</w:t>
      </w:r>
    </w:p>
    <w:p>
      <w:pPr>
        <w:numPr>
          <w:ilvl w:val="0"/>
          <w:numId w:val="1004"/>
        </w:numPr>
        <w:pStyle w:val="Compact"/>
      </w:pPr>
      <w:r>
        <w:rPr>
          <w:bCs/>
          <w:b/>
        </w:rPr>
        <w:t xml:space="preserve">Ownerless paths and bypassable rules.</w:t>
      </w:r>
      <w:r>
        <w:t xml:space="preserve"> </w:t>
      </w:r>
      <w:r>
        <w:t xml:space="preserve">Any path without an owner or any ruleset with a broad bypass list is where agent changes will land unreviewed [108, 109].</w:t>
      </w:r>
    </w:p>
    <w:p>
      <w:pPr>
        <w:numPr>
          <w:ilvl w:val="0"/>
          <w:numId w:val="1004"/>
        </w:numPr>
        <w:pStyle w:val="Compact"/>
      </w:pPr>
      <w:r>
        <w:rPr>
          <w:bCs/>
          <w:b/>
        </w:rPr>
        <w:t xml:space="preserve">Setup by folklore.</w:t>
      </w:r>
      <w:r>
        <w:t xml:space="preserve"> </w:t>
      </w:r>
      <w:r>
        <w:t xml:space="preserve">Undocumented system dependencies and unpinned versions are the leading cause of environment failure [66, 67].</w:t>
      </w:r>
    </w:p>
    <w:p>
      <w:pPr>
        <w:numPr>
          <w:ilvl w:val="0"/>
          <w:numId w:val="1004"/>
        </w:numPr>
        <w:pStyle w:val="Compact"/>
      </w:pPr>
      <w:r>
        <w:rPr>
          <w:bCs/>
          <w:b/>
        </w:rPr>
        <w:t xml:space="preserve">Delegating on public benchmarks.</w:t>
      </w:r>
      <w:r>
        <w:t xml:space="preserve"> </w:t>
      </w:r>
      <w:r>
        <w:t xml:space="preserve">Vendor scores on contaminated public suites are not evidence about a private codebase [70, 75].</w:t>
      </w:r>
    </w:p>
    <w:p>
      <w:pPr>
        <w:numPr>
          <w:ilvl w:val="0"/>
          <w:numId w:val="1004"/>
        </w:numPr>
        <w:pStyle w:val="Compact"/>
      </w:pPr>
      <w:r>
        <w:rPr>
          <w:bCs/>
          <w:b/>
        </w:rPr>
        <w:t xml:space="preserve">Measuring exposure.</w:t>
      </w:r>
      <w:r>
        <w:t xml:space="preserve"> </w:t>
      </w:r>
      <w:r>
        <w:t xml:space="preserve">Share of AI-generated code is an input metric; it predicts neither quality nor value [32, 41].</w:t>
      </w:r>
    </w:p>
    <w:bookmarkEnd w:id="37"/>
    <w:bookmarkEnd w:id="38"/>
    <w:bookmarkStart w:id="45" w:name="X0dd1c4292e634f36d0c24acbb9292ccac41f519"/>
    <w:p>
      <w:pPr>
        <w:pStyle w:val="Heading2"/>
      </w:pPr>
      <w:r>
        <w:t xml:space="preserve">4. What the industry has: landscape, academic guidance and deep case studies</w:t>
      </w:r>
    </w:p>
    <w:bookmarkStart w:id="39" w:name="the-landscape-in-one-table"/>
    <w:p>
      <w:pPr>
        <w:pStyle w:val="Heading3"/>
      </w:pPr>
      <w:r>
        <w:t xml:space="preserve">4.1 The landscape in one table</w:t>
      </w:r>
    </w:p>
    <w:p>
      <w:pPr>
        <w:pStyle w:val="FirstParagraph"/>
      </w:pPr>
      <w:r>
        <w:t xml:space="preserve">Table 4.1 places the instruments an organization is likely to encounter against the three levels of Section 1.2. The pattern is consistent: the organizational level is crowded with descriptive models, the repository level has vendor checklists and benchmarks but no scored model, and the estate level between them is empty.</w:t>
      </w:r>
    </w:p>
    <w:p>
      <w:pPr>
        <w:pStyle w:val="BodyText"/>
      </w:pPr>
      <w:r>
        <w:rPr>
          <w:bCs/>
          <w:b/>
        </w:rPr>
        <w:t xml:space="preserve">Table 4.1. Instruments by level</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584"/>
        <w:gridCol w:w="1584"/>
        <w:gridCol w:w="1584"/>
        <w:gridCol w:w="1584"/>
        <w:gridCol w:w="1584"/>
      </w:tblGrid>
      <w:tr>
        <w:trPr>
          <w:tblHeader w:val="true"/>
        </w:trPr>
        <w:tc>
          <w:tcPr>
            <w:shd w:val="clear" w:color="auto" w:fill="EEF2F6"/>
          </w:tcPr>
          <w:p>
            <w:pPr>
              <w:pStyle w:val="Compact"/>
              <w:spacing w:after="40"/>
              <w:jc w:val="left"/>
            </w:pPr>
            <w:r>
              <w:rPr>
                <w:rFonts w:ascii="Calibri" w:hAnsi="Calibri"/>
                <w:b/>
                <w:sz w:val="17"/>
              </w:rPr>
              <w:t xml:space="preserve">Level</w:t>
            </w:r>
          </w:p>
        </w:tc>
        <w:tc>
          <w:tcPr>
            <w:shd w:val="clear" w:color="auto" w:fill="EEF2F6"/>
          </w:tcPr>
          <w:p>
            <w:pPr>
              <w:pStyle w:val="Compact"/>
              <w:spacing w:after="40"/>
              <w:jc w:val="left"/>
            </w:pPr>
            <w:r>
              <w:rPr>
                <w:rFonts w:ascii="Calibri" w:hAnsi="Calibri"/>
                <w:b/>
                <w:sz w:val="17"/>
              </w:rPr>
              <w:t xml:space="preserve">Instrument</w:t>
            </w:r>
          </w:p>
        </w:tc>
        <w:tc>
          <w:tcPr>
            <w:shd w:val="clear" w:color="auto" w:fill="EEF2F6"/>
          </w:tcPr>
          <w:p>
            <w:pPr>
              <w:pStyle w:val="Compact"/>
              <w:spacing w:after="40"/>
              <w:jc w:val="left"/>
            </w:pPr>
            <w:r>
              <w:rPr>
                <w:rFonts w:ascii="Calibri" w:hAnsi="Calibri"/>
                <w:b/>
                <w:sz w:val="17"/>
              </w:rPr>
              <w:t xml:space="preserve">What it scores</w:t>
            </w:r>
          </w:p>
        </w:tc>
        <w:tc>
          <w:tcPr>
            <w:shd w:val="clear" w:color="auto" w:fill="EEF2F6"/>
          </w:tcPr>
          <w:p>
            <w:pPr>
              <w:pStyle w:val="Compact"/>
              <w:spacing w:after="40"/>
              <w:jc w:val="left"/>
            </w:pPr>
            <w:r>
              <w:rPr>
                <w:rFonts w:ascii="Calibri" w:hAnsi="Calibri"/>
                <w:b/>
                <w:sz w:val="17"/>
              </w:rPr>
              <w:t xml:space="preserve">Validation</w:t>
            </w:r>
          </w:p>
        </w:tc>
        <w:tc>
          <w:tcPr>
            <w:shd w:val="clear" w:color="auto" w:fill="EEF2F6"/>
          </w:tcPr>
          <w:p>
            <w:pPr>
              <w:pStyle w:val="Compact"/>
              <w:spacing w:after="40"/>
              <w:jc w:val="left"/>
            </w:pPr>
            <w:r>
              <w:rPr>
                <w:rFonts w:ascii="Calibri" w:hAnsi="Calibri"/>
                <w:b/>
                <w:sz w:val="17"/>
              </w:rPr>
              <w:t xml:space="preserve">Gap for coding agents</w:t>
            </w:r>
          </w:p>
        </w:tc>
      </w:tr>
      <w:tr>
        <w:tc>
          <w:tcPr/>
          <w:p>
            <w:pPr>
              <w:pStyle w:val="Compact"/>
              <w:spacing w:after="40"/>
              <w:jc w:val="left"/>
            </w:pPr>
            <w:r>
              <w:rPr>
                <w:rFonts w:ascii="Calibri" w:hAnsi="Calibri"/>
                <w:sz w:val="17"/>
              </w:rPr>
              <w:t xml:space="preserve">Organization</w:t>
            </w:r>
          </w:p>
        </w:tc>
        <w:tc>
          <w:tcPr/>
          <w:p>
            <w:pPr>
              <w:pStyle w:val="Compact"/>
              <w:spacing w:after="40"/>
              <w:jc w:val="left"/>
            </w:pPr>
            <w:r>
              <w:rPr>
                <w:rFonts w:ascii="Calibri" w:hAnsi="Calibri"/>
                <w:sz w:val="17"/>
              </w:rPr>
              <w:t xml:space="preserve">Gartner AI Maturity Model (5 levels, 7 pillars) [46]; MIT CISR (4 stages) [26]; BCG future-built segments [16]; Accenture AI Achievers [49]; MITRE AI MM [118]</w:t>
            </w:r>
          </w:p>
        </w:tc>
        <w:tc>
          <w:tcPr/>
          <w:p>
            <w:pPr>
              <w:pStyle w:val="Compact"/>
              <w:spacing w:after="40"/>
              <w:jc w:val="left"/>
            </w:pPr>
            <w:r>
              <w:rPr>
                <w:rFonts w:ascii="Calibri" w:hAnsi="Calibri"/>
                <w:sz w:val="17"/>
              </w:rPr>
              <w:t xml:space="preserve">Strategy, data, governance, people, operating model, value</w:t>
            </w:r>
          </w:p>
        </w:tc>
        <w:tc>
          <w:tcPr/>
          <w:p>
            <w:pPr>
              <w:pStyle w:val="Compact"/>
              <w:spacing w:after="40"/>
              <w:jc w:val="left"/>
            </w:pPr>
            <w:r>
              <w:rPr>
                <w:rFonts w:ascii="Calibri" w:hAnsi="Calibri"/>
                <w:sz w:val="17"/>
              </w:rPr>
              <w:t xml:space="preserve">Self-reported staging; MIT CISR, BCG and Accenture link stage to financial deltas</w:t>
            </w:r>
          </w:p>
        </w:tc>
        <w:tc>
          <w:tcPr/>
          <w:p>
            <w:pPr>
              <w:pStyle w:val="Compact"/>
              <w:spacing w:after="40"/>
              <w:jc w:val="left"/>
            </w:pPr>
            <w:r>
              <w:rPr>
                <w:rFonts w:ascii="Calibri" w:hAnsi="Calibri"/>
                <w:sz w:val="17"/>
              </w:rPr>
              <w:t xml:space="preserve">No engineering-estate dimension beyond a generic</w:t>
            </w:r>
            <w:r>
              <w:rPr>
                <w:rFonts w:ascii="Calibri" w:hAnsi="Calibri"/>
                <w:sz w:val="17"/>
              </w:rPr>
              <w:t xml:space="preserve"> </w:t>
            </w:r>
            <w:r>
              <w:rPr>
                <w:rFonts w:ascii="Calibri" w:hAnsi="Calibri"/>
                <w:sz w:val="17"/>
              </w:rPr>
              <w:t xml:space="preserve">“</w:t>
            </w:r>
            <w:r>
              <w:rPr>
                <w:rFonts w:ascii="Calibri" w:hAnsi="Calibri"/>
                <w:sz w:val="17"/>
              </w:rPr>
              <w:t xml:space="preserve">engineering</w:t>
            </w:r>
            <w:r>
              <w:rPr>
                <w:rFonts w:ascii="Calibri" w:hAnsi="Calibri"/>
                <w:sz w:val="17"/>
              </w:rPr>
              <w:t xml:space="preserve">”</w:t>
            </w:r>
            <w:r>
              <w:rPr>
                <w:rFonts w:ascii="Calibri" w:hAnsi="Calibri"/>
                <w:sz w:val="17"/>
              </w:rPr>
              <w:t xml:space="preserve"> </w:t>
            </w:r>
            <w:r>
              <w:rPr>
                <w:rFonts w:ascii="Calibri" w:hAnsi="Calibri"/>
                <w:sz w:val="17"/>
              </w:rPr>
              <w:t xml:space="preserve">pillar</w:t>
            </w:r>
          </w:p>
        </w:tc>
      </w:tr>
      <w:tr>
        <w:tc>
          <w:tcPr/>
          <w:p>
            <w:pPr>
              <w:pStyle w:val="Compact"/>
              <w:spacing w:after="40"/>
              <w:jc w:val="left"/>
            </w:pPr>
            <w:r>
              <w:rPr>
                <w:rFonts w:ascii="Calibri" w:hAnsi="Calibri"/>
                <w:sz w:val="17"/>
              </w:rPr>
              <w:t xml:space="preserve">Organization (agents)</w:t>
            </w:r>
          </w:p>
        </w:tc>
        <w:tc>
          <w:tcPr/>
          <w:p>
            <w:pPr>
              <w:pStyle w:val="Compact"/>
              <w:spacing w:after="40"/>
              <w:jc w:val="left"/>
            </w:pPr>
            <w:r>
              <w:rPr>
                <w:rFonts w:ascii="Calibri" w:hAnsi="Calibri"/>
                <w:sz w:val="17"/>
              </w:rPr>
              <w:t xml:space="preserve">Microsoft Agentic AI adoption maturity model (levels 100-500) [47]; Salesforce Agentic Maturity Model (autonomy ladder) [48]; Microsoft Work Trend Index phases [119]</w:t>
            </w:r>
          </w:p>
        </w:tc>
        <w:tc>
          <w:tcPr/>
          <w:p>
            <w:pPr>
              <w:pStyle w:val="Compact"/>
              <w:spacing w:after="40"/>
              <w:jc w:val="left"/>
            </w:pPr>
            <w:r>
              <w:rPr>
                <w:rFonts w:ascii="Calibri" w:hAnsi="Calibri"/>
                <w:sz w:val="17"/>
              </w:rPr>
              <w:t xml:space="preserve">Governance, security, technology, culture; autonomy</w:t>
            </w:r>
          </w:p>
        </w:tc>
        <w:tc>
          <w:tcPr/>
          <w:p>
            <w:pPr>
              <w:pStyle w:val="Compact"/>
              <w:spacing w:after="40"/>
              <w:jc w:val="left"/>
            </w:pPr>
            <w:r>
              <w:rPr>
                <w:rFonts w:ascii="Calibri" w:hAnsi="Calibri"/>
                <w:sz w:val="17"/>
              </w:rPr>
              <w:t xml:space="preserve">None published</w:t>
            </w:r>
          </w:p>
        </w:tc>
        <w:tc>
          <w:tcPr/>
          <w:p>
            <w:pPr>
              <w:pStyle w:val="Compact"/>
              <w:spacing w:after="40"/>
              <w:jc w:val="left"/>
            </w:pPr>
            <w:r>
              <w:rPr>
                <w:rFonts w:ascii="Calibri" w:hAnsi="Calibri"/>
                <w:sz w:val="17"/>
              </w:rPr>
              <w:t xml:space="preserve">Autonomy ladders without estate preconditions</w:t>
            </w:r>
          </w:p>
        </w:tc>
      </w:tr>
      <w:tr>
        <w:tc>
          <w:tcPr/>
          <w:p>
            <w:pPr>
              <w:pStyle w:val="Compact"/>
              <w:spacing w:after="40"/>
              <w:jc w:val="left"/>
            </w:pPr>
            <w:r>
              <w:rPr>
                <w:rFonts w:ascii="Calibri" w:hAnsi="Calibri"/>
                <w:sz w:val="17"/>
              </w:rPr>
              <w:t xml:space="preserve">Organization (governance)</w:t>
            </w:r>
          </w:p>
        </w:tc>
        <w:tc>
          <w:tcPr/>
          <w:p>
            <w:pPr>
              <w:pStyle w:val="Compact"/>
              <w:spacing w:after="40"/>
              <w:jc w:val="left"/>
            </w:pPr>
            <w:r>
              <w:rPr>
                <w:rFonts w:ascii="Calibri" w:hAnsi="Calibri"/>
                <w:sz w:val="17"/>
              </w:rPr>
              <w:t xml:space="preserve">NIST AI RMF and GenAI profile [120, 121]; ISO/IEC 42001 [122]; FINOS AI Governance Framework v2 [56]; MAS proposed AI risk guidelines [59]; IMDA agentic framework [116]</w:t>
            </w:r>
          </w:p>
        </w:tc>
        <w:tc>
          <w:tcPr/>
          <w:p>
            <w:pPr>
              <w:pStyle w:val="Compact"/>
              <w:spacing w:after="40"/>
              <w:jc w:val="left"/>
            </w:pPr>
            <w:r>
              <w:rPr>
                <w:rFonts w:ascii="Calibri" w:hAnsi="Calibri"/>
                <w:sz w:val="17"/>
              </w:rPr>
              <w:t xml:space="preserve">Inventory, materiality, lifecycle controls, third-party, human oversight, agent-specific risks</w:t>
            </w:r>
          </w:p>
        </w:tc>
        <w:tc>
          <w:tcPr/>
          <w:p>
            <w:pPr>
              <w:pStyle w:val="Compact"/>
              <w:spacing w:after="40"/>
              <w:jc w:val="left"/>
            </w:pPr>
            <w:r>
              <w:rPr>
                <w:rFonts w:ascii="Calibri" w:hAnsi="Calibri"/>
                <w:sz w:val="17"/>
              </w:rPr>
              <w:t xml:space="preserve">Regulatory or standards consensus</w:t>
            </w:r>
          </w:p>
        </w:tc>
        <w:tc>
          <w:tcPr/>
          <w:p>
            <w:pPr>
              <w:pStyle w:val="Compact"/>
              <w:spacing w:after="40"/>
              <w:jc w:val="left"/>
            </w:pPr>
            <w:r>
              <w:rPr>
                <w:rFonts w:ascii="Calibri" w:hAnsi="Calibri"/>
                <w:sz w:val="17"/>
              </w:rPr>
              <w:t xml:space="preserve">Specify evidence, not repository state</w:t>
            </w:r>
          </w:p>
        </w:tc>
      </w:tr>
      <w:tr>
        <w:tc>
          <w:tcPr/>
          <w:p>
            <w:pPr>
              <w:pStyle w:val="Compact"/>
              <w:spacing w:after="40"/>
              <w:jc w:val="left"/>
            </w:pPr>
            <w:r>
              <w:rPr>
                <w:rFonts w:ascii="Calibri" w:hAnsi="Calibri"/>
                <w:sz w:val="17"/>
              </w:rPr>
              <w:t xml:space="preserve">Team / delivery</w:t>
            </w:r>
          </w:p>
        </w:tc>
        <w:tc>
          <w:tcPr/>
          <w:p>
            <w:pPr>
              <w:pStyle w:val="Compact"/>
              <w:spacing w:after="40"/>
              <w:jc w:val="left"/>
            </w:pPr>
            <w:r>
              <w:rPr>
                <w:rFonts w:ascii="Calibri" w:hAnsi="Calibri"/>
                <w:sz w:val="17"/>
              </w:rPr>
              <w:t xml:space="preserve">DORA five metrics and 2025 AI Capabilities Model [8, 123]; SPACE [124]; DX Core 4 and AI Measurement Framework [125]</w:t>
            </w:r>
          </w:p>
        </w:tc>
        <w:tc>
          <w:tcPr/>
          <w:p>
            <w:pPr>
              <w:pStyle w:val="Compact"/>
              <w:spacing w:after="40"/>
              <w:jc w:val="left"/>
            </w:pPr>
            <w:r>
              <w:rPr>
                <w:rFonts w:ascii="Calibri" w:hAnsi="Calibri"/>
                <w:sz w:val="17"/>
              </w:rPr>
              <w:t xml:space="preserve">Throughput, stability, experience; seven AI-conditioning capabilities incl. AI-accessible internal data [126]</w:t>
            </w:r>
          </w:p>
        </w:tc>
        <w:tc>
          <w:tcPr/>
          <w:p>
            <w:pPr>
              <w:pStyle w:val="Compact"/>
              <w:spacing w:after="40"/>
              <w:jc w:val="left"/>
            </w:pPr>
            <w:r>
              <w:rPr>
                <w:rFonts w:ascii="Calibri" w:hAnsi="Calibri"/>
                <w:sz w:val="17"/>
              </w:rPr>
              <w:t xml:space="preserve">Survey-based; correlational</w:t>
            </w:r>
          </w:p>
        </w:tc>
        <w:tc>
          <w:tcPr/>
          <w:p>
            <w:pPr>
              <w:pStyle w:val="Compact"/>
              <w:spacing w:after="40"/>
              <w:jc w:val="left"/>
            </w:pPr>
            <w:r>
              <w:rPr>
                <w:rFonts w:ascii="Calibri" w:hAnsi="Calibri"/>
                <w:sz w:val="17"/>
              </w:rPr>
              <w:t xml:space="preserve">Team constructs, not per-repository indicators</w:t>
            </w:r>
          </w:p>
        </w:tc>
      </w:tr>
      <w:tr>
        <w:tc>
          <w:tcPr/>
          <w:p>
            <w:pPr>
              <w:pStyle w:val="Compact"/>
              <w:spacing w:after="40"/>
              <w:jc w:val="left"/>
            </w:pPr>
            <w:r>
              <w:rPr>
                <w:rFonts w:ascii="Calibri" w:hAnsi="Calibri"/>
                <w:sz w:val="17"/>
              </w:rPr>
              <w:t xml:space="preserve">Model / system</w:t>
            </w:r>
          </w:p>
        </w:tc>
        <w:tc>
          <w:tcPr/>
          <w:p>
            <w:pPr>
              <w:pStyle w:val="Compact"/>
              <w:spacing w:after="40"/>
              <w:jc w:val="left"/>
            </w:pPr>
            <w:r>
              <w:rPr>
                <w:rFonts w:ascii="Calibri" w:hAnsi="Calibri"/>
                <w:sz w:val="17"/>
              </w:rPr>
              <w:t xml:space="preserve">ML Test Score [50]; Amershi Activity Maturity Index [51]; MLOps levels [127, 128]; Data Readiness Levels [10]</w:t>
            </w:r>
          </w:p>
        </w:tc>
        <w:tc>
          <w:tcPr/>
          <w:p>
            <w:pPr>
              <w:pStyle w:val="Compact"/>
              <w:spacing w:after="40"/>
              <w:jc w:val="left"/>
            </w:pPr>
            <w:r>
              <w:rPr>
                <w:rFonts w:ascii="Calibri" w:hAnsi="Calibri"/>
                <w:sz w:val="17"/>
              </w:rPr>
              <w:t xml:space="preserve">Production readiness of ML systems</w:t>
            </w:r>
          </w:p>
        </w:tc>
        <w:tc>
          <w:tcPr/>
          <w:p>
            <w:pPr>
              <w:pStyle w:val="Compact"/>
              <w:spacing w:after="40"/>
              <w:jc w:val="left"/>
            </w:pPr>
            <w:r>
              <w:rPr>
                <w:rFonts w:ascii="Calibri" w:hAnsi="Calibri"/>
                <w:sz w:val="17"/>
              </w:rPr>
              <w:t xml:space="preserve">Scored rubrics; AMI correlates with effectiveness</w:t>
            </w:r>
          </w:p>
        </w:tc>
        <w:tc>
          <w:tcPr/>
          <w:p>
            <w:pPr>
              <w:pStyle w:val="Compact"/>
              <w:spacing w:after="40"/>
              <w:jc w:val="left"/>
            </w:pPr>
            <w:r>
              <w:rPr>
                <w:rFonts w:ascii="Calibri" w:hAnsi="Calibri"/>
                <w:sz w:val="17"/>
              </w:rPr>
              <w:t xml:space="preserve">Written for models, not codebases; the scoring designs transfer</w:t>
            </w:r>
          </w:p>
        </w:tc>
      </w:tr>
      <w:tr>
        <w:tc>
          <w:tcPr/>
          <w:p>
            <w:pPr>
              <w:pStyle w:val="Compact"/>
              <w:spacing w:after="40"/>
              <w:jc w:val="left"/>
            </w:pPr>
            <w:r>
              <w:rPr>
                <w:rFonts w:ascii="Calibri" w:hAnsi="Calibri"/>
                <w:sz w:val="17"/>
              </w:rPr>
              <w:t xml:space="preserve">Repository</w:t>
            </w:r>
          </w:p>
        </w:tc>
        <w:tc>
          <w:tcPr/>
          <w:p>
            <w:pPr>
              <w:pStyle w:val="Compact"/>
              <w:spacing w:after="40"/>
              <w:jc w:val="left"/>
            </w:pPr>
            <w:r>
              <w:rPr>
                <w:rFonts w:ascii="Calibri" w:hAnsi="Calibri"/>
                <w:sz w:val="17"/>
              </w:rPr>
              <w:t xml:space="preserve">OpenSSF Scorecard (18 security checks) [114]; Sonar AI Code Assurance gate [111]; CodeScene code health [90]; vendor agent-readiness guidance from GitHub, Anthropic, OpenAI, Cognition [14, 71, 72, 100]; Thoughtworks radar blips [91, 98]</w:t>
            </w:r>
          </w:p>
        </w:tc>
        <w:tc>
          <w:tcPr/>
          <w:p>
            <w:pPr>
              <w:pStyle w:val="Compact"/>
              <w:spacing w:after="40"/>
              <w:jc w:val="left"/>
            </w:pPr>
            <w:r>
              <w:rPr>
                <w:rFonts w:ascii="Calibri" w:hAnsi="Calibri"/>
                <w:sz w:val="17"/>
              </w:rPr>
              <w:t xml:space="preserve">Security posture; AI-code quality gate; maintainability; setup, instructions, guardrails</w:t>
            </w:r>
          </w:p>
        </w:tc>
        <w:tc>
          <w:tcPr/>
          <w:p>
            <w:pPr>
              <w:pStyle w:val="Compact"/>
              <w:spacing w:after="40"/>
              <w:jc w:val="left"/>
            </w:pPr>
            <w:r>
              <w:rPr>
                <w:rFonts w:ascii="Calibri" w:hAnsi="Calibri"/>
                <w:sz w:val="17"/>
              </w:rPr>
              <w:t xml:space="preserve">Scorecard and CodeScene empirically studied; vendor guidance experiential</w:t>
            </w:r>
          </w:p>
        </w:tc>
        <w:tc>
          <w:tcPr/>
          <w:p>
            <w:pPr>
              <w:pStyle w:val="Compact"/>
              <w:spacing w:after="40"/>
              <w:jc w:val="left"/>
            </w:pPr>
            <w:r>
              <w:rPr>
                <w:rFonts w:ascii="Calibri" w:hAnsi="Calibri"/>
                <w:sz w:val="17"/>
              </w:rPr>
              <w:t xml:space="preserve">Partial and unconnected; no readiness score or tiering</w:t>
            </w:r>
          </w:p>
        </w:tc>
      </w:tr>
      <w:tr>
        <w:tc>
          <w:tcPr/>
          <w:p>
            <w:pPr>
              <w:pStyle w:val="Compact"/>
              <w:spacing w:after="40"/>
              <w:jc w:val="left"/>
            </w:pPr>
            <w:r>
              <w:rPr>
                <w:rFonts w:ascii="Calibri" w:hAnsi="Calibri"/>
                <w:sz w:val="17"/>
              </w:rPr>
              <w:t xml:space="preserve">Task / agent</w:t>
            </w:r>
          </w:p>
        </w:tc>
        <w:tc>
          <w:tcPr/>
          <w:p>
            <w:pPr>
              <w:pStyle w:val="Compact"/>
              <w:spacing w:after="40"/>
              <w:jc w:val="left"/>
            </w:pPr>
            <w:r>
              <w:rPr>
                <w:rFonts w:ascii="Calibri" w:hAnsi="Calibri"/>
                <w:sz w:val="17"/>
              </w:rPr>
              <w:t xml:space="preserve">SWE-bench family, Terminal-Bench, τ-bench [74, 85, 104, 113, 129]; environment-setup benchmarks [66, 68, 69]</w:t>
            </w:r>
          </w:p>
        </w:tc>
        <w:tc>
          <w:tcPr/>
          <w:p>
            <w:pPr>
              <w:pStyle w:val="Compact"/>
              <w:spacing w:after="40"/>
              <w:jc w:val="left"/>
            </w:pPr>
            <w:r>
              <w:rPr>
                <w:rFonts w:ascii="Calibri" w:hAnsi="Calibri"/>
                <w:sz w:val="17"/>
              </w:rPr>
              <w:t xml:space="preserve">Agent capability on public tasks</w:t>
            </w:r>
          </w:p>
        </w:tc>
        <w:tc>
          <w:tcPr/>
          <w:p>
            <w:pPr>
              <w:pStyle w:val="Compact"/>
              <w:spacing w:after="40"/>
              <w:jc w:val="left"/>
            </w:pPr>
            <w:r>
              <w:rPr>
                <w:rFonts w:ascii="Calibri" w:hAnsi="Calibri"/>
                <w:sz w:val="17"/>
              </w:rPr>
              <w:t xml:space="preserve">Rigorous but contaminated and infrastructure-sensitive [70, 75]</w:t>
            </w:r>
          </w:p>
        </w:tc>
        <w:tc>
          <w:tcPr/>
          <w:p>
            <w:pPr>
              <w:pStyle w:val="Compact"/>
              <w:spacing w:after="40"/>
              <w:jc w:val="left"/>
            </w:pPr>
            <w:r>
              <w:rPr>
                <w:rFonts w:ascii="Calibri" w:hAnsi="Calibri"/>
                <w:sz w:val="17"/>
              </w:rPr>
              <w:t xml:space="preserve">Not about the enterprise’s own repositories</w:t>
            </w:r>
          </w:p>
        </w:tc>
      </w:tr>
    </w:tbl>
    <w:bookmarkEnd w:id="39"/>
    <w:bookmarkStart w:id="40" w:name="academic-guidance"/>
    <w:p>
      <w:pPr>
        <w:pStyle w:val="Heading3"/>
      </w:pPr>
      <w:r>
        <w:t xml:space="preserve">4.2 Academic guidance</w:t>
      </w:r>
    </w:p>
    <w:p>
      <w:pPr>
        <w:pStyle w:val="FirstParagraph"/>
      </w:pPr>
      <w:r>
        <w:t xml:space="preserve">Four strands of academic work bear directly on the design of a repository readiness model.</w:t>
      </w:r>
    </w:p>
    <w:p>
      <w:pPr>
        <w:pStyle w:val="BodyText"/>
      </w:pPr>
      <w:r>
        <w:rPr>
          <w:bCs/>
          <w:b/>
        </w:rPr>
        <w:t xml:space="preserve">How to build a defensible model.</w:t>
      </w:r>
      <w:r>
        <w:t xml:space="preserve"> </w:t>
      </w:r>
      <w:r>
        <w:t xml:space="preserve">de Bruin et al.’s phases (scope, design, populate, test, deploy, maintain) [130], Becker et al.’s eight requirements [43] and Pöppelbuß and Röglinger’s principles for descriptive and prescriptive use [44] are the checklist RARM was written against; Mettler’s warning about bureaucracy without theory is the standing caveat [131]. The AI-specific literature adds that readiness is purpose-specific (Jöhnk et al.’s five categories and 58 indicators) [9], that capability is the ability</w:t>
      </w:r>
      <w:r>
        <w:t xml:space="preserve"> </w:t>
      </w:r>
      <w:r>
        <w:t xml:space="preserve">“</w:t>
      </w:r>
      <w:r>
        <w:t xml:space="preserve">to select, orchestrate, and leverage</w:t>
      </w:r>
      <w:r>
        <w:t xml:space="preserve">”</w:t>
      </w:r>
      <w:r>
        <w:t xml:space="preserve"> </w:t>
      </w:r>
      <w:r>
        <w:t xml:space="preserve">resources rather than their possession [132], that lower technology-readiness levels demand greater organizational readiness [133], and that readiness is</w:t>
      </w:r>
      <w:r>
        <w:t xml:space="preserve"> </w:t>
      </w:r>
      <w:r>
        <w:t xml:space="preserve">“</w:t>
      </w:r>
      <w:r>
        <w:t xml:space="preserve">a degree,</w:t>
      </w:r>
      <w:r>
        <w:t xml:space="preserve">”</w:t>
      </w:r>
      <w:r>
        <w:t xml:space="preserve"> </w:t>
      </w:r>
      <w:r>
        <w:t xml:space="preserve">not a binary [134]. Sadiq et al.’s finding that fewer than half of AI maturity models are validated is the number that should discipline any new proposal, including this one [45].</w:t>
      </w:r>
    </w:p>
    <w:p>
      <w:pPr>
        <w:pStyle w:val="BodyText"/>
      </w:pPr>
      <w:r>
        <w:rPr>
          <w:bCs/>
          <w:b/>
        </w:rPr>
        <w:t xml:space="preserve">What makes code changeable.</w:t>
      </w:r>
      <w:r>
        <w:t xml:space="preserve"> </w:t>
      </w:r>
      <w:r>
        <w:t xml:space="preserve">The empirical software-engineering literature predates agents but predicts their behaviour. Ownership concentration predicts defects [107]; low code health multiplies defects fifteenfold and time-to-change by 2.24 [90]; flaky tests are pervasive and have identifiable root causes [76, 77]; documentation is chronically incomplete on purpose and status [95]; and the monorepo trade-offs are visibility and atomic refactoring against tooling investment [92, 93]. Google’s engineering-productivity research adds a scoring template, the six attributes of a mature activity [51], and its static-analysis lessons show that findings surfaced at review time are acted on while findings elsewhere are ignored [79].</w:t>
      </w:r>
    </w:p>
    <w:p>
      <w:pPr>
        <w:pStyle w:val="BodyText"/>
      </w:pPr>
      <w:r>
        <w:rPr>
          <w:bCs/>
          <w:b/>
        </w:rPr>
        <w:t xml:space="preserve">What agents need.</w:t>
      </w:r>
      <w:r>
        <w:t xml:space="preserve"> </w:t>
      </w:r>
      <w:r>
        <w:t xml:space="preserve">Context engineering is now a research field (a 2025 survey covers 1,411 papers) [135]; long-context degradation is replicated across model families [102, 103]; documentation retrieval helps [94]; repository graphs help [88]; instruction files help only when short and prescriptive [97]; and the agentic software engineering roadmap defines briefing, mentoring and merge-readiness as first-class engineering activities [136, 137]. The vibe-coding ethnography finds that expertise is</w:t>
      </w:r>
      <w:r>
        <w:t xml:space="preserve"> </w:t>
      </w:r>
      <w:r>
        <w:t xml:space="preserve">“</w:t>
      </w:r>
      <w:r>
        <w:t xml:space="preserve">redistributed toward context management</w:t>
      </w:r>
      <w:r>
        <w:t xml:space="preserve">”</w:t>
      </w:r>
      <w:r>
        <w:t xml:space="preserve"> </w:t>
      </w:r>
      <w:r>
        <w:t xml:space="preserve">rather than eliminated [138].</w:t>
      </w:r>
    </w:p>
    <w:p>
      <w:pPr>
        <w:pStyle w:val="BodyText"/>
      </w:pPr>
      <w:r>
        <w:rPr>
          <w:bCs/>
          <w:b/>
        </w:rPr>
        <w:t xml:space="preserve">How to measure effect.</w:t>
      </w:r>
      <w:r>
        <w:t xml:space="preserve"> </w:t>
      </w:r>
      <w:r>
        <w:t xml:space="preserve">Randomized field experiments rank highest [4, 5, 30], with heterogeneity by experience, task and codebase as the consistent finding; large-N vendor telemetry is directionally useful and observational [34-36]; surveys measure trust and sentiment [8, 42]; and METR’s task-substitution note bounds what any task-level speedup can say about value [32].</w:t>
      </w:r>
    </w:p>
    <w:bookmarkEnd w:id="40"/>
    <w:bookmarkStart w:id="41" w:name="deep-case-study-google"/>
    <w:p>
      <w:pPr>
        <w:pStyle w:val="Heading3"/>
      </w:pPr>
      <w:r>
        <w:t xml:space="preserve">4.3 Deep case study: Google</w:t>
      </w:r>
    </w:p>
    <w:p>
      <w:pPr>
        <w:pStyle w:val="FirstParagraph"/>
      </w:pPr>
      <w:r>
        <w:t xml:space="preserve">Google is the clearest public example of an engineering estate that was AI-ready before AI-assisted engineering existed, and of an organization that measures the effect with engineering-productivity research rather than usage counts. Every fact below is from a Google publication or a peer-reviewed paper by Google authors.</w:t>
      </w:r>
    </w:p>
    <w:p>
      <w:pPr>
        <w:pStyle w:val="BodyText"/>
      </w:pPr>
      <w:r>
        <w:rPr>
          <w:bCs/>
          <w:b/>
        </w:rPr>
        <w:t xml:space="preserve">The estate.</w:t>
      </w:r>
      <w:r>
        <w:t xml:space="preserve"> </w:t>
      </w:r>
      <w:r>
        <w:t xml:space="preserve">Google keeps most of its code in a single repository served by Piper,</w:t>
      </w:r>
      <w:r>
        <w:t xml:space="preserve"> </w:t>
      </w:r>
      <w:r>
        <w:t xml:space="preserve">“</w:t>
      </w:r>
      <w:r>
        <w:t xml:space="preserve">a common source of truth for tens of thousands of developers</w:t>
      </w:r>
      <w:r>
        <w:t xml:space="preserve">”</w:t>
      </w:r>
      <w:r>
        <w:t xml:space="preserve"> </w:t>
      </w:r>
      <w:r>
        <w:t xml:space="preserve">holding</w:t>
      </w:r>
      <w:r>
        <w:t xml:space="preserve"> </w:t>
      </w:r>
      <w:r>
        <w:t xml:space="preserve">“</w:t>
      </w:r>
      <w:r>
        <w:t xml:space="preserve">billions of lines of code</w:t>
      </w:r>
      <w:r>
        <w:t xml:space="preserve">”</w:t>
      </w:r>
      <w:r>
        <w:t xml:space="preserve"> </w:t>
      </w:r>
      <w:r>
        <w:t xml:space="preserve">[92]; the monorepo’s advantages (visibility, atomic changes, dependency management) and costs (tooling investment) are documented in a 2018 case study [93].</w:t>
      </w:r>
      <w:r>
        <w:t xml:space="preserve"> </w:t>
      </w:r>
      <w:r>
        <w:t xml:space="preserve">“</w:t>
      </w:r>
      <w:r>
        <w:t xml:space="preserve">Essentially every change is reviewed before being committed,</w:t>
      </w:r>
      <w:r>
        <w:t xml:space="preserve">”</w:t>
      </w:r>
      <w:r>
        <w:t xml:space="preserve"> </w:t>
      </w:r>
      <w:r>
        <w:t xml:space="preserve">readability approvals are granted only to engineers certified in a language, and</w:t>
      </w:r>
      <w:r>
        <w:t xml:space="preserve"> </w:t>
      </w:r>
      <w:r>
        <w:t xml:space="preserve">“</w:t>
      </w:r>
      <w:r>
        <w:t xml:space="preserve">only one LGTM is required by default</w:t>
      </w:r>
      <w:r>
        <w:t xml:space="preserve">”</w:t>
      </w:r>
      <w:r>
        <w:t xml:space="preserve"> </w:t>
      </w:r>
      <w:r>
        <w:t xml:space="preserve">[78]; the review system was studied across 9 million reviewed changes [139]. Static analysis is integrated into that review flow: Tricorder runs more than 100 analyzers, reviewers click</w:t>
      </w:r>
      <w:r>
        <w:t xml:space="preserve"> </w:t>
      </w:r>
      <w:r>
        <w:t xml:space="preserve">“</w:t>
      </w:r>
      <w:r>
        <w:t xml:space="preserve">Please Fix</w:t>
      </w:r>
      <w:r>
        <w:t xml:space="preserve">”</w:t>
      </w:r>
      <w:r>
        <w:t xml:space="preserve"> </w:t>
      </w:r>
      <w:r>
        <w:t xml:space="preserve">thousands of times a day, authors apply automated fixes about 3,000 times a day, and the effective false-positive rate is just under 5% [78, 79, 140]. Continuous integration (TAP) handles more than 50,000 unique changes and 4 billion test cases a day, with presubmit reserved for</w:t>
      </w:r>
      <w:r>
        <w:t xml:space="preserve"> </w:t>
      </w:r>
      <w:r>
        <w:t xml:space="preserve">“</w:t>
      </w:r>
      <w:r>
        <w:t xml:space="preserve">fast, reliable</w:t>
      </w:r>
      <w:r>
        <w:t xml:space="preserve">”</w:t>
      </w:r>
      <w:r>
        <w:t xml:space="preserve"> </w:t>
      </w:r>
      <w:r>
        <w:t xml:space="preserve">tests and hermetic test environments with</w:t>
      </w:r>
      <w:r>
        <w:t xml:space="preserve"> </w:t>
      </w:r>
      <w:r>
        <w:t xml:space="preserve">“</w:t>
      </w:r>
      <w:r>
        <w:t xml:space="preserve">no external dependencies like production backends</w:t>
      </w:r>
      <w:r>
        <w:t xml:space="preserve">”</w:t>
      </w:r>
      <w:r>
        <w:t xml:space="preserve"> </w:t>
      </w:r>
      <w:r>
        <w:t xml:space="preserve">[78, 141]. Flakiness is managed as an engineering program: about 1.5% of runs flaky, 16% of tests with some flakiness, automatic quarantine and a dedicated team [76]. Coverage is computed for</w:t>
      </w:r>
      <w:r>
        <w:t xml:space="preserve"> </w:t>
      </w:r>
      <w:r>
        <w:t xml:space="preserve">“</w:t>
      </w:r>
      <w:r>
        <w:t xml:space="preserve">one billion lines of code daily</w:t>
      </w:r>
      <w:r>
        <w:t xml:space="preserve">”</w:t>
      </w:r>
      <w:r>
        <w:t xml:space="preserve"> </w:t>
      </w:r>
      <w:r>
        <w:t xml:space="preserve">and shown</w:t>
      </w:r>
      <w:r>
        <w:t xml:space="preserve"> </w:t>
      </w:r>
      <w:r>
        <w:t xml:space="preserve">“</w:t>
      </w:r>
      <w:r>
        <w:t xml:space="preserve">at the level of changesets and code review</w:t>
      </w:r>
      <w:r>
        <w:t xml:space="preserve">”</w:t>
      </w:r>
      <w:r>
        <w:t xml:space="preserve"> </w:t>
      </w:r>
      <w:r>
        <w:t xml:space="preserve">[142]; mutation testing reaches 6,000 engineers and about 30% of diffs through the same review surface [143]. Large-scale changes are industrialized: Rosie</w:t>
      </w:r>
      <w:r>
        <w:t xml:space="preserve"> </w:t>
      </w:r>
      <w:r>
        <w:t xml:space="preserve">“</w:t>
      </w:r>
      <w:r>
        <w:t xml:space="preserve">shards</w:t>
      </w:r>
      <w:r>
        <w:t xml:space="preserve">”</w:t>
      </w:r>
      <w:r>
        <w:t xml:space="preserve"> </w:t>
      </w:r>
      <w:r>
        <w:t xml:space="preserve">a change</w:t>
      </w:r>
      <w:r>
        <w:t xml:space="preserve"> </w:t>
      </w:r>
      <w:r>
        <w:t xml:space="preserve">“</w:t>
      </w:r>
      <w:r>
        <w:t xml:space="preserve">based upon project boundaries and ownership rules,</w:t>
      </w:r>
      <w:r>
        <w:t xml:space="preserve">”</w:t>
      </w:r>
      <w:r>
        <w:t xml:space="preserve"> </w:t>
      </w:r>
      <w:r>
        <w:t xml:space="preserve">routes shards to owners, auto-approves pattern-matching shards, and rode the TAP train to more than 700 independent changes a day at peak, including a migration of 500,000 references and a three-day series that removed more than a billion lines [78].</w:t>
      </w:r>
    </w:p>
    <w:p>
      <w:pPr>
        <w:pStyle w:val="BodyText"/>
      </w:pPr>
      <w:r>
        <w:rPr>
          <w:bCs/>
          <w:b/>
        </w:rPr>
        <w:t xml:space="preserve">The AI practice.</w:t>
      </w:r>
      <w:r>
        <w:t xml:space="preserve"> </w:t>
      </w:r>
      <w:r>
        <w:t xml:space="preserve">With that estate in place, AI features attached to existing surfaces rather than replacing them. By May 2023, ML-suggested edits addressed 52% of code-review comments, with 40-50% of previewed suggestions applied [144]. By June 2024, AI completions had a 37% acceptance rate and accounted for 50% of code characters, more than 8% of review comments were addressed with AI, and the team’s method was explicit:</w:t>
      </w:r>
      <w:r>
        <w:t xml:space="preserve"> </w:t>
      </w:r>
      <w:r>
        <w:t xml:space="preserve">“</w:t>
      </w:r>
      <w:r>
        <w:t xml:space="preserve">quick iterations with online A/B experiments are key, as offline metrics are often only rough proxies of user value</w:t>
      </w:r>
      <w:r>
        <w:t xml:space="preserve">”</w:t>
      </w:r>
      <w:r>
        <w:t xml:space="preserve"> </w:t>
      </w:r>
      <w:r>
        <w:t xml:space="preserve">[145]. By January 2025, LLM-driven migrations reported that 80% of code modifications in an int32-to-int64 migration were</w:t>
      </w:r>
      <w:r>
        <w:t xml:space="preserve"> </w:t>
      </w:r>
      <w:r>
        <w:t xml:space="preserve">“</w:t>
      </w:r>
      <w:r>
        <w:t xml:space="preserve">fully AI-authored,</w:t>
      </w:r>
      <w:r>
        <w:t xml:space="preserve">”</w:t>
      </w:r>
      <w:r>
        <w:t xml:space="preserve"> </w:t>
      </w:r>
      <w:r>
        <w:t xml:space="preserve">that about 87% of AI-generated JUnit migration code was committed unchanged across 5,359 files, and that</w:t>
      </w:r>
      <w:r>
        <w:t xml:space="preserve"> </w:t>
      </w:r>
      <w:r>
        <w:t xml:space="preserve">“</w:t>
      </w:r>
      <w:r>
        <w:t xml:space="preserve">the bottleneck in the process was the speed at which engineers could review the changes</w:t>
      </w:r>
      <w:r>
        <w:t xml:space="preserve">”</w:t>
      </w:r>
      <w:r>
        <w:t xml:space="preserve"> </w:t>
      </w:r>
      <w:r>
        <w:t xml:space="preserve">[117]. Google’s disclosed share of new code that is AI-generated and approved rose from more than 25% (October 2024) to well over 30% (April 2025) to 75% (April 2026), and an agent-assisted migration completed six times faster than engineers alone a year earlier [6, 41].</w:t>
      </w:r>
    </w:p>
    <w:p>
      <w:pPr>
        <w:pStyle w:val="BodyText"/>
      </w:pPr>
      <w:r>
        <w:rPr>
          <w:bCs/>
          <w:b/>
        </w:rPr>
        <w:t xml:space="preserve">Measurement.</w:t>
      </w:r>
      <w:r>
        <w:t xml:space="preserve"> </w:t>
      </w:r>
      <w:r>
        <w:t xml:space="preserve">Google’s public metric is not the share of AI-generated code but a</w:t>
      </w:r>
      <w:r>
        <w:t xml:space="preserve"> </w:t>
      </w:r>
      <w:r>
        <w:t xml:space="preserve">“</w:t>
      </w:r>
      <w:r>
        <w:t xml:space="preserve">carefully measured</w:t>
      </w:r>
      <w:r>
        <w:t xml:space="preserve">”</w:t>
      </w:r>
      <w:r>
        <w:t xml:space="preserve"> </w:t>
      </w:r>
      <w:r>
        <w:t xml:space="preserve">increase in engineering velocity of about 10%, defined as hours per week of capacity created [41]; its enterprise RCT with 96 engineers found roughly 21% less time on task with a wide interval [30]; and its migration program defined success as</w:t>
      </w:r>
      <w:r>
        <w:t xml:space="preserve"> </w:t>
      </w:r>
      <w:r>
        <w:t xml:space="preserve">“</w:t>
      </w:r>
      <w:r>
        <w:t xml:space="preserve">at least 50% acceleration in task completion rate</w:t>
      </w:r>
      <w:r>
        <w:t xml:space="preserve">”</w:t>
      </w:r>
      <w:r>
        <w:t xml:space="preserve"> </w:t>
      </w:r>
      <w:r>
        <w:t xml:space="preserve">end to end, including review and rollout [117]. Google also sponsors the DORA research that supplies the industry’s team-level capabilities model [8].</w:t>
      </w:r>
    </w:p>
    <w:p>
      <w:pPr>
        <w:pStyle w:val="BodyText"/>
      </w:pPr>
      <w:r>
        <w:rPr>
          <w:bCs/>
          <w:b/>
        </w:rPr>
        <w:t xml:space="preserve">Mapping to RARM.</w:t>
      </w:r>
      <w:r>
        <w:t xml:space="preserve"> </w:t>
      </w:r>
      <w:r>
        <w:t xml:space="preserve">Table 4.2 reads the case against the model’s dimensions.</w:t>
      </w:r>
    </w:p>
    <w:p>
      <w:pPr>
        <w:pStyle w:val="BodyText"/>
      </w:pPr>
      <w:r>
        <w:rPr>
          <w:bCs/>
          <w:b/>
        </w:rPr>
        <w:t xml:space="preserve">Table 4.2. Google against RARM</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2640"/>
        <w:gridCol w:w="2640"/>
        <w:gridCol w:w="2640"/>
      </w:tblGrid>
      <w:tr>
        <w:trPr>
          <w:tblHeader w:val="true"/>
        </w:trPr>
        <w:tc>
          <w:tcPr>
            <w:shd w:val="clear" w:color="auto" w:fill="EEF2F6"/>
          </w:tcPr>
          <w:p>
            <w:pPr>
              <w:pStyle w:val="Compact"/>
              <w:spacing w:after="40"/>
              <w:jc w:val="left"/>
            </w:pPr>
            <w:r>
              <w:rPr>
                <w:rFonts w:ascii="Calibri" w:hAnsi="Calibri"/>
                <w:b/>
                <w:sz w:val="17"/>
              </w:rPr>
              <w:t xml:space="preserve">Dimension</w:t>
            </w:r>
          </w:p>
        </w:tc>
        <w:tc>
          <w:tcPr>
            <w:shd w:val="clear" w:color="auto" w:fill="EEF2F6"/>
          </w:tcPr>
          <w:p>
            <w:pPr>
              <w:pStyle w:val="Compact"/>
              <w:spacing w:after="40"/>
              <w:jc w:val="left"/>
            </w:pPr>
            <w:r>
              <w:rPr>
                <w:rFonts w:ascii="Calibri" w:hAnsi="Calibri"/>
                <w:b/>
                <w:sz w:val="17"/>
              </w:rPr>
              <w:t xml:space="preserve">Evidence at Google</w:t>
            </w:r>
          </w:p>
        </w:tc>
        <w:tc>
          <w:tcPr>
            <w:shd w:val="clear" w:color="auto" w:fill="EEF2F6"/>
          </w:tcPr>
          <w:p>
            <w:pPr>
              <w:pStyle w:val="Compact"/>
              <w:spacing w:after="40"/>
              <w:jc w:val="left"/>
            </w:pPr>
            <w:r>
              <w:rPr>
                <w:rFonts w:ascii="Calibri" w:hAnsi="Calibri"/>
                <w:b/>
                <w:sz w:val="17"/>
              </w:rPr>
              <w:t xml:space="preserve">Score implied</w:t>
            </w:r>
          </w:p>
        </w:tc>
      </w:tr>
      <w:tr>
        <w:tc>
          <w:tcPr/>
          <w:p>
            <w:pPr>
              <w:pStyle w:val="Compact"/>
              <w:spacing w:after="40"/>
              <w:jc w:val="left"/>
            </w:pPr>
            <w:r>
              <w:rPr>
                <w:rFonts w:ascii="Calibri" w:hAnsi="Calibri"/>
                <w:sz w:val="17"/>
              </w:rPr>
              <w:t xml:space="preserve">R1 Executability</w:t>
            </w:r>
          </w:p>
        </w:tc>
        <w:tc>
          <w:tcPr/>
          <w:p>
            <w:pPr>
              <w:pStyle w:val="Compact"/>
              <w:spacing w:after="40"/>
              <w:jc w:val="left"/>
            </w:pPr>
            <w:r>
              <w:rPr>
                <w:rFonts w:ascii="Calibri" w:hAnsi="Calibri"/>
                <w:sz w:val="17"/>
              </w:rPr>
              <w:t xml:space="preserve">Hermetic builds and hermetic test environments; single build graph; remote execution [73, 78]</w:t>
            </w:r>
          </w:p>
        </w:tc>
        <w:tc>
          <w:tcPr/>
          <w:p>
            <w:pPr>
              <w:pStyle w:val="Compact"/>
              <w:spacing w:after="40"/>
              <w:jc w:val="left"/>
            </w:pPr>
            <w:r>
              <w:rPr>
                <w:rFonts w:ascii="Calibri" w:hAnsi="Calibri"/>
                <w:sz w:val="17"/>
              </w:rPr>
              <w:t xml:space="preserve">4</w:t>
            </w:r>
          </w:p>
        </w:tc>
      </w:tr>
      <w:tr>
        <w:tc>
          <w:tcPr/>
          <w:p>
            <w:pPr>
              <w:pStyle w:val="Compact"/>
              <w:spacing w:after="40"/>
              <w:jc w:val="left"/>
            </w:pPr>
            <w:r>
              <w:rPr>
                <w:rFonts w:ascii="Calibri" w:hAnsi="Calibri"/>
                <w:sz w:val="17"/>
              </w:rPr>
              <w:t xml:space="preserve">R2 Verification</w:t>
            </w:r>
          </w:p>
        </w:tc>
        <w:tc>
          <w:tcPr/>
          <w:p>
            <w:pPr>
              <w:pStyle w:val="Compact"/>
              <w:spacing w:after="40"/>
              <w:jc w:val="left"/>
            </w:pPr>
            <w:r>
              <w:rPr>
                <w:rFonts w:ascii="Calibri" w:hAnsi="Calibri"/>
                <w:sz w:val="17"/>
              </w:rPr>
              <w:t xml:space="preserve">TAP at 4 billion tests/day; flaky-test program; coverage on changesets; mutation testing; Tricorder in review [76, 141-143]</w:t>
            </w:r>
          </w:p>
        </w:tc>
        <w:tc>
          <w:tcPr/>
          <w:p>
            <w:pPr>
              <w:pStyle w:val="Compact"/>
              <w:spacing w:after="40"/>
              <w:jc w:val="left"/>
            </w:pPr>
            <w:r>
              <w:rPr>
                <w:rFonts w:ascii="Calibri" w:hAnsi="Calibri"/>
                <w:sz w:val="17"/>
              </w:rPr>
              <w:t xml:space="preserve">4</w:t>
            </w:r>
          </w:p>
        </w:tc>
      </w:tr>
      <w:tr>
        <w:tc>
          <w:tcPr/>
          <w:p>
            <w:pPr>
              <w:pStyle w:val="Compact"/>
              <w:spacing w:after="40"/>
              <w:jc w:val="left"/>
            </w:pPr>
            <w:r>
              <w:rPr>
                <w:rFonts w:ascii="Calibri" w:hAnsi="Calibri"/>
                <w:sz w:val="17"/>
              </w:rPr>
              <w:t xml:space="preserve">R3 Specification</w:t>
            </w:r>
          </w:p>
        </w:tc>
        <w:tc>
          <w:tcPr/>
          <w:p>
            <w:pPr>
              <w:pStyle w:val="Compact"/>
              <w:spacing w:after="40"/>
              <w:jc w:val="left"/>
            </w:pPr>
            <w:r>
              <w:rPr>
                <w:rFonts w:ascii="Calibri" w:hAnsi="Calibri"/>
                <w:sz w:val="17"/>
              </w:rPr>
              <w:t xml:space="preserve">Migration programs scoped as narrow, semantics-preserving changes with defined success metrics [117]</w:t>
            </w:r>
          </w:p>
        </w:tc>
        <w:tc>
          <w:tcPr/>
          <w:p>
            <w:pPr>
              <w:pStyle w:val="Compact"/>
              <w:spacing w:after="40"/>
              <w:jc w:val="left"/>
            </w:pPr>
            <w:r>
              <w:rPr>
                <w:rFonts w:ascii="Calibri" w:hAnsi="Calibri"/>
                <w:sz w:val="17"/>
              </w:rPr>
              <w:t xml:space="preserve">3-4</w:t>
            </w:r>
          </w:p>
        </w:tc>
      </w:tr>
      <w:tr>
        <w:tc>
          <w:tcPr/>
          <w:p>
            <w:pPr>
              <w:pStyle w:val="Compact"/>
              <w:spacing w:after="40"/>
              <w:jc w:val="left"/>
            </w:pPr>
            <w:r>
              <w:rPr>
                <w:rFonts w:ascii="Calibri" w:hAnsi="Calibri"/>
                <w:sz w:val="17"/>
              </w:rPr>
              <w:t xml:space="preserve">R4 Structure</w:t>
            </w:r>
          </w:p>
        </w:tc>
        <w:tc>
          <w:tcPr/>
          <w:p>
            <w:pPr>
              <w:pStyle w:val="Compact"/>
              <w:spacing w:after="40"/>
              <w:jc w:val="left"/>
            </w:pPr>
            <w:r>
              <w:rPr>
                <w:rFonts w:ascii="Calibri" w:hAnsi="Calibri"/>
                <w:sz w:val="17"/>
              </w:rPr>
              <w:t xml:space="preserve">Monorepo with code search, OWNERS and dependency graph; readability certification; code-health review norm [78, 92]</w:t>
            </w:r>
          </w:p>
        </w:tc>
        <w:tc>
          <w:tcPr/>
          <w:p>
            <w:pPr>
              <w:pStyle w:val="Compact"/>
              <w:spacing w:after="40"/>
              <w:jc w:val="left"/>
            </w:pPr>
            <w:r>
              <w:rPr>
                <w:rFonts w:ascii="Calibri" w:hAnsi="Calibri"/>
                <w:sz w:val="17"/>
              </w:rPr>
              <w:t xml:space="preserve">4</w:t>
            </w:r>
          </w:p>
        </w:tc>
      </w:tr>
      <w:tr>
        <w:tc>
          <w:tcPr/>
          <w:p>
            <w:pPr>
              <w:pStyle w:val="Compact"/>
              <w:spacing w:after="40"/>
              <w:jc w:val="left"/>
            </w:pPr>
            <w:r>
              <w:rPr>
                <w:rFonts w:ascii="Calibri" w:hAnsi="Calibri"/>
                <w:sz w:val="17"/>
              </w:rPr>
              <w:t xml:space="preserve">R5 Documentation</w:t>
            </w:r>
          </w:p>
        </w:tc>
        <w:tc>
          <w:tcPr/>
          <w:p>
            <w:pPr>
              <w:pStyle w:val="Compact"/>
              <w:spacing w:after="40"/>
              <w:jc w:val="left"/>
            </w:pPr>
            <w:r>
              <w:rPr>
                <w:rFonts w:ascii="Calibri" w:hAnsi="Calibri"/>
                <w:sz w:val="17"/>
              </w:rPr>
              <w:t xml:space="preserve">Readability and design-review culture documented; not publicly measured</w:t>
            </w:r>
          </w:p>
        </w:tc>
        <w:tc>
          <w:tcPr/>
          <w:p>
            <w:pPr>
              <w:pStyle w:val="Compact"/>
              <w:spacing w:after="40"/>
              <w:jc w:val="left"/>
            </w:pPr>
            <w:r>
              <w:rPr>
                <w:rFonts w:ascii="Calibri" w:hAnsi="Calibri"/>
                <w:sz w:val="17"/>
              </w:rPr>
              <w:t xml:space="preserve">3</w:t>
            </w:r>
          </w:p>
        </w:tc>
      </w:tr>
      <w:tr>
        <w:tc>
          <w:tcPr/>
          <w:p>
            <w:pPr>
              <w:pStyle w:val="Compact"/>
              <w:spacing w:after="40"/>
              <w:jc w:val="left"/>
            </w:pPr>
            <w:r>
              <w:rPr>
                <w:rFonts w:ascii="Calibri" w:hAnsi="Calibri"/>
                <w:sz w:val="17"/>
              </w:rPr>
              <w:t xml:space="preserve">R6 Context files</w:t>
            </w:r>
          </w:p>
        </w:tc>
        <w:tc>
          <w:tcPr/>
          <w:p>
            <w:pPr>
              <w:pStyle w:val="Compact"/>
              <w:spacing w:after="40"/>
              <w:jc w:val="left"/>
            </w:pPr>
            <w:r>
              <w:rPr>
                <w:rFonts w:ascii="Calibri" w:hAnsi="Calibri"/>
                <w:sz w:val="17"/>
              </w:rPr>
              <w:t xml:space="preserve">Not publicly disclosed</w:t>
            </w:r>
          </w:p>
        </w:tc>
        <w:tc>
          <w:tcPr/>
          <w:p>
            <w:pPr>
              <w:pStyle w:val="Compact"/>
              <w:spacing w:after="40"/>
              <w:jc w:val="left"/>
            </w:pPr>
            <w:r>
              <w:rPr>
                <w:rFonts w:ascii="Calibri" w:hAnsi="Calibri"/>
                <w:sz w:val="17"/>
              </w:rPr>
              <w:t xml:space="preserve">Not scored</w:t>
            </w:r>
          </w:p>
        </w:tc>
      </w:tr>
      <w:tr>
        <w:tc>
          <w:tcPr/>
          <w:p>
            <w:pPr>
              <w:pStyle w:val="Compact"/>
              <w:spacing w:after="40"/>
              <w:jc w:val="left"/>
            </w:pPr>
            <w:r>
              <w:rPr>
                <w:rFonts w:ascii="Calibri" w:hAnsi="Calibri"/>
                <w:sz w:val="17"/>
              </w:rPr>
              <w:t xml:space="preserve">R7 Ownership and guardrails</w:t>
            </w:r>
          </w:p>
        </w:tc>
        <w:tc>
          <w:tcPr/>
          <w:p>
            <w:pPr>
              <w:pStyle w:val="Compact"/>
              <w:spacing w:after="40"/>
              <w:jc w:val="left"/>
            </w:pPr>
            <w:r>
              <w:rPr>
                <w:rFonts w:ascii="Calibri" w:hAnsi="Calibri"/>
                <w:sz w:val="17"/>
              </w:rPr>
              <w:t xml:space="preserve">OWNERS-based routing; universal review; automated approval only for pattern-matched shards; rate-limited change trains [78, 117]</w:t>
            </w:r>
          </w:p>
        </w:tc>
        <w:tc>
          <w:tcPr/>
          <w:p>
            <w:pPr>
              <w:pStyle w:val="Compact"/>
              <w:spacing w:after="40"/>
              <w:jc w:val="left"/>
            </w:pPr>
            <w:r>
              <w:rPr>
                <w:rFonts w:ascii="Calibri" w:hAnsi="Calibri"/>
                <w:sz w:val="17"/>
              </w:rPr>
              <w:t xml:space="preserve">4</w:t>
            </w:r>
          </w:p>
        </w:tc>
      </w:tr>
      <w:tr>
        <w:tc>
          <w:tcPr/>
          <w:p>
            <w:pPr>
              <w:pStyle w:val="Compact"/>
              <w:spacing w:after="40"/>
              <w:jc w:val="left"/>
            </w:pPr>
            <w:r>
              <w:rPr>
                <w:rFonts w:ascii="Calibri" w:hAnsi="Calibri"/>
                <w:sz w:val="17"/>
              </w:rPr>
              <w:t xml:space="preserve">R8 Measurement</w:t>
            </w:r>
          </w:p>
        </w:tc>
        <w:tc>
          <w:tcPr/>
          <w:p>
            <w:pPr>
              <w:pStyle w:val="Compact"/>
              <w:spacing w:after="40"/>
              <w:jc w:val="left"/>
            </w:pPr>
            <w:r>
              <w:rPr>
                <w:rFonts w:ascii="Calibri" w:hAnsi="Calibri"/>
                <w:sz w:val="17"/>
              </w:rPr>
              <w:t xml:space="preserve">A/B experiments, acceptance and character-share telemetry, velocity metric, RCT [30, 41, 145]</w:t>
            </w:r>
          </w:p>
        </w:tc>
        <w:tc>
          <w:tcPr/>
          <w:p>
            <w:pPr>
              <w:pStyle w:val="Compact"/>
              <w:spacing w:after="40"/>
              <w:jc w:val="left"/>
            </w:pPr>
            <w:r>
              <w:rPr>
                <w:rFonts w:ascii="Calibri" w:hAnsi="Calibri"/>
                <w:sz w:val="17"/>
              </w:rPr>
              <w:t xml:space="preserve">4</w:t>
            </w:r>
          </w:p>
        </w:tc>
      </w:tr>
    </w:tbl>
    <w:p>
      <w:pPr>
        <w:pStyle w:val="BodyText"/>
      </w:pPr>
      <w:r>
        <w:rPr>
          <w:bCs/>
          <w:b/>
        </w:rPr>
        <w:t xml:space="preserve">What the case teaches.</w:t>
      </w:r>
      <w:r>
        <w:t xml:space="preserve"> </w:t>
      </w:r>
      <w:r>
        <w:t xml:space="preserve">First, readiness preceded AI by a decade; the AI program inherited its verification and review surfaces. Second, AI attached to the review workflow, where Tricorder had already shown findings get acted on. Third, when the estate is ready the constraint moves to human review capacity, which is a workflow and staffing problem rather than a model problem. Fourth, Google publishes exposure metrics externally but manages on a capacity metric and experiments.</w:t>
      </w:r>
    </w:p>
    <w:p>
      <w:pPr>
        <w:pStyle w:val="BodyText"/>
      </w:pPr>
      <w:r>
        <w:rPr>
          <w:bCs/>
          <w:b/>
        </w:rPr>
        <w:t xml:space="preserve">Caveats.</w:t>
      </w:r>
      <w:r>
        <w:t xml:space="preserve"> </w:t>
      </w:r>
      <w:r>
        <w:t xml:space="preserve">All figures are company-reported;</w:t>
      </w:r>
      <w:r>
        <w:t xml:space="preserve"> </w:t>
      </w:r>
      <w:r>
        <w:t xml:space="preserve">“</w:t>
      </w:r>
      <w:r>
        <w:t xml:space="preserve">AI-generated</w:t>
      </w:r>
      <w:r>
        <w:t xml:space="preserve">”</w:t>
      </w:r>
      <w:r>
        <w:t xml:space="preserve"> </w:t>
      </w:r>
      <w:r>
        <w:t xml:space="preserve">is character-level and not comparable across firms; the RCT is a single task with a wide interval; and the estate’s tooling represents an investment few organizations can replicate, which is why Section 5 focuses on what is transferable (hermetic builds, review-integrated analysis, owner routing, private evaluation) rather than the monorepo itself.</w:t>
      </w:r>
    </w:p>
    <w:bookmarkEnd w:id="41"/>
    <w:bookmarkStart w:id="42" w:name="deep-case-study-jpmorgan-chase"/>
    <w:p>
      <w:pPr>
        <w:pStyle w:val="Heading3"/>
      </w:pPr>
      <w:r>
        <w:t xml:space="preserve">4.4 Deep case study: JPMorgan Chase</w:t>
      </w:r>
    </w:p>
    <w:p>
      <w:pPr>
        <w:pStyle w:val="FirstParagraph"/>
      </w:pPr>
      <w:r>
        <w:t xml:space="preserve">JPMorgan Chase is the largest technology organization in banking and the most disclosed. It illustrates how a regulated firm moves from assistants to agents while measuring outcomes, and where the readiness gaps remain.</w:t>
      </w:r>
    </w:p>
    <w:p>
      <w:pPr>
        <w:pStyle w:val="BodyText"/>
      </w:pPr>
      <w:r>
        <w:rPr>
          <w:bCs/>
          <w:b/>
        </w:rPr>
        <w:t xml:space="preserve">The estate.</w:t>
      </w:r>
      <w:r>
        <w:t xml:space="preserve"> </w:t>
      </w:r>
      <w:r>
        <w:t xml:space="preserve">The bank invests</w:t>
      </w:r>
      <w:r>
        <w:t xml:space="preserve"> </w:t>
      </w:r>
      <w:r>
        <w:t xml:space="preserve">“</w:t>
      </w:r>
      <w:r>
        <w:t xml:space="preserve">over $18 billion annually in technology,</w:t>
      </w:r>
      <w:r>
        <w:t xml:space="preserve">”</w:t>
      </w:r>
      <w:r>
        <w:t xml:space="preserve"> </w:t>
      </w:r>
      <w:r>
        <w:t xml:space="preserve">moves</w:t>
      </w:r>
      <w:r>
        <w:t xml:space="preserve"> </w:t>
      </w:r>
      <w:r>
        <w:t xml:space="preserve">“</w:t>
      </w:r>
      <w:r>
        <w:t xml:space="preserve">$12 trillion in payments daily</w:t>
      </w:r>
      <w:r>
        <w:t xml:space="preserve">”</w:t>
      </w:r>
      <w:r>
        <w:t xml:space="preserve"> </w:t>
      </w:r>
      <w:r>
        <w:t xml:space="preserve">and describes itself as</w:t>
      </w:r>
      <w:r>
        <w:t xml:space="preserve"> </w:t>
      </w:r>
      <w:r>
        <w:t xml:space="preserve">“</w:t>
      </w:r>
      <w:r>
        <w:t xml:space="preserve">fueling AI with an exabyte of data</w:t>
      </w:r>
      <w:r>
        <w:t xml:space="preserve">”</w:t>
      </w:r>
      <w:r>
        <w:t xml:space="preserve"> </w:t>
      </w:r>
      <w:r>
        <w:t xml:space="preserve">[146]. Its 2025 investor materials reported a $18 billion budget (about 10% of revenue), 65% of workloads on public or private cloud (50% a year earlier; 80% including virtualized), code deployments up 70% over two years and replanned work down 20% [147, 148]; the 2026 budget is about $20 billion [53]. Its technology workforce was reported at 63,000 [149]. Its public GitHub organization holds 74 repositories, including the Salt design system and a widely used Python training course [150].</w:t>
      </w:r>
    </w:p>
    <w:p>
      <w:pPr>
        <w:pStyle w:val="BodyText"/>
      </w:pPr>
      <w:r>
        <w:rPr>
          <w:bCs/>
          <w:b/>
        </w:rPr>
        <w:t xml:space="preserve">The AI program.</w:t>
      </w:r>
      <w:r>
        <w:t xml:space="preserve"> </w:t>
      </w:r>
      <w:r>
        <w:t xml:space="preserve">LLM Suite, a model-agnostic platform on external models, reached more than 200,000 employees by May 2025 and nearly 250,000 by October, without a usage mandate:</w:t>
      </w:r>
      <w:r>
        <w:t xml:space="preserve"> </w:t>
      </w:r>
      <w:r>
        <w:t xml:space="preserve">“</w:t>
      </w:r>
      <w:r>
        <w:t xml:space="preserve">we didn’t mandate the use of LLM Suite</w:t>
      </w:r>
      <w:r>
        <w:t xml:space="preserve">”</w:t>
      </w:r>
      <w:r>
        <w:t xml:space="preserve"> </w:t>
      </w:r>
      <w:r>
        <w:t xml:space="preserve">[148, 151]. The firm tracked value in two ways, day-to-day productivity and domain-level value in credit, fraud, marketing, technology and operations, with gross AI benefits growing 30-40% a year; consumer banking reported a 35% increase in AI/ML value and the corporate and investment bank more than 175 use cases in production [147, 151]. Roughly 450 AI use cases were targeted to reach 1,000 by 2026 [149].</w:t>
      </w:r>
    </w:p>
    <w:p>
      <w:pPr>
        <w:pStyle w:val="BodyText"/>
      </w:pPr>
      <w:r>
        <w:rPr>
          <w:bCs/>
          <w:b/>
        </w:rPr>
        <w:t xml:space="preserve">The coding program.</w:t>
      </w:r>
      <w:r>
        <w:t xml:space="preserve"> </w:t>
      </w:r>
      <w:r>
        <w:t xml:space="preserve">A coding assistant deployed to tens of thousands of engineers produced a reported 10-20% efficiency gain in 2025 and a reported 10% in year-end disclosures, methodology undisclosed [149, 152]; the CFO described</w:t>
      </w:r>
      <w:r>
        <w:t xml:space="preserve"> </w:t>
      </w:r>
      <w:r>
        <w:t xml:space="preserve">“</w:t>
      </w:r>
      <w:r>
        <w:t xml:space="preserve">vibe coding</w:t>
      </w:r>
      <w:r>
        <w:t xml:space="preserve">”</w:t>
      </w:r>
      <w:r>
        <w:t xml:space="preserve"> </w:t>
      </w:r>
      <w:r>
        <w:t xml:space="preserve">among professional engineers as</w:t>
      </w:r>
      <w:r>
        <w:t xml:space="preserve"> </w:t>
      </w:r>
      <w:r>
        <w:t xml:space="preserve">“</w:t>
      </w:r>
      <w:r>
        <w:t xml:space="preserve">actually like pretty amazing</w:t>
      </w:r>
      <w:r>
        <w:t xml:space="preserve">”</w:t>
      </w:r>
      <w:r>
        <w:t xml:space="preserve"> </w:t>
      </w:r>
      <w:r>
        <w:t xml:space="preserve">[148]. In March 2026, according to internal documents reported by Business Insider, engineering performance expectations were updated to require</w:t>
      </w:r>
      <w:r>
        <w:t xml:space="preserve"> </w:t>
      </w:r>
      <w:r>
        <w:t xml:space="preserve">“</w:t>
      </w:r>
      <w:r>
        <w:t xml:space="preserve">measurable improvement in code quality, speed and productivity through regular use of approved AI coding assist tools,</w:t>
      </w:r>
      <w:r>
        <w:t xml:space="preserve">”</w:t>
      </w:r>
      <w:r>
        <w:t xml:space="preserve"> </w:t>
      </w:r>
      <w:r>
        <w:t xml:space="preserve">with a dashboard classifying engineers as light, heavy or non-users, and a Claude Code pilot was expected in April [153]. In June 2026 the firm said 2026 would bring long-running autonomous agents capable of code generation, browser and desktop interaction, and that</w:t>
      </w:r>
      <w:r>
        <w:t xml:space="preserve"> </w:t>
      </w:r>
      <w:r>
        <w:t xml:space="preserve">“</w:t>
      </w:r>
      <w:r>
        <w:t xml:space="preserve">2025 was about ensuring AI agents work effectively, 2026 is about providing appropriate context,</w:t>
      </w:r>
      <w:r>
        <w:t xml:space="preserve">”</w:t>
      </w:r>
      <w:r>
        <w:t xml:space="preserve"> </w:t>
      </w:r>
      <w:r>
        <w:t xml:space="preserve">with success depending on</w:t>
      </w:r>
      <w:r>
        <w:t xml:space="preserve"> </w:t>
      </w:r>
      <w:r>
        <w:t xml:space="preserve">“</w:t>
      </w:r>
      <w:r>
        <w:t xml:space="preserve">strong context, economic guardrails and disciplined governance</w:t>
      </w:r>
      <w:r>
        <w:t xml:space="preserve">”</w:t>
      </w:r>
      <w:r>
        <w:t xml:space="preserve"> </w:t>
      </w:r>
      <w:r>
        <w:t xml:space="preserve">[53, 154].</w:t>
      </w:r>
    </w:p>
    <w:p>
      <w:pPr>
        <w:pStyle w:val="BodyText"/>
      </w:pPr>
      <w:r>
        <w:rPr>
          <w:bCs/>
          <w:b/>
        </w:rPr>
        <w:t xml:space="preserve">Governance.</w:t>
      </w:r>
      <w:r>
        <w:t xml:space="preserve"> </w:t>
      </w:r>
      <w:r>
        <w:t xml:space="preserve">The chief analytics officer flagged agent credential handling as</w:t>
      </w:r>
      <w:r>
        <w:t xml:space="preserve"> </w:t>
      </w:r>
      <w:r>
        <w:t xml:space="preserve">“</w:t>
      </w:r>
      <w:r>
        <w:t xml:space="preserve">a real problem</w:t>
      </w:r>
      <w:r>
        <w:t xml:space="preserve">”</w:t>
      </w:r>
      <w:r>
        <w:t xml:space="preserve"> </w:t>
      </w:r>
      <w:r>
        <w:t xml:space="preserve">in October 2025 and said the security and governance barriers would be resolved in 2026 [53, 151]; the CEO’s 2026 letter committed to redeployment plans for affected staff [155]. As a US bank holding company the firm’s model risk framework now sits under SR 26-2, which excludes generative and agentic AI, so its coding-agent controls must be evidenced through enterprise risk, third-party and cyber frameworks rather than model validation [58]. It ranked first in the Evident AI Index of the 50 largest banks in October 2025 [156].</w:t>
      </w:r>
    </w:p>
    <w:p>
      <w:pPr>
        <w:pStyle w:val="BodyText"/>
      </w:pPr>
      <w:r>
        <w:rPr>
          <w:bCs/>
          <w:b/>
        </w:rPr>
        <w:t xml:space="preserve">Mapping to RARM.</w:t>
      </w:r>
      <w:r>
        <w:t xml:space="preserve"> </w:t>
      </w:r>
      <w:r>
        <w:t xml:space="preserve">Table 4.3 reads the public record against the model. Where the firm has not disclosed, the cell says so; the absence is itself informative about what regulated firms publish.</w:t>
      </w:r>
    </w:p>
    <w:p>
      <w:pPr>
        <w:pStyle w:val="BodyText"/>
      </w:pPr>
      <w:r>
        <w:rPr>
          <w:bCs/>
          <w:b/>
        </w:rPr>
        <w:t xml:space="preserve">Table 4.3. JPMorgan Chase against RARM (public record)</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2640"/>
        <w:gridCol w:w="2640"/>
        <w:gridCol w:w="2640"/>
      </w:tblGrid>
      <w:tr>
        <w:trPr>
          <w:tblHeader w:val="true"/>
        </w:trPr>
        <w:tc>
          <w:tcPr>
            <w:shd w:val="clear" w:color="auto" w:fill="EEF2F6"/>
          </w:tcPr>
          <w:p>
            <w:pPr>
              <w:pStyle w:val="Compact"/>
              <w:spacing w:after="40"/>
              <w:jc w:val="left"/>
            </w:pPr>
            <w:r>
              <w:rPr>
                <w:rFonts w:ascii="Calibri" w:hAnsi="Calibri"/>
                <w:b/>
                <w:sz w:val="17"/>
              </w:rPr>
              <w:t xml:space="preserve">Dimension</w:t>
            </w:r>
          </w:p>
        </w:tc>
        <w:tc>
          <w:tcPr>
            <w:shd w:val="clear" w:color="auto" w:fill="EEF2F6"/>
          </w:tcPr>
          <w:p>
            <w:pPr>
              <w:pStyle w:val="Compact"/>
              <w:spacing w:after="40"/>
              <w:jc w:val="left"/>
            </w:pPr>
            <w:r>
              <w:rPr>
                <w:rFonts w:ascii="Calibri" w:hAnsi="Calibri"/>
                <w:b/>
                <w:sz w:val="17"/>
              </w:rPr>
              <w:t xml:space="preserve">Evidence</w:t>
            </w:r>
          </w:p>
        </w:tc>
        <w:tc>
          <w:tcPr>
            <w:shd w:val="clear" w:color="auto" w:fill="EEF2F6"/>
          </w:tcPr>
          <w:p>
            <w:pPr>
              <w:pStyle w:val="Compact"/>
              <w:spacing w:after="40"/>
              <w:jc w:val="left"/>
            </w:pPr>
            <w:r>
              <w:rPr>
                <w:rFonts w:ascii="Calibri" w:hAnsi="Calibri"/>
                <w:b/>
                <w:sz w:val="17"/>
              </w:rPr>
              <w:t xml:space="preserve">Reading</w:t>
            </w:r>
          </w:p>
        </w:tc>
      </w:tr>
      <w:tr>
        <w:tc>
          <w:tcPr/>
          <w:p>
            <w:pPr>
              <w:pStyle w:val="Compact"/>
              <w:spacing w:after="40"/>
              <w:jc w:val="left"/>
            </w:pPr>
            <w:r>
              <w:rPr>
                <w:rFonts w:ascii="Calibri" w:hAnsi="Calibri"/>
                <w:sz w:val="17"/>
              </w:rPr>
              <w:t xml:space="preserve">R1 Executability</w:t>
            </w:r>
          </w:p>
        </w:tc>
        <w:tc>
          <w:tcPr/>
          <w:p>
            <w:pPr>
              <w:pStyle w:val="Compact"/>
              <w:spacing w:after="40"/>
              <w:jc w:val="left"/>
            </w:pPr>
            <w:r>
              <w:rPr>
                <w:rFonts w:ascii="Calibri" w:hAnsi="Calibri"/>
                <w:sz w:val="17"/>
              </w:rPr>
              <w:t xml:space="preserve">65-80% cloud; modernization program; no public detail on build reproducibility</w:t>
            </w:r>
          </w:p>
        </w:tc>
        <w:tc>
          <w:tcPr/>
          <w:p>
            <w:pPr>
              <w:pStyle w:val="Compact"/>
              <w:spacing w:after="40"/>
              <w:jc w:val="left"/>
            </w:pPr>
            <w:r>
              <w:rPr>
                <w:rFonts w:ascii="Calibri" w:hAnsi="Calibri"/>
                <w:sz w:val="17"/>
              </w:rPr>
              <w:t xml:space="preserve">Estate modernization is the enabling investment; per-repository state undisclosed</w:t>
            </w:r>
          </w:p>
        </w:tc>
      </w:tr>
      <w:tr>
        <w:tc>
          <w:tcPr/>
          <w:p>
            <w:pPr>
              <w:pStyle w:val="Compact"/>
              <w:spacing w:after="40"/>
              <w:jc w:val="left"/>
            </w:pPr>
            <w:r>
              <w:rPr>
                <w:rFonts w:ascii="Calibri" w:hAnsi="Calibri"/>
                <w:sz w:val="17"/>
              </w:rPr>
              <w:t xml:space="preserve">R2 Verification</w:t>
            </w:r>
          </w:p>
        </w:tc>
        <w:tc>
          <w:tcPr/>
          <w:p>
            <w:pPr>
              <w:pStyle w:val="Compact"/>
              <w:spacing w:after="40"/>
              <w:jc w:val="left"/>
            </w:pPr>
            <w:r>
              <w:rPr>
                <w:rFonts w:ascii="Calibri" w:hAnsi="Calibri"/>
                <w:sz w:val="17"/>
              </w:rPr>
              <w:t xml:space="preserve">Deployments +70%, replanned work -20% over two years [147]</w:t>
            </w:r>
          </w:p>
        </w:tc>
        <w:tc>
          <w:tcPr/>
          <w:p>
            <w:pPr>
              <w:pStyle w:val="Compact"/>
              <w:spacing w:after="40"/>
              <w:jc w:val="left"/>
            </w:pPr>
            <w:r>
              <w:rPr>
                <w:rFonts w:ascii="Calibri" w:hAnsi="Calibri"/>
                <w:sz w:val="17"/>
              </w:rPr>
              <w:t xml:space="preserve">Delivery discipline improving; test-signal quality undisclosed</w:t>
            </w:r>
          </w:p>
        </w:tc>
      </w:tr>
      <w:tr>
        <w:tc>
          <w:tcPr/>
          <w:p>
            <w:pPr>
              <w:pStyle w:val="Compact"/>
              <w:spacing w:after="40"/>
              <w:jc w:val="left"/>
            </w:pPr>
            <w:r>
              <w:rPr>
                <w:rFonts w:ascii="Calibri" w:hAnsi="Calibri"/>
                <w:sz w:val="17"/>
              </w:rPr>
              <w:t xml:space="preserve">R3 Specification</w:t>
            </w:r>
          </w:p>
        </w:tc>
        <w:tc>
          <w:tcPr/>
          <w:p>
            <w:pPr>
              <w:pStyle w:val="Compact"/>
              <w:spacing w:after="40"/>
              <w:jc w:val="left"/>
            </w:pPr>
            <w:r>
              <w:rPr>
                <w:rFonts w:ascii="Calibri" w:hAnsi="Calibri"/>
                <w:sz w:val="17"/>
              </w:rPr>
              <w:t xml:space="preserve">“</w:t>
            </w:r>
            <w:r>
              <w:rPr>
                <w:rFonts w:ascii="Calibri" w:hAnsi="Calibri"/>
                <w:sz w:val="17"/>
              </w:rPr>
              <w:t xml:space="preserve">2026 is about providing appropriate context</w:t>
            </w:r>
            <w:r>
              <w:rPr>
                <w:rFonts w:ascii="Calibri" w:hAnsi="Calibri"/>
                <w:sz w:val="17"/>
              </w:rPr>
              <w:t xml:space="preserve">”</w:t>
            </w:r>
            <w:r>
              <w:rPr>
                <w:rFonts w:ascii="Calibri" w:hAnsi="Calibri"/>
                <w:sz w:val="17"/>
              </w:rPr>
              <w:t xml:space="preserve"> </w:t>
            </w:r>
            <w:r>
              <w:rPr>
                <w:rFonts w:ascii="Calibri" w:hAnsi="Calibri"/>
                <w:sz w:val="17"/>
              </w:rPr>
              <w:t xml:space="preserve">[154]</w:t>
            </w:r>
          </w:p>
        </w:tc>
        <w:tc>
          <w:tcPr/>
          <w:p>
            <w:pPr>
              <w:pStyle w:val="Compact"/>
              <w:spacing w:after="40"/>
              <w:jc w:val="left"/>
            </w:pPr>
            <w:r>
              <w:rPr>
                <w:rFonts w:ascii="Calibri" w:hAnsi="Calibri"/>
                <w:sz w:val="17"/>
              </w:rPr>
              <w:t xml:space="preserve">Firm has identified context and specification as the 2026 constraint</w:t>
            </w:r>
          </w:p>
        </w:tc>
      </w:tr>
      <w:tr>
        <w:tc>
          <w:tcPr/>
          <w:p>
            <w:pPr>
              <w:pStyle w:val="Compact"/>
              <w:spacing w:after="40"/>
              <w:jc w:val="left"/>
            </w:pPr>
            <w:r>
              <w:rPr>
                <w:rFonts w:ascii="Calibri" w:hAnsi="Calibri"/>
                <w:sz w:val="17"/>
              </w:rPr>
              <w:t xml:space="preserve">R4 Structure</w:t>
            </w:r>
          </w:p>
        </w:tc>
        <w:tc>
          <w:tcPr/>
          <w:p>
            <w:pPr>
              <w:pStyle w:val="Compact"/>
              <w:spacing w:after="40"/>
              <w:jc w:val="left"/>
            </w:pPr>
            <w:r>
              <w:rPr>
                <w:rFonts w:ascii="Calibri" w:hAnsi="Calibri"/>
                <w:sz w:val="17"/>
              </w:rPr>
              <w:t xml:space="preserve">Legacy-heavy estate; modernization ongoing</w:t>
            </w:r>
          </w:p>
        </w:tc>
        <w:tc>
          <w:tcPr/>
          <w:p>
            <w:pPr>
              <w:pStyle w:val="Compact"/>
              <w:spacing w:after="40"/>
              <w:jc w:val="left"/>
            </w:pPr>
            <w:r>
              <w:rPr>
                <w:rFonts w:ascii="Calibri" w:hAnsi="Calibri"/>
                <w:sz w:val="17"/>
              </w:rPr>
              <w:t xml:space="preserve">Structural readiness varies by application</w:t>
            </w:r>
          </w:p>
        </w:tc>
      </w:tr>
      <w:tr>
        <w:tc>
          <w:tcPr/>
          <w:p>
            <w:pPr>
              <w:pStyle w:val="Compact"/>
              <w:spacing w:after="40"/>
              <w:jc w:val="left"/>
            </w:pPr>
            <w:r>
              <w:rPr>
                <w:rFonts w:ascii="Calibri" w:hAnsi="Calibri"/>
                <w:sz w:val="17"/>
              </w:rPr>
              <w:t xml:space="preserve">R5 Documentation</w:t>
            </w:r>
          </w:p>
        </w:tc>
        <w:tc>
          <w:tcPr/>
          <w:p>
            <w:pPr>
              <w:pStyle w:val="Compact"/>
              <w:spacing w:after="40"/>
              <w:jc w:val="left"/>
            </w:pPr>
            <w:r>
              <w:rPr>
                <w:rFonts w:ascii="Calibri" w:hAnsi="Calibri"/>
                <w:sz w:val="17"/>
              </w:rPr>
              <w:t xml:space="preserve">Undisclosed</w:t>
            </w:r>
          </w:p>
        </w:tc>
        <w:tc>
          <w:tcPr/>
          <w:p>
            <w:pPr>
              <w:pStyle w:val="Compact"/>
              <w:spacing w:after="40"/>
              <w:jc w:val="left"/>
            </w:pPr>
            <w:r>
              <w:rPr>
                <w:rFonts w:ascii="Calibri" w:hAnsi="Calibri"/>
                <w:sz w:val="17"/>
              </w:rPr>
              <w:t xml:space="preserve">Not scored</w:t>
            </w:r>
          </w:p>
        </w:tc>
      </w:tr>
      <w:tr>
        <w:tc>
          <w:tcPr/>
          <w:p>
            <w:pPr>
              <w:pStyle w:val="Compact"/>
              <w:spacing w:after="40"/>
              <w:jc w:val="left"/>
            </w:pPr>
            <w:r>
              <w:rPr>
                <w:rFonts w:ascii="Calibri" w:hAnsi="Calibri"/>
                <w:sz w:val="17"/>
              </w:rPr>
              <w:t xml:space="preserve">R6 Context files</w:t>
            </w:r>
          </w:p>
        </w:tc>
        <w:tc>
          <w:tcPr/>
          <w:p>
            <w:pPr>
              <w:pStyle w:val="Compact"/>
              <w:spacing w:after="40"/>
              <w:jc w:val="left"/>
            </w:pPr>
            <w:r>
              <w:rPr>
                <w:rFonts w:ascii="Calibri" w:hAnsi="Calibri"/>
                <w:sz w:val="17"/>
              </w:rPr>
              <w:t xml:space="preserve">Approved-tool policy; Claude Code pilot [153]</w:t>
            </w:r>
          </w:p>
        </w:tc>
        <w:tc>
          <w:tcPr/>
          <w:p>
            <w:pPr>
              <w:pStyle w:val="Compact"/>
              <w:spacing w:after="40"/>
              <w:jc w:val="left"/>
            </w:pPr>
            <w:r>
              <w:rPr>
                <w:rFonts w:ascii="Calibri" w:hAnsi="Calibri"/>
                <w:sz w:val="17"/>
              </w:rPr>
              <w:t xml:space="preserve">Harness governance present; context-file practice undisclosed</w:t>
            </w:r>
          </w:p>
        </w:tc>
      </w:tr>
      <w:tr>
        <w:tc>
          <w:tcPr/>
          <w:p>
            <w:pPr>
              <w:pStyle w:val="Compact"/>
              <w:spacing w:after="40"/>
              <w:jc w:val="left"/>
            </w:pPr>
            <w:r>
              <w:rPr>
                <w:rFonts w:ascii="Calibri" w:hAnsi="Calibri"/>
                <w:sz w:val="17"/>
              </w:rPr>
              <w:t xml:space="preserve">R7 Ownership and guardrails</w:t>
            </w:r>
          </w:p>
        </w:tc>
        <w:tc>
          <w:tcPr/>
          <w:p>
            <w:pPr>
              <w:pStyle w:val="Compact"/>
              <w:spacing w:after="40"/>
              <w:jc w:val="left"/>
            </w:pPr>
            <w:r>
              <w:rPr>
                <w:rFonts w:ascii="Calibri" w:hAnsi="Calibri"/>
                <w:sz w:val="17"/>
              </w:rPr>
              <w:t xml:space="preserve">Approved tools; credential handling flagged;</w:t>
            </w:r>
            <w:r>
              <w:rPr>
                <w:rFonts w:ascii="Calibri" w:hAnsi="Calibri"/>
                <w:sz w:val="17"/>
              </w:rPr>
              <w:t xml:space="preserve"> </w:t>
            </w:r>
            <w:r>
              <w:rPr>
                <w:rFonts w:ascii="Calibri" w:hAnsi="Calibri"/>
                <w:sz w:val="17"/>
              </w:rPr>
              <w:t xml:space="preserve">“</w:t>
            </w:r>
            <w:r>
              <w:rPr>
                <w:rFonts w:ascii="Calibri" w:hAnsi="Calibri"/>
                <w:sz w:val="17"/>
              </w:rPr>
              <w:t xml:space="preserve">economic guardrails and disciplined governance</w:t>
            </w:r>
            <w:r>
              <w:rPr>
                <w:rFonts w:ascii="Calibri" w:hAnsi="Calibri"/>
                <w:sz w:val="17"/>
              </w:rPr>
              <w:t xml:space="preserve">”</w:t>
            </w:r>
            <w:r>
              <w:rPr>
                <w:rFonts w:ascii="Calibri" w:hAnsi="Calibri"/>
                <w:sz w:val="17"/>
              </w:rPr>
              <w:t xml:space="preserve"> </w:t>
            </w:r>
            <w:r>
              <w:rPr>
                <w:rFonts w:ascii="Calibri" w:hAnsi="Calibri"/>
                <w:sz w:val="17"/>
              </w:rPr>
              <w:t xml:space="preserve">[151, 154]</w:t>
            </w:r>
          </w:p>
        </w:tc>
        <w:tc>
          <w:tcPr/>
          <w:p>
            <w:pPr>
              <w:pStyle w:val="Compact"/>
              <w:spacing w:after="40"/>
              <w:jc w:val="left"/>
            </w:pPr>
            <w:r>
              <w:rPr>
                <w:rFonts w:ascii="Calibri" w:hAnsi="Calibri"/>
                <w:sz w:val="17"/>
              </w:rPr>
              <w:t xml:space="preserve">Governance ahead of autonomy by design</w:t>
            </w:r>
          </w:p>
        </w:tc>
      </w:tr>
      <w:tr>
        <w:tc>
          <w:tcPr/>
          <w:p>
            <w:pPr>
              <w:pStyle w:val="Compact"/>
              <w:spacing w:after="40"/>
              <w:jc w:val="left"/>
            </w:pPr>
            <w:r>
              <w:rPr>
                <w:rFonts w:ascii="Calibri" w:hAnsi="Calibri"/>
                <w:sz w:val="17"/>
              </w:rPr>
              <w:t xml:space="preserve">R8 Measurement</w:t>
            </w:r>
          </w:p>
        </w:tc>
        <w:tc>
          <w:tcPr/>
          <w:p>
            <w:pPr>
              <w:pStyle w:val="Compact"/>
              <w:spacing w:after="40"/>
              <w:jc w:val="left"/>
            </w:pPr>
            <w:r>
              <w:rPr>
                <w:rFonts w:ascii="Calibri" w:hAnsi="Calibri"/>
                <w:sz w:val="17"/>
              </w:rPr>
              <w:t xml:space="preserve">Two-level value tracking; 10-20% then 10% engineer efficiency; usage dashboard; outcomes over activity stated [149, 151, 154]</w:t>
            </w:r>
          </w:p>
        </w:tc>
        <w:tc>
          <w:tcPr/>
          <w:p>
            <w:pPr>
              <w:pStyle w:val="Compact"/>
              <w:spacing w:after="40"/>
              <w:jc w:val="left"/>
            </w:pPr>
            <w:r>
              <w:rPr>
                <w:rFonts w:ascii="Calibri" w:hAnsi="Calibri"/>
                <w:sz w:val="17"/>
              </w:rPr>
              <w:t xml:space="preserve">Strong value accounting at portfolio level; per-repository outcome metrics undisclosed; usage-tied reviews are an anti-pattern risk</w:t>
            </w:r>
          </w:p>
        </w:tc>
      </w:tr>
    </w:tbl>
    <w:p>
      <w:pPr>
        <w:pStyle w:val="BodyText"/>
      </w:pPr>
      <w:r>
        <w:rPr>
          <w:bCs/>
          <w:b/>
        </w:rPr>
        <w:t xml:space="preserve">What the case teaches.</w:t>
      </w:r>
      <w:r>
        <w:t xml:space="preserve"> </w:t>
      </w:r>
      <w:r>
        <w:t xml:space="preserve">First, a regulated firm can scale assistants to a quarter of a million people without mandates by tracking value in the finance function’s terms. Second, the coding program’s public metrics are efficiency percentages with undisclosed methods, which is the measurement gap of Section 2.2 in a single institution. Third, the firm’s own diagnosis for 2026, context and guardrails rather than models, matches the readiness dimensions R3, R6 and R7. Fourth, tying performance reviews to tool usage is the one publicly reported step that the measurement literature argues against [125, 157].</w:t>
      </w:r>
    </w:p>
    <w:p>
      <w:pPr>
        <w:pStyle w:val="BodyText"/>
      </w:pPr>
      <w:r>
        <w:rPr>
          <w:bCs/>
          <w:b/>
        </w:rPr>
        <w:t xml:space="preserve">Caveats.</w:t>
      </w:r>
      <w:r>
        <w:t xml:space="preserve"> </w:t>
      </w:r>
      <w:r>
        <w:t xml:space="preserve">Most figures are company-reported or reported from internal documents by the press; the efficiency metrics are undefined; the 2026 statements are intentions. The case is strong on program design and weak on repository-level evidence, which is precisely the layer the paper argues is missing from public discourse.</w:t>
      </w:r>
    </w:p>
    <w:bookmarkEnd w:id="42"/>
    <w:bookmarkStart w:id="43" w:name="comparators"/>
    <w:p>
      <w:pPr>
        <w:pStyle w:val="Heading3"/>
      </w:pPr>
      <w:r>
        <w:t xml:space="preserve">4.5 Comparators</w:t>
      </w:r>
    </w:p>
    <w:p>
      <w:pPr>
        <w:pStyle w:val="FirstParagraph"/>
      </w:pPr>
      <w:r>
        <w:rPr>
          <w:bCs/>
          <w:b/>
        </w:rPr>
        <w:t xml:space="preserve">Goldman Sachs.</w:t>
      </w:r>
      <w:r>
        <w:t xml:space="preserve"> </w:t>
      </w:r>
      <w:r>
        <w:t xml:space="preserve">The firm rolled its AI assistant out firmwide in June 2025 [158], piloted Cognition’s Devin from July 2025 with</w:t>
      </w:r>
      <w:r>
        <w:t xml:space="preserve"> </w:t>
      </w:r>
      <w:r>
        <w:t xml:space="preserve">“</w:t>
      </w:r>
      <w:r>
        <w:t xml:space="preserve">hundreds</w:t>
      </w:r>
      <w:r>
        <w:t xml:space="preserve">”</w:t>
      </w:r>
      <w:r>
        <w:t xml:space="preserve"> </w:t>
      </w:r>
      <w:r>
        <w:t xml:space="preserve">of agents alongside about 12,000 developers under a</w:t>
      </w:r>
      <w:r>
        <w:t xml:space="preserve"> </w:t>
      </w:r>
      <w:r>
        <w:t xml:space="preserve">“</w:t>
      </w:r>
      <w:r>
        <w:t xml:space="preserve">hybrid workforce</w:t>
      </w:r>
      <w:r>
        <w:t xml:space="preserve">”</w:t>
      </w:r>
      <w:r>
        <w:t xml:space="preserve"> </w:t>
      </w:r>
      <w:r>
        <w:t xml:space="preserve">model in which engineers</w:t>
      </w:r>
      <w:r>
        <w:t xml:space="preserve"> </w:t>
      </w:r>
      <w:r>
        <w:t xml:space="preserve">“</w:t>
      </w:r>
      <w:r>
        <w:t xml:space="preserve">describe problems, turn it into prompts</w:t>
      </w:r>
      <w:r>
        <w:t xml:space="preserve">”</w:t>
      </w:r>
      <w:r>
        <w:t xml:space="preserve"> </w:t>
      </w:r>
      <w:r>
        <w:t xml:space="preserve">and</w:t>
      </w:r>
      <w:r>
        <w:t xml:space="preserve"> </w:t>
      </w:r>
      <w:r>
        <w:t xml:space="preserve">“</w:t>
      </w:r>
      <w:r>
        <w:t xml:space="preserve">supervise the work of those agents</w:t>
      </w:r>
      <w:r>
        <w:t xml:space="preserve">”</w:t>
      </w:r>
      <w:r>
        <w:t xml:space="preserve"> </w:t>
      </w:r>
      <w:r>
        <w:t xml:space="preserve">[159], extended Claude-based agents to reconciliation and onboarding in 2026 [160], and, in an August 2026 profile, framed the metric that matters as idea-to-production speed while noting that agents struggle</w:t>
      </w:r>
      <w:r>
        <w:t xml:space="preserve"> </w:t>
      </w:r>
      <w:r>
        <w:t xml:space="preserve">“</w:t>
      </w:r>
      <w:r>
        <w:t xml:space="preserve">when objectives are ambiguous or lack specificity</w:t>
      </w:r>
      <w:r>
        <w:t xml:space="preserve">”</w:t>
      </w:r>
      <w:r>
        <w:t xml:space="preserve"> </w:t>
      </w:r>
      <w:r>
        <w:t xml:space="preserve">[161]. Its Legend platform, open-sourced through FINOS in 2020, shows the estate-level investment in shared data and SDLC tooling that precedes agent readiness [162]. Its CIO’s argument that AI code</w:t>
      </w:r>
      <w:r>
        <w:t xml:space="preserve"> </w:t>
      </w:r>
      <w:r>
        <w:t xml:space="preserve">“</w:t>
      </w:r>
      <w:r>
        <w:t xml:space="preserve">can be syntactically and semantically correct but not functionally correct</w:t>
      </w:r>
      <w:r>
        <w:t xml:space="preserve">”</w:t>
      </w:r>
      <w:r>
        <w:t xml:space="preserve"> </w:t>
      </w:r>
      <w:r>
        <w:t xml:space="preserve">is the specification and verification thesis of Section 3 in one sentence [163].</w:t>
      </w:r>
    </w:p>
    <w:p>
      <w:pPr>
        <w:pStyle w:val="BodyText"/>
      </w:pPr>
      <w:r>
        <w:rPr>
          <w:bCs/>
          <w:b/>
        </w:rPr>
        <w:t xml:space="preserve">DBS Bank.</w:t>
      </w:r>
      <w:r>
        <w:t xml:space="preserve"> </w:t>
      </w:r>
      <w:r>
        <w:t xml:space="preserve">DBS industrialized AI over a decade with an ALAN knowledge repository, an ADA data platform, the PURE responsible-data test and data-chapter members in every squad [164-166], reported AI economic value rising to SGD 1 billion in 2025 across 430 use cases, and an agentic coding tool saving data professionals about 20% of coding time [167]. Its Digital Value Capture accounting, run with McKinsey since 2016, is the model for the value dimension of any maturity assessment [167].</w:t>
      </w:r>
    </w:p>
    <w:p>
      <w:pPr>
        <w:pStyle w:val="BodyText"/>
      </w:pPr>
      <w:r>
        <w:rPr>
          <w:bCs/>
          <w:b/>
        </w:rPr>
        <w:t xml:space="preserve">Citi.</w:t>
      </w:r>
      <w:r>
        <w:t xml:space="preserve"> </w:t>
      </w:r>
      <w:r>
        <w:t xml:space="preserve">Citi’s Devin rollout to about 40,000 developers specified the guardrails before scale: humans keep approval, agents cannot deploy code, access is limited to internal repositories through retrieval, and automated tests run before human review [168]; its disclosed metrics remain activity counts (7 million tool uses, more than a million automated code reviews) [169].</w:t>
      </w:r>
    </w:p>
    <w:p>
      <w:pPr>
        <w:pStyle w:val="BodyText"/>
      </w:pPr>
      <w:r>
        <w:rPr>
          <w:bCs/>
          <w:b/>
        </w:rPr>
        <w:t xml:space="preserve">Morgan Stanley.</w:t>
      </w:r>
      <w:r>
        <w:t xml:space="preserve"> </w:t>
      </w:r>
      <w:r>
        <w:t xml:space="preserve">The firm’s evals-first rollout (advisor-graded summarization and retrieval evals, a daily regression suite) is the readiness gate of R8 applied to a knowledge assistant [170], and its DevGen.AI translated nine million lines of legacy code into specifications that humans reimplemented, keeping people at the point where correctness cannot yet be verified automatically [171].</w:t>
      </w:r>
    </w:p>
    <w:bookmarkEnd w:id="43"/>
    <w:bookmarkStart w:id="44" w:name="cross-case-synthesis"/>
    <w:p>
      <w:pPr>
        <w:pStyle w:val="Heading3"/>
      </w:pPr>
      <w:r>
        <w:t xml:space="preserve">4.6 Cross-case synthesis</w:t>
      </w:r>
    </w:p>
    <w:p>
      <w:pPr>
        <w:pStyle w:val="FirstParagraph"/>
      </w:pPr>
      <w:r>
        <w:t xml:space="preserve">Three conclusions hold across the cases. The organizations with the strongest disclosed outcomes (Google, DBS) built the estate first: verification surfaces, ownership routing, knowledge platforms and value accounting. The banks converge on the same guardrail set for agent-authored code (approved tools, internal-only retrieval, tests before review, humans approve, agents cannot deploy) even though no regulator has yet written it down for coding agents. The adoption-policy cases outside banking (Shopify’s reflexive-use baseline, Coinbase’s onboarding mandate, Salesforce’s hiring freeze, Klarna’s cost-driven reversal) show what happens when targets precede measurement [39, 172-174]. And every organization’s public productivity number is an exposure or efficiency figure with an undisclosed method, while the metric each says it manages on is a capacity or idea-to-production measure. The instrument the industry lacks is the one that would let a bank say, per repository, what an agent may do and show the evidence.</w:t>
      </w:r>
    </w:p>
    <w:bookmarkEnd w:id="44"/>
    <w:bookmarkEnd w:id="45"/>
    <w:bookmarkStart w:id="53" w:name="Xf7b0045fe4b90008d572d73e93cf89b5ea037e9"/>
    <w:p>
      <w:pPr>
        <w:pStyle w:val="Heading2"/>
      </w:pPr>
      <w:r>
        <w:t xml:space="preserve">5. What a regulated, fintech or compliance-bound company can do</w:t>
      </w:r>
    </w:p>
    <w:bookmarkStart w:id="46" w:name="X552496b693bc19c4d8286f4597f30bec0b70cc8"/>
    <w:p>
      <w:pPr>
        <w:pStyle w:val="Heading3"/>
      </w:pPr>
      <w:r>
        <w:t xml:space="preserve">5.1 Start from the rules that already govern code</w:t>
      </w:r>
    </w:p>
    <w:p>
      <w:pPr>
        <w:pStyle w:val="FirstParagraph"/>
      </w:pPr>
      <w:r>
        <w:t xml:space="preserve">A regulated firm does not need new law to know what an agent-authored change must satisfy. The supervisory rules on the software development lifecycle already specify it, and they converge. Table 5.1 collects the requirements and maps each to the repository or workflow control that discharges it when the author is an agent.</w:t>
      </w:r>
    </w:p>
    <w:p>
      <w:pPr>
        <w:pStyle w:val="BodyText"/>
      </w:pPr>
      <w:r>
        <w:rPr>
          <w:bCs/>
          <w:b/>
        </w:rPr>
        <w:t xml:space="preserve">Table 5.1. Supervisory SDLC requirements and their repository-level controls for agent-authored code</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980"/>
        <w:gridCol w:w="1980"/>
        <w:gridCol w:w="1980"/>
        <w:gridCol w:w="1980"/>
      </w:tblGrid>
      <w:tr>
        <w:trPr>
          <w:tblHeader w:val="true"/>
        </w:trPr>
        <w:tc>
          <w:tcPr>
            <w:shd w:val="clear" w:color="auto" w:fill="EEF2F6"/>
          </w:tcPr>
          <w:p>
            <w:pPr>
              <w:pStyle w:val="Compact"/>
              <w:spacing w:after="40"/>
              <w:jc w:val="left"/>
            </w:pPr>
            <w:r>
              <w:rPr>
                <w:rFonts w:ascii="Calibri" w:hAnsi="Calibri"/>
                <w:b/>
                <w:sz w:val="17"/>
              </w:rPr>
              <w:t xml:space="preserve">Requirement (source)</w:t>
            </w:r>
          </w:p>
        </w:tc>
        <w:tc>
          <w:tcPr>
            <w:shd w:val="clear" w:color="auto" w:fill="EEF2F6"/>
          </w:tcPr>
          <w:p>
            <w:pPr>
              <w:pStyle w:val="Compact"/>
              <w:spacing w:after="40"/>
              <w:jc w:val="left"/>
            </w:pPr>
            <w:r>
              <w:rPr>
                <w:rFonts w:ascii="Calibri" w:hAnsi="Calibri"/>
                <w:b/>
                <w:sz w:val="17"/>
              </w:rPr>
              <w:t xml:space="preserve">What the rule says</w:t>
            </w:r>
          </w:p>
        </w:tc>
        <w:tc>
          <w:tcPr>
            <w:shd w:val="clear" w:color="auto" w:fill="EEF2F6"/>
          </w:tcPr>
          <w:p>
            <w:pPr>
              <w:pStyle w:val="Compact"/>
              <w:spacing w:after="40"/>
              <w:jc w:val="left"/>
            </w:pPr>
            <w:r>
              <w:rPr>
                <w:rFonts w:ascii="Calibri" w:hAnsi="Calibri"/>
                <w:b/>
                <w:sz w:val="17"/>
              </w:rPr>
              <w:t xml:space="preserve">Repository or workflow control for agent-authored code</w:t>
            </w:r>
          </w:p>
        </w:tc>
        <w:tc>
          <w:tcPr>
            <w:shd w:val="clear" w:color="auto" w:fill="EEF2F6"/>
          </w:tcPr>
          <w:p>
            <w:pPr>
              <w:pStyle w:val="Compact"/>
              <w:spacing w:after="40"/>
              <w:jc w:val="left"/>
            </w:pPr>
            <w:r>
              <w:rPr>
                <w:rFonts w:ascii="Calibri" w:hAnsi="Calibri"/>
                <w:b/>
                <w:sz w:val="17"/>
              </w:rPr>
              <w:t xml:space="preserve">RARM dimension</w:t>
            </w:r>
          </w:p>
        </w:tc>
      </w:tr>
      <w:tr>
        <w:tc>
          <w:tcPr/>
          <w:p>
            <w:pPr>
              <w:pStyle w:val="Compact"/>
              <w:spacing w:after="40"/>
              <w:jc w:val="left"/>
            </w:pPr>
            <w:r>
              <w:rPr>
                <w:rFonts w:ascii="Calibri" w:hAnsi="Calibri"/>
                <w:sz w:val="17"/>
              </w:rPr>
              <w:t xml:space="preserve">Secure-by-design SDLC (MAS TRM 2021, s.2-3) [175]; NYDFS 500.8 [176]; FFIEC DA&amp;M 2024 [177]; NIST SSDF and its GenAI profile [178]; NCSC/CISA secure AI development [179]</w:t>
            </w:r>
          </w:p>
        </w:tc>
        <w:tc>
          <w:tcPr/>
          <w:p>
            <w:pPr>
              <w:pStyle w:val="Compact"/>
              <w:spacing w:after="40"/>
              <w:jc w:val="left"/>
            </w:pPr>
            <w:r>
              <w:rPr>
                <w:rFonts w:ascii="Calibri" w:hAnsi="Calibri"/>
                <w:sz w:val="17"/>
              </w:rPr>
              <w:t xml:space="preserve">“</w:t>
            </w:r>
            <w:r>
              <w:rPr>
                <w:rFonts w:ascii="Calibri" w:hAnsi="Calibri"/>
                <w:sz w:val="17"/>
              </w:rPr>
              <w:t xml:space="preserve">Establish a framework to manage its system development life cycle (SDLC) based on the security-by-design principles</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written procedures … to ensure the use of secure development practices for in-house developed applications</w:t>
            </w:r>
            <w:r>
              <w:rPr>
                <w:rFonts w:ascii="Calibri" w:hAnsi="Calibri"/>
                <w:sz w:val="17"/>
              </w:rPr>
              <w:t xml:space="preserve">”</w:t>
            </w:r>
          </w:p>
        </w:tc>
        <w:tc>
          <w:tcPr/>
          <w:p>
            <w:pPr>
              <w:pStyle w:val="Compact"/>
              <w:spacing w:after="40"/>
              <w:jc w:val="left"/>
            </w:pPr>
            <w:r>
              <w:rPr>
                <w:rFonts w:ascii="Calibri" w:hAnsi="Calibri"/>
                <w:sz w:val="17"/>
              </w:rPr>
              <w:t xml:space="preserve">Security guidance in context files and CI gates; SAST and secrets scanning on every agent PR; approved-harness and approved-model policy</w:t>
            </w:r>
          </w:p>
        </w:tc>
        <w:tc>
          <w:tcPr/>
          <w:p>
            <w:pPr>
              <w:pStyle w:val="Compact"/>
              <w:spacing w:after="40"/>
              <w:jc w:val="left"/>
            </w:pPr>
            <w:r>
              <w:rPr>
                <w:rFonts w:ascii="Calibri" w:hAnsi="Calibri"/>
                <w:sz w:val="17"/>
              </w:rPr>
              <w:t xml:space="preserve">R2, R6, R7</w:t>
            </w:r>
          </w:p>
        </w:tc>
      </w:tr>
      <w:tr>
        <w:tc>
          <w:tcPr/>
          <w:p>
            <w:pPr>
              <w:pStyle w:val="Compact"/>
              <w:spacing w:after="40"/>
              <w:jc w:val="left"/>
            </w:pPr>
            <w:r>
              <w:rPr>
                <w:rFonts w:ascii="Calibri" w:hAnsi="Calibri"/>
                <w:sz w:val="17"/>
              </w:rPr>
              <w:t xml:space="preserve">Source-code testing (DORA RTS Art. 16(3)) [61]</w:t>
            </w:r>
          </w:p>
        </w:tc>
        <w:tc>
          <w:tcPr/>
          <w:p>
            <w:pPr>
              <w:pStyle w:val="Compact"/>
              <w:spacing w:after="40"/>
              <w:jc w:val="left"/>
            </w:pPr>
            <w:r>
              <w:rPr>
                <w:rFonts w:ascii="Calibri" w:hAnsi="Calibri"/>
                <w:sz w:val="17"/>
              </w:rPr>
              <w:t xml:space="preserve">“</w:t>
            </w:r>
            <w:r>
              <w:rPr>
                <w:rFonts w:ascii="Calibri" w:hAnsi="Calibri"/>
                <w:sz w:val="17"/>
              </w:rPr>
              <w:t xml:space="preserve">source code reviews covering both static and dynamic testing</w:t>
            </w:r>
            <w:r>
              <w:rPr>
                <w:rFonts w:ascii="Calibri" w:hAnsi="Calibri"/>
                <w:sz w:val="17"/>
              </w:rPr>
              <w:t xml:space="preserve">”</w:t>
            </w:r>
            <w:r>
              <w:rPr>
                <w:rFonts w:ascii="Calibri" w:hAnsi="Calibri"/>
                <w:sz w:val="17"/>
              </w:rPr>
              <w:t xml:space="preserve"> </w:t>
            </w:r>
            <w:r>
              <w:rPr>
                <w:rFonts w:ascii="Calibri" w:hAnsi="Calibri"/>
                <w:sz w:val="17"/>
              </w:rPr>
              <w:t xml:space="preserve">before use; security testing no later than integration</w:t>
            </w:r>
          </w:p>
        </w:tc>
        <w:tc>
          <w:tcPr/>
          <w:p>
            <w:pPr>
              <w:pStyle w:val="Compact"/>
              <w:spacing w:after="40"/>
              <w:jc w:val="left"/>
            </w:pPr>
            <w:r>
              <w:rPr>
                <w:rFonts w:ascii="Calibri" w:hAnsi="Calibri"/>
                <w:sz w:val="17"/>
              </w:rPr>
              <w:t xml:space="preserve">Static analysis and dynamic tests as required status checks; results machine-readable and fed back to the agent</w:t>
            </w:r>
          </w:p>
        </w:tc>
        <w:tc>
          <w:tcPr/>
          <w:p>
            <w:pPr>
              <w:pStyle w:val="Compact"/>
              <w:spacing w:after="40"/>
              <w:jc w:val="left"/>
            </w:pPr>
            <w:r>
              <w:rPr>
                <w:rFonts w:ascii="Calibri" w:hAnsi="Calibri"/>
                <w:sz w:val="17"/>
              </w:rPr>
              <w:t xml:space="preserve">R2</w:t>
            </w:r>
          </w:p>
        </w:tc>
      </w:tr>
      <w:tr>
        <w:tc>
          <w:tcPr/>
          <w:p>
            <w:pPr>
              <w:pStyle w:val="Compact"/>
              <w:spacing w:after="40"/>
              <w:jc w:val="left"/>
            </w:pPr>
            <w:r>
              <w:rPr>
                <w:rFonts w:ascii="Calibri" w:hAnsi="Calibri"/>
                <w:sz w:val="17"/>
              </w:rPr>
              <w:t xml:space="preserve">Non-production data (DORA RTS Art. 16(5)) [61]</w:t>
            </w:r>
          </w:p>
        </w:tc>
        <w:tc>
          <w:tcPr/>
          <w:p>
            <w:pPr>
              <w:pStyle w:val="Compact"/>
              <w:spacing w:after="40"/>
              <w:jc w:val="left"/>
            </w:pPr>
            <w:r>
              <w:rPr>
                <w:rFonts w:ascii="Calibri" w:hAnsi="Calibri"/>
                <w:sz w:val="17"/>
              </w:rPr>
              <w:t xml:space="preserve">Non-production environments hold</w:t>
            </w:r>
            <w:r>
              <w:rPr>
                <w:rFonts w:ascii="Calibri" w:hAnsi="Calibri"/>
                <w:sz w:val="17"/>
              </w:rPr>
              <w:t xml:space="preserve"> </w:t>
            </w:r>
            <w:r>
              <w:rPr>
                <w:rFonts w:ascii="Calibri" w:hAnsi="Calibri"/>
                <w:sz w:val="17"/>
              </w:rPr>
              <w:t xml:space="preserve">“</w:t>
            </w:r>
            <w:r>
              <w:rPr>
                <w:rFonts w:ascii="Calibri" w:hAnsi="Calibri"/>
                <w:sz w:val="17"/>
              </w:rPr>
              <w:t xml:space="preserve">anonymised, pseudonymised, or randomised production data</w:t>
            </w:r>
            <w:r>
              <w:rPr>
                <w:rFonts w:ascii="Calibri" w:hAnsi="Calibri"/>
                <w:sz w:val="17"/>
              </w:rPr>
              <w:t xml:space="preserve">”</w:t>
            </w:r>
          </w:p>
        </w:tc>
        <w:tc>
          <w:tcPr/>
          <w:p>
            <w:pPr>
              <w:pStyle w:val="Compact"/>
              <w:spacing w:after="40"/>
              <w:jc w:val="left"/>
            </w:pPr>
            <w:r>
              <w:rPr>
                <w:rFonts w:ascii="Calibri" w:hAnsi="Calibri"/>
                <w:sz w:val="17"/>
              </w:rPr>
              <w:t xml:space="preserve">Agent sandboxes provisioned with synthetic or masked data; egress policy</w:t>
            </w:r>
          </w:p>
        </w:tc>
        <w:tc>
          <w:tcPr/>
          <w:p>
            <w:pPr>
              <w:pStyle w:val="Compact"/>
              <w:spacing w:after="40"/>
              <w:jc w:val="left"/>
            </w:pPr>
            <w:r>
              <w:rPr>
                <w:rFonts w:ascii="Calibri" w:hAnsi="Calibri"/>
                <w:sz w:val="17"/>
              </w:rPr>
              <w:t xml:space="preserve">R1</w:t>
            </w:r>
          </w:p>
        </w:tc>
      </w:tr>
      <w:tr>
        <w:tc>
          <w:tcPr/>
          <w:p>
            <w:pPr>
              <w:pStyle w:val="Compact"/>
              <w:spacing w:after="40"/>
              <w:jc w:val="left"/>
            </w:pPr>
            <w:r>
              <w:rPr>
                <w:rFonts w:ascii="Calibri" w:hAnsi="Calibri"/>
                <w:sz w:val="17"/>
              </w:rPr>
              <w:t xml:space="preserve">Independent change approval (DORA RTS Art. 17(1)(b)) [61]; PCI DSS 6.2.3.1 and 6.5.4 [180]; MAS TRM DevSecOps segregation of duties [175]</w:t>
            </w:r>
          </w:p>
        </w:tc>
        <w:tc>
          <w:tcPr/>
          <w:p>
            <w:pPr>
              <w:pStyle w:val="Compact"/>
              <w:spacing w:after="40"/>
              <w:jc w:val="left"/>
            </w:pPr>
            <w:r>
              <w:rPr>
                <w:rFonts w:ascii="Calibri" w:hAnsi="Calibri"/>
                <w:sz w:val="17"/>
              </w:rPr>
              <w:t xml:space="preserve">“</w:t>
            </w:r>
            <w:r>
              <w:rPr>
                <w:rFonts w:ascii="Calibri" w:hAnsi="Calibri"/>
                <w:sz w:val="17"/>
              </w:rPr>
              <w:t xml:space="preserve">independence of the functions that approve changes</w:t>
            </w:r>
            <w:r>
              <w:rPr>
                <w:rFonts w:ascii="Calibri" w:hAnsi="Calibri"/>
                <w:sz w:val="17"/>
              </w:rPr>
              <w:t xml:space="preserve">”</w:t>
            </w:r>
            <w:r>
              <w:rPr>
                <w:rFonts w:ascii="Calibri" w:hAnsi="Calibri"/>
                <w:sz w:val="17"/>
              </w:rPr>
              <w:t xml:space="preserve">; manual code review</w:t>
            </w:r>
            <w:r>
              <w:rPr>
                <w:rFonts w:ascii="Calibri" w:hAnsi="Calibri"/>
                <w:sz w:val="17"/>
              </w:rPr>
              <w:t xml:space="preserve"> </w:t>
            </w:r>
            <w:r>
              <w:rPr>
                <w:rFonts w:ascii="Calibri" w:hAnsi="Calibri"/>
                <w:sz w:val="17"/>
              </w:rPr>
              <w:t xml:space="preserve">“</w:t>
            </w:r>
            <w:r>
              <w:rPr>
                <w:rFonts w:ascii="Calibri" w:hAnsi="Calibri"/>
                <w:sz w:val="17"/>
              </w:rPr>
              <w:t xml:space="preserve">by individuals other than the author</w:t>
            </w:r>
            <w:r>
              <w:rPr>
                <w:rFonts w:ascii="Calibri" w:hAnsi="Calibri"/>
                <w:sz w:val="17"/>
              </w:rPr>
              <w:t xml:space="preserve">”</w:t>
            </w:r>
            <w:r>
              <w:rPr>
                <w:rFonts w:ascii="Calibri" w:hAnsi="Calibri"/>
                <w:sz w:val="17"/>
              </w:rPr>
              <w:t xml:space="preserve">; separation of duties between production and pre-production</w:t>
            </w:r>
          </w:p>
        </w:tc>
        <w:tc>
          <w:tcPr/>
          <w:p>
            <w:pPr>
              <w:pStyle w:val="Compact"/>
              <w:spacing w:after="40"/>
              <w:jc w:val="left"/>
            </w:pPr>
            <w:r>
              <w:rPr>
                <w:rFonts w:ascii="Calibri" w:hAnsi="Calibri"/>
                <w:sz w:val="17"/>
              </w:rPr>
              <w:t xml:space="preserve">Separate human approver for agent PRs (the assigner may not approve); CODEOWNERS required review; rulesets without broad bypass; agents cannot deploy</w:t>
            </w:r>
          </w:p>
        </w:tc>
        <w:tc>
          <w:tcPr/>
          <w:p>
            <w:pPr>
              <w:pStyle w:val="Compact"/>
              <w:spacing w:after="40"/>
              <w:jc w:val="left"/>
            </w:pPr>
            <w:r>
              <w:rPr>
                <w:rFonts w:ascii="Calibri" w:hAnsi="Calibri"/>
                <w:sz w:val="17"/>
              </w:rPr>
              <w:t xml:space="preserve">R7</w:t>
            </w:r>
          </w:p>
        </w:tc>
      </w:tr>
      <w:tr>
        <w:tc>
          <w:tcPr/>
          <w:p>
            <w:pPr>
              <w:pStyle w:val="Compact"/>
              <w:spacing w:after="40"/>
              <w:jc w:val="left"/>
            </w:pPr>
            <w:r>
              <w:rPr>
                <w:rFonts w:ascii="Calibri" w:hAnsi="Calibri"/>
                <w:sz w:val="17"/>
              </w:rPr>
              <w:t xml:space="preserve">Change records (DORA RTS Art. 17(1)(d)-(e)) [61]; PCI DSS 6.5.1 [180]</w:t>
            </w:r>
          </w:p>
        </w:tc>
        <w:tc>
          <w:tcPr/>
          <w:p>
            <w:pPr>
              <w:pStyle w:val="Compact"/>
              <w:spacing w:after="40"/>
              <w:jc w:val="left"/>
            </w:pPr>
            <w:r>
              <w:rPr>
                <w:rFonts w:ascii="Calibri" w:hAnsi="Calibri"/>
                <w:sz w:val="17"/>
              </w:rPr>
              <w:t xml:space="preserve">Purpose, scope, timeline,</w:t>
            </w:r>
            <w:r>
              <w:rPr>
                <w:rFonts w:ascii="Calibri" w:hAnsi="Calibri"/>
                <w:sz w:val="17"/>
              </w:rPr>
              <w:t xml:space="preserve"> </w:t>
            </w:r>
            <w:r>
              <w:rPr>
                <w:rFonts w:ascii="Calibri" w:hAnsi="Calibri"/>
                <w:sz w:val="17"/>
              </w:rPr>
              <w:t xml:space="preserve">“</w:t>
            </w:r>
            <w:r>
              <w:rPr>
                <w:rFonts w:ascii="Calibri" w:hAnsi="Calibri"/>
                <w:sz w:val="17"/>
              </w:rPr>
              <w:t xml:space="preserve">fall-back procedures and responsibilities</w:t>
            </w:r>
            <w:r>
              <w:rPr>
                <w:rFonts w:ascii="Calibri" w:hAnsi="Calibri"/>
                <w:sz w:val="17"/>
              </w:rPr>
              <w:t xml:space="preserve">”</w:t>
            </w:r>
            <w:r>
              <w:rPr>
                <w:rFonts w:ascii="Calibri" w:hAnsi="Calibri"/>
                <w:sz w:val="17"/>
              </w:rPr>
              <w:t xml:space="preserve">; documented reason, security impact, authorization, testing, recovery</w:t>
            </w:r>
          </w:p>
        </w:tc>
        <w:tc>
          <w:tcPr/>
          <w:p>
            <w:pPr>
              <w:pStyle w:val="Compact"/>
              <w:spacing w:after="40"/>
              <w:jc w:val="left"/>
            </w:pPr>
            <w:r>
              <w:rPr>
                <w:rFonts w:ascii="Calibri" w:hAnsi="Calibri"/>
                <w:sz w:val="17"/>
              </w:rPr>
              <w:t xml:space="preserve">PR template capturing task, acceptance criteria, agent identity, model and harness version, verification results; rollback path recorded</w:t>
            </w:r>
          </w:p>
        </w:tc>
        <w:tc>
          <w:tcPr/>
          <w:p>
            <w:pPr>
              <w:pStyle w:val="Compact"/>
              <w:spacing w:after="40"/>
              <w:jc w:val="left"/>
            </w:pPr>
            <w:r>
              <w:rPr>
                <w:rFonts w:ascii="Calibri" w:hAnsi="Calibri"/>
                <w:sz w:val="17"/>
              </w:rPr>
              <w:t xml:space="preserve">R3, R7, R8</w:t>
            </w:r>
          </w:p>
        </w:tc>
      </w:tr>
      <w:tr>
        <w:tc>
          <w:tcPr/>
          <w:p>
            <w:pPr>
              <w:pStyle w:val="Compact"/>
              <w:spacing w:after="40"/>
              <w:jc w:val="left"/>
            </w:pPr>
            <w:r>
              <w:rPr>
                <w:rFonts w:ascii="Calibri" w:hAnsi="Calibri"/>
                <w:sz w:val="17"/>
              </w:rPr>
              <w:t xml:space="preserve">Software inventory (PCI DSS 6.3.2) [180]; EU CRA SBOM obligations [181]; SLSA and ML-BOM [182]</w:t>
            </w:r>
          </w:p>
        </w:tc>
        <w:tc>
          <w:tcPr/>
          <w:p>
            <w:pPr>
              <w:pStyle w:val="Compact"/>
              <w:spacing w:after="40"/>
              <w:jc w:val="left"/>
            </w:pPr>
            <w:r>
              <w:rPr>
                <w:rFonts w:ascii="Calibri" w:hAnsi="Calibri"/>
                <w:sz w:val="17"/>
              </w:rPr>
              <w:t xml:space="preserve">Inventory of bespoke and third-party components; SBOM; provenance</w:t>
            </w:r>
          </w:p>
        </w:tc>
        <w:tc>
          <w:tcPr/>
          <w:p>
            <w:pPr>
              <w:pStyle w:val="Compact"/>
              <w:spacing w:after="40"/>
              <w:jc w:val="left"/>
            </w:pPr>
            <w:r>
              <w:rPr>
                <w:rFonts w:ascii="Calibri" w:hAnsi="Calibri"/>
                <w:sz w:val="17"/>
              </w:rPr>
              <w:t xml:space="preserve">Dependency risk gate on agent PRs; SBOM generation in CI; provenance attestation naming the agent as a builder input</w:t>
            </w:r>
          </w:p>
        </w:tc>
        <w:tc>
          <w:tcPr/>
          <w:p>
            <w:pPr>
              <w:pStyle w:val="Compact"/>
              <w:spacing w:after="40"/>
              <w:jc w:val="left"/>
            </w:pPr>
            <w:r>
              <w:rPr>
                <w:rFonts w:ascii="Calibri" w:hAnsi="Calibri"/>
                <w:sz w:val="17"/>
              </w:rPr>
              <w:t xml:space="preserve">R7</w:t>
            </w:r>
          </w:p>
        </w:tc>
      </w:tr>
      <w:tr>
        <w:tc>
          <w:tcPr/>
          <w:p>
            <w:pPr>
              <w:pStyle w:val="Compact"/>
              <w:spacing w:after="40"/>
              <w:jc w:val="left"/>
            </w:pPr>
            <w:r>
              <w:rPr>
                <w:rFonts w:ascii="Calibri" w:hAnsi="Calibri"/>
                <w:sz w:val="17"/>
              </w:rPr>
              <w:t xml:space="preserve">Third-party risk (DORA Ch. V) [183]; MAS proposed AI guidelines s.4.11 [59]; OCC and FFIEC third-party expectations [177]</w:t>
            </w:r>
          </w:p>
        </w:tc>
        <w:tc>
          <w:tcPr/>
          <w:p>
            <w:pPr>
              <w:pStyle w:val="Compact"/>
              <w:spacing w:after="40"/>
              <w:jc w:val="left"/>
            </w:pPr>
            <w:r>
              <w:rPr>
                <w:rFonts w:ascii="Calibri" w:hAnsi="Calibri"/>
                <w:sz w:val="17"/>
              </w:rPr>
              <w:t xml:space="preserve">Register of ICT providers, contracts, exit plans, concentration</w:t>
            </w:r>
          </w:p>
        </w:tc>
        <w:tc>
          <w:tcPr/>
          <w:p>
            <w:pPr>
              <w:pStyle w:val="Compact"/>
              <w:spacing w:after="40"/>
              <w:jc w:val="left"/>
            </w:pPr>
            <w:r>
              <w:rPr>
                <w:rFonts w:ascii="Calibri" w:hAnsi="Calibri"/>
                <w:sz w:val="17"/>
              </w:rPr>
              <w:t xml:space="preserve">Model and harness providers in the third-party register; provider documentation (GPAI Code of Practice forms) on file; fallback harness</w:t>
            </w:r>
          </w:p>
        </w:tc>
        <w:tc>
          <w:tcPr/>
          <w:p>
            <w:pPr>
              <w:pStyle w:val="Compact"/>
              <w:spacing w:after="40"/>
              <w:jc w:val="left"/>
            </w:pPr>
            <w:r>
              <w:rPr>
                <w:rFonts w:ascii="Calibri" w:hAnsi="Calibri"/>
                <w:sz w:val="17"/>
              </w:rPr>
              <w:t xml:space="preserve">Organizational</w:t>
            </w:r>
          </w:p>
        </w:tc>
      </w:tr>
      <w:tr>
        <w:tc>
          <w:tcPr/>
          <w:p>
            <w:pPr>
              <w:pStyle w:val="Compact"/>
              <w:spacing w:after="40"/>
              <w:jc w:val="left"/>
            </w:pPr>
            <w:r>
              <w:rPr>
                <w:rFonts w:ascii="Calibri" w:hAnsi="Calibri"/>
                <w:sz w:val="17"/>
              </w:rPr>
              <w:t xml:space="preserve">AI inventory and materiality (MAS 2024 thematic review and proposed AI guidelines s.3; MindForge handbooks) [59, 184, 185]; NIST AI RMF Map function [120]; ISO/IEC 42001 [122]</w:t>
            </w:r>
          </w:p>
        </w:tc>
        <w:tc>
          <w:tcPr/>
          <w:p>
            <w:pPr>
              <w:pStyle w:val="Compact"/>
              <w:spacing w:after="40"/>
              <w:jc w:val="left"/>
            </w:pPr>
            <w:r>
              <w:rPr>
                <w:rFonts w:ascii="Calibri" w:hAnsi="Calibri"/>
                <w:sz w:val="17"/>
              </w:rPr>
              <w:t xml:space="preserve">“</w:t>
            </w:r>
            <w:r>
              <w:rPr>
                <w:rFonts w:ascii="Calibri" w:hAnsi="Calibri"/>
                <w:sz w:val="17"/>
              </w:rPr>
              <w:t xml:space="preserve">accurate and up-to-date inventory of AI use cases, systems or models</w:t>
            </w:r>
            <w:r>
              <w:rPr>
                <w:rFonts w:ascii="Calibri" w:hAnsi="Calibri"/>
                <w:sz w:val="17"/>
              </w:rPr>
              <w:t xml:space="preserve">”</w:t>
            </w:r>
            <w:r>
              <w:rPr>
                <w:rFonts w:ascii="Calibri" w:hAnsi="Calibri"/>
                <w:sz w:val="17"/>
              </w:rPr>
              <w:t xml:space="preserve">; materiality by impact, complexity, reliance</w:t>
            </w:r>
          </w:p>
        </w:tc>
        <w:tc>
          <w:tcPr/>
          <w:p>
            <w:pPr>
              <w:pStyle w:val="Compact"/>
              <w:spacing w:after="40"/>
              <w:jc w:val="left"/>
            </w:pPr>
            <w:r>
              <w:rPr>
                <w:rFonts w:ascii="Calibri" w:hAnsi="Calibri"/>
                <w:sz w:val="17"/>
              </w:rPr>
              <w:t xml:space="preserve">Coding agents in the AI inventory; repository sensitivity tier and RARM tier as materiality inputs</w:t>
            </w:r>
          </w:p>
        </w:tc>
        <w:tc>
          <w:tcPr/>
          <w:p>
            <w:pPr>
              <w:pStyle w:val="Compact"/>
              <w:spacing w:after="40"/>
              <w:jc w:val="left"/>
            </w:pPr>
            <w:r>
              <w:rPr>
                <w:rFonts w:ascii="Calibri" w:hAnsi="Calibri"/>
                <w:sz w:val="17"/>
              </w:rPr>
              <w:t xml:space="preserve">Estate level 2-3</w:t>
            </w:r>
          </w:p>
        </w:tc>
      </w:tr>
      <w:tr>
        <w:tc>
          <w:tcPr/>
          <w:p>
            <w:pPr>
              <w:pStyle w:val="Compact"/>
              <w:spacing w:after="40"/>
              <w:jc w:val="left"/>
            </w:pPr>
            <w:r>
              <w:rPr>
                <w:rFonts w:ascii="Calibri" w:hAnsi="Calibri"/>
                <w:sz w:val="17"/>
              </w:rPr>
              <w:t xml:space="preserve">Logging and monitoring (EU AI Act Art. 12 and 72 for high-risk uses) [186]; MAS proposed guidelines s.4.23-4.24 [59]; IMDA agentic framework [116]</w:t>
            </w:r>
          </w:p>
        </w:tc>
        <w:tc>
          <w:tcPr/>
          <w:p>
            <w:pPr>
              <w:pStyle w:val="Compact"/>
              <w:spacing w:after="40"/>
              <w:jc w:val="left"/>
            </w:pPr>
            <w:r>
              <w:rPr>
                <w:rFonts w:ascii="Calibri" w:hAnsi="Calibri"/>
                <w:sz w:val="17"/>
              </w:rPr>
              <w:t xml:space="preserve">Automatic event logging; ongoing monitoring; kill switches; checkpoints for irreversible actions</w:t>
            </w:r>
          </w:p>
        </w:tc>
        <w:tc>
          <w:tcPr/>
          <w:p>
            <w:pPr>
              <w:pStyle w:val="Compact"/>
              <w:spacing w:after="40"/>
              <w:jc w:val="left"/>
            </w:pPr>
            <w:r>
              <w:rPr>
                <w:rFonts w:ascii="Calibri" w:hAnsi="Calibri"/>
                <w:sz w:val="17"/>
              </w:rPr>
              <w:t xml:space="preserve">Audit trail of agent tool calls; hooks blocking prohibited actions; scheduled runs with kill switches; checkpoint approvals for deploy, data or credential changes</w:t>
            </w:r>
          </w:p>
        </w:tc>
        <w:tc>
          <w:tcPr/>
          <w:p>
            <w:pPr>
              <w:pStyle w:val="Compact"/>
              <w:spacing w:after="40"/>
              <w:jc w:val="left"/>
            </w:pPr>
            <w:r>
              <w:rPr>
                <w:rFonts w:ascii="Calibri" w:hAnsi="Calibri"/>
                <w:sz w:val="17"/>
              </w:rPr>
              <w:t xml:space="preserve">R7, R8</w:t>
            </w:r>
          </w:p>
        </w:tc>
      </w:tr>
      <w:tr>
        <w:tc>
          <w:tcPr/>
          <w:p>
            <w:pPr>
              <w:pStyle w:val="Compact"/>
              <w:spacing w:after="40"/>
              <w:jc w:val="left"/>
            </w:pPr>
            <w:r>
              <w:rPr>
                <w:rFonts w:ascii="Calibri" w:hAnsi="Calibri"/>
                <w:sz w:val="17"/>
              </w:rPr>
              <w:t xml:space="preserve">Agent security (OWASP LLM and Agentic Top 10; FINOS AIGF; NIST agent initiative; NSA/CISA data security) [55, 56, 187-189]</w:t>
            </w:r>
          </w:p>
        </w:tc>
        <w:tc>
          <w:tcPr/>
          <w:p>
            <w:pPr>
              <w:pStyle w:val="Compact"/>
              <w:spacing w:after="40"/>
              <w:jc w:val="left"/>
            </w:pPr>
            <w:r>
              <w:rPr>
                <w:rFonts w:ascii="Calibri" w:hAnsi="Calibri"/>
                <w:sz w:val="17"/>
              </w:rPr>
              <w:t xml:space="preserve">Goal hijack, tool misuse, supply-chain, memory poisoning, credential harvesting; agent identity and authorization</w:t>
            </w:r>
          </w:p>
        </w:tc>
        <w:tc>
          <w:tcPr/>
          <w:p>
            <w:pPr>
              <w:pStyle w:val="Compact"/>
              <w:spacing w:after="40"/>
              <w:jc w:val="left"/>
            </w:pPr>
            <w:r>
              <w:rPr>
                <w:rFonts w:ascii="Calibri" w:hAnsi="Calibri"/>
                <w:sz w:val="17"/>
              </w:rPr>
              <w:t xml:space="preserve">Per-agent identity and scoped credentials; MCP server allowlist with pinned versions; context-file and tool-description review as supply-chain artifacts</w:t>
            </w:r>
          </w:p>
        </w:tc>
        <w:tc>
          <w:tcPr/>
          <w:p>
            <w:pPr>
              <w:pStyle w:val="Compact"/>
              <w:spacing w:after="40"/>
              <w:jc w:val="left"/>
            </w:pPr>
            <w:r>
              <w:rPr>
                <w:rFonts w:ascii="Calibri" w:hAnsi="Calibri"/>
                <w:sz w:val="17"/>
              </w:rPr>
              <w:t xml:space="preserve">R6, R7</w:t>
            </w:r>
          </w:p>
        </w:tc>
      </w:tr>
      <w:tr>
        <w:tc>
          <w:tcPr/>
          <w:p>
            <w:pPr>
              <w:pStyle w:val="Compact"/>
              <w:spacing w:after="40"/>
              <w:jc w:val="left"/>
            </w:pPr>
            <w:r>
              <w:rPr>
                <w:rFonts w:ascii="Calibri" w:hAnsi="Calibri"/>
                <w:sz w:val="17"/>
              </w:rPr>
              <w:t xml:space="preserve">IP and licensing (US Copyright Office 2025; Doe v. GitHub) [190, 191]</w:t>
            </w:r>
          </w:p>
        </w:tc>
        <w:tc>
          <w:tcPr/>
          <w:p>
            <w:pPr>
              <w:pStyle w:val="Compact"/>
              <w:spacing w:after="40"/>
              <w:jc w:val="left"/>
            </w:pPr>
            <w:r>
              <w:rPr>
                <w:rFonts w:ascii="Calibri" w:hAnsi="Calibri"/>
                <w:sz w:val="17"/>
              </w:rPr>
              <w:t xml:space="preserve">Purely AI-generated material is not copyrightable; open-source licence and DMCA claims survive against Copilot</w:t>
            </w:r>
          </w:p>
        </w:tc>
        <w:tc>
          <w:tcPr/>
          <w:p>
            <w:pPr>
              <w:pStyle w:val="Compact"/>
              <w:spacing w:after="40"/>
              <w:jc w:val="left"/>
            </w:pPr>
            <w:r>
              <w:rPr>
                <w:rFonts w:ascii="Calibri" w:hAnsi="Calibri"/>
                <w:sz w:val="17"/>
              </w:rPr>
              <w:t xml:space="preserve">Licence scanning of agent output; provider indemnity terms on file; human authorship of significant logic recorded in review</w:t>
            </w:r>
          </w:p>
        </w:tc>
        <w:tc>
          <w:tcPr/>
          <w:p>
            <w:pPr>
              <w:pStyle w:val="Compact"/>
              <w:spacing w:after="40"/>
              <w:jc w:val="left"/>
            </w:pPr>
            <w:r>
              <w:rPr>
                <w:rFonts w:ascii="Calibri" w:hAnsi="Calibri"/>
                <w:sz w:val="17"/>
              </w:rPr>
              <w:t xml:space="preserve">R7</w:t>
            </w:r>
          </w:p>
        </w:tc>
      </w:tr>
      <w:tr>
        <w:tc>
          <w:tcPr/>
          <w:p>
            <w:pPr>
              <w:pStyle w:val="Compact"/>
              <w:spacing w:after="40"/>
              <w:jc w:val="left"/>
            </w:pPr>
            <w:r>
              <w:rPr>
                <w:rFonts w:ascii="Calibri" w:hAnsi="Calibri"/>
                <w:sz w:val="17"/>
              </w:rPr>
              <w:t xml:space="preserve">Governance (FINMA 08/2024; PRA SS1/23; SR 26-2) [58, 65, 192]</w:t>
            </w:r>
          </w:p>
        </w:tc>
        <w:tc>
          <w:tcPr/>
          <w:p>
            <w:pPr>
              <w:pStyle w:val="Compact"/>
              <w:spacing w:after="40"/>
              <w:jc w:val="left"/>
            </w:pPr>
            <w:r>
              <w:rPr>
                <w:rFonts w:ascii="Calibri" w:hAnsi="Calibri"/>
                <w:sz w:val="17"/>
              </w:rPr>
              <w:t xml:space="preserve">Inventory, classification, testing, documentation, independent review; SMF accountability; generative and agentic AI outside MRM pending RFI</w:t>
            </w:r>
          </w:p>
        </w:tc>
        <w:tc>
          <w:tcPr/>
          <w:p>
            <w:pPr>
              <w:pStyle w:val="Compact"/>
              <w:spacing w:after="40"/>
              <w:jc w:val="left"/>
            </w:pPr>
            <w:r>
              <w:rPr>
                <w:rFonts w:ascii="Calibri" w:hAnsi="Calibri"/>
                <w:sz w:val="17"/>
              </w:rPr>
              <w:t xml:space="preserve">Named accountable executive for coding agents; independent validation of the readiness scores and eval suites; explicit statement of which framework covers coding agents</w:t>
            </w:r>
          </w:p>
        </w:tc>
        <w:tc>
          <w:tcPr/>
          <w:p>
            <w:pPr>
              <w:pStyle w:val="Compact"/>
              <w:spacing w:after="40"/>
              <w:jc w:val="left"/>
            </w:pPr>
            <w:r>
              <w:rPr>
                <w:rFonts w:ascii="Calibri" w:hAnsi="Calibri"/>
                <w:sz w:val="17"/>
              </w:rPr>
              <w:t xml:space="preserve">Organizational</w:t>
            </w:r>
          </w:p>
        </w:tc>
      </w:tr>
    </w:tbl>
    <w:p>
      <w:pPr>
        <w:pStyle w:val="BodyText"/>
      </w:pPr>
      <w:r>
        <w:t xml:space="preserve">Two features of this mapping deserve emphasis. First, none of the controls in the third column is new; every one exists in a mature bank’s SDLC for human-authored code. Agents change the volume, the speed and the provenance of changes, not the control objectives. Second, the controls that agents make newly load-bearing are segregation of duties (an agent must never be its own approver, and the person who assigned the task should not be either), provenance (which agent, model, harness and context produced a change) and identity (an agent with a human’s credentials is an unmonitored delegation chain). GitHub’s coding agent implements the first by design [84]; the second and third are what NIST’s agent-identity work and FINOS’s framework are formalizing [56, 188].</w:t>
      </w:r>
    </w:p>
    <w:bookmarkEnd w:id="46"/>
    <w:bookmarkStart w:id="47" w:name="design-principles-for-a-regulated-estate"/>
    <w:p>
      <w:pPr>
        <w:pStyle w:val="Heading3"/>
      </w:pPr>
      <w:r>
        <w:t xml:space="preserve">5.2 Design principles for a regulated estate</w:t>
      </w:r>
    </w:p>
    <w:p>
      <w:pPr>
        <w:numPr>
          <w:ilvl w:val="0"/>
          <w:numId w:val="1005"/>
        </w:numPr>
        <w:pStyle w:val="Compact"/>
      </w:pPr>
      <w:r>
        <w:rPr>
          <w:bCs/>
          <w:b/>
        </w:rPr>
        <w:t xml:space="preserve">Agent-authored code is code.</w:t>
      </w:r>
      <w:r>
        <w:t xml:space="preserve"> </w:t>
      </w:r>
      <w:r>
        <w:t xml:space="preserve">It passes the same gates as human-authored code, plus provenance, segregation of duties and identity controls. No separate, weaker path.</w:t>
      </w:r>
    </w:p>
    <w:p>
      <w:pPr>
        <w:numPr>
          <w:ilvl w:val="0"/>
          <w:numId w:val="1005"/>
        </w:numPr>
        <w:pStyle w:val="Compact"/>
      </w:pPr>
      <w:r>
        <w:rPr>
          <w:bCs/>
          <w:b/>
        </w:rPr>
        <w:t xml:space="preserve">Readiness before autonomy.</w:t>
      </w:r>
      <w:r>
        <w:t xml:space="preserve"> </w:t>
      </w:r>
      <w:r>
        <w:t xml:space="preserve">Tier assignment (Section 3.3) is the authorization decision. An agent may do on a repository only what that repository’s tier and task class permit, and the tier is evidenced, not asserted.</w:t>
      </w:r>
    </w:p>
    <w:p>
      <w:pPr>
        <w:numPr>
          <w:ilvl w:val="0"/>
          <w:numId w:val="1005"/>
        </w:numPr>
        <w:pStyle w:val="Compact"/>
      </w:pPr>
      <w:r>
        <w:rPr>
          <w:bCs/>
          <w:b/>
        </w:rPr>
        <w:t xml:space="preserve">Evidence in the supervisor’s shape.</w:t>
      </w:r>
      <w:r>
        <w:t xml:space="preserve"> </w:t>
      </w:r>
      <w:r>
        <w:t xml:space="preserve">Every readiness indicator and every effectiveness metric is stored so that it can be produced as inventory, materiality, testing, change or monitoring evidence without a separate exercise (Table 5.3).</w:t>
      </w:r>
    </w:p>
    <w:p>
      <w:pPr>
        <w:numPr>
          <w:ilvl w:val="0"/>
          <w:numId w:val="1005"/>
        </w:numPr>
        <w:pStyle w:val="Compact"/>
      </w:pPr>
      <w:r>
        <w:rPr>
          <w:bCs/>
          <w:b/>
        </w:rPr>
        <w:t xml:space="preserve">Minimum across dimensions.</w:t>
      </w:r>
      <w:r>
        <w:t xml:space="preserve"> </w:t>
      </w:r>
      <w:r>
        <w:t xml:space="preserve">A high average with one zero is a zero, because supervisors and incidents find the weakest control.</w:t>
      </w:r>
    </w:p>
    <w:p>
      <w:pPr>
        <w:numPr>
          <w:ilvl w:val="0"/>
          <w:numId w:val="1005"/>
        </w:numPr>
        <w:pStyle w:val="Compact"/>
      </w:pPr>
      <w:r>
        <w:rPr>
          <w:bCs/>
          <w:b/>
        </w:rPr>
        <w:t xml:space="preserve">Outcome metrics over usage metrics.</w:t>
      </w:r>
      <w:r>
        <w:t xml:space="preserve"> </w:t>
      </w:r>
      <w:r>
        <w:t xml:space="preserve">Usage supports adoption tracking; delivery, quality, cost and risk outcomes support claims about value; experiments support headcount and investment decisions [123-125].</w:t>
      </w:r>
    </w:p>
    <w:p>
      <w:pPr>
        <w:numPr>
          <w:ilvl w:val="0"/>
          <w:numId w:val="1005"/>
        </w:numPr>
        <w:pStyle w:val="Compact"/>
      </w:pPr>
      <w:r>
        <w:rPr>
          <w:bCs/>
          <w:b/>
        </w:rPr>
        <w:t xml:space="preserve">Data classification governs scope.</w:t>
      </w:r>
      <w:r>
        <w:t xml:space="preserve"> </w:t>
      </w:r>
      <w:r>
        <w:t xml:space="preserve">Repositories carry a sensitivity tier (Coinbase’s</w:t>
      </w:r>
      <w:r>
        <w:t xml:space="preserve"> </w:t>
      </w:r>
      <w:r>
        <w:t xml:space="preserve">“</w:t>
      </w:r>
      <w:r>
        <w:t xml:space="preserve">repository sensitivity matrix</w:t>
      </w:r>
      <w:r>
        <w:t xml:space="preserve">”</w:t>
      </w:r>
      <w:r>
        <w:t xml:space="preserve"> </w:t>
      </w:r>
      <w:r>
        <w:t xml:space="preserve">is the public example [39]); the tier limits which harnesses, models and retrieval sources may touch the code, and whether production data may appear in any environment an agent reaches.</w:t>
      </w:r>
    </w:p>
    <w:bookmarkEnd w:id="47"/>
    <w:bookmarkStart w:id="48" w:name="X75b064fd4f30565e6bd83b65fb97bc5a6810749"/>
    <w:p>
      <w:pPr>
        <w:pStyle w:val="Heading3"/>
      </w:pPr>
      <w:r>
        <w:t xml:space="preserve">5.3 Repository controls for agent-authored code</w:t>
      </w:r>
    </w:p>
    <w:p>
      <w:pPr>
        <w:pStyle w:val="FirstParagraph"/>
      </w:pPr>
      <w:r>
        <w:t xml:space="preserve">The following is the minimum control set that a regulated firm should be able to demonstrate for any repository at tier T1 or above, expressed as what an auditor can check.</w:t>
      </w:r>
    </w:p>
    <w:p>
      <w:pPr>
        <w:numPr>
          <w:ilvl w:val="0"/>
          <w:numId w:val="1006"/>
        </w:numPr>
        <w:pStyle w:val="Compact"/>
      </w:pPr>
      <w:r>
        <w:rPr>
          <w:bCs/>
          <w:b/>
        </w:rPr>
        <w:t xml:space="preserve">Identity.</w:t>
      </w:r>
      <w:r>
        <w:t xml:space="preserve"> </w:t>
      </w:r>
      <w:r>
        <w:t xml:space="preserve">Each agent runs under its own identity with credentials scoped to the repository and task; human credentials are never delegated; credential exposure is monitored [56, 188].</w:t>
      </w:r>
    </w:p>
    <w:p>
      <w:pPr>
        <w:numPr>
          <w:ilvl w:val="0"/>
          <w:numId w:val="1006"/>
        </w:numPr>
        <w:pStyle w:val="Compact"/>
      </w:pPr>
      <w:r>
        <w:rPr>
          <w:bCs/>
          <w:b/>
        </w:rPr>
        <w:t xml:space="preserve">Approval.</w:t>
      </w:r>
      <w:r>
        <w:t xml:space="preserve"> </w:t>
      </w:r>
      <w:r>
        <w:t xml:space="preserve">Rulesets require review from a code owner who is neither the agent nor the assigner; status checks (build, tests on changed lines, static analysis, security scanning, dependency risk, licence scan) are required; bypass lists are empty or audited [108, 109, 111].</w:t>
      </w:r>
    </w:p>
    <w:p>
      <w:pPr>
        <w:numPr>
          <w:ilvl w:val="0"/>
          <w:numId w:val="1006"/>
        </w:numPr>
        <w:pStyle w:val="Compact"/>
      </w:pPr>
      <w:r>
        <w:rPr>
          <w:bCs/>
          <w:b/>
        </w:rPr>
        <w:t xml:space="preserve">Provenance.</w:t>
      </w:r>
      <w:r>
        <w:t xml:space="preserve"> </w:t>
      </w:r>
      <w:r>
        <w:t xml:space="preserve">Commits and PRs carry the agent, model, harness version, context files and skills in effect; where the estate uses build attestations, the agent is recorded as a builder input [182].</w:t>
      </w:r>
    </w:p>
    <w:p>
      <w:pPr>
        <w:numPr>
          <w:ilvl w:val="0"/>
          <w:numId w:val="1006"/>
        </w:numPr>
        <w:pStyle w:val="Compact"/>
      </w:pPr>
      <w:r>
        <w:rPr>
          <w:bCs/>
          <w:b/>
        </w:rPr>
        <w:t xml:space="preserve">Environment.</w:t>
      </w:r>
      <w:r>
        <w:t xml:space="preserve"> </w:t>
      </w:r>
      <w:r>
        <w:t xml:space="preserve">Agents execute in sandboxes with no production data, controlled egress and pinned dependencies; setup is automated and its success rate measured [61, 72, 193].</w:t>
      </w:r>
    </w:p>
    <w:p>
      <w:pPr>
        <w:numPr>
          <w:ilvl w:val="0"/>
          <w:numId w:val="1006"/>
        </w:numPr>
        <w:pStyle w:val="Compact"/>
      </w:pPr>
      <w:r>
        <w:rPr>
          <w:bCs/>
          <w:b/>
        </w:rPr>
        <w:t xml:space="preserve">Guardrails.</w:t>
      </w:r>
      <w:r>
        <w:t xml:space="preserve"> </w:t>
      </w:r>
      <w:r>
        <w:t xml:space="preserve">Harness hooks block prohibited actions (destructive commands, secret access, network egress outside the allowlist) deterministically; MCP servers are allowlisted and version-pinned; tool descriptions and context files are reviewed as supply-chain artifacts [54, 55, 110].</w:t>
      </w:r>
    </w:p>
    <w:p>
      <w:pPr>
        <w:numPr>
          <w:ilvl w:val="0"/>
          <w:numId w:val="1006"/>
        </w:numPr>
        <w:pStyle w:val="Compact"/>
      </w:pPr>
      <w:r>
        <w:rPr>
          <w:bCs/>
          <w:b/>
        </w:rPr>
        <w:t xml:space="preserve">Verification.</w:t>
      </w:r>
      <w:r>
        <w:t xml:space="preserve"> </w:t>
      </w:r>
      <w:r>
        <w:t xml:space="preserve">Automated fixes from AI (for example, security autofixes) are reviewed by a human before acceptance, as the vendor documentation itself requires [194]; flaky tests are quarantined so that green means green.</w:t>
      </w:r>
    </w:p>
    <w:p>
      <w:pPr>
        <w:numPr>
          <w:ilvl w:val="0"/>
          <w:numId w:val="1006"/>
        </w:numPr>
        <w:pStyle w:val="Compact"/>
      </w:pPr>
      <w:r>
        <w:rPr>
          <w:bCs/>
          <w:b/>
        </w:rPr>
        <w:t xml:space="preserve">Records.</w:t>
      </w:r>
      <w:r>
        <w:t xml:space="preserve"> </w:t>
      </w:r>
      <w:r>
        <w:t xml:space="preserve">The PR record states the task, acceptance criteria, verification evidence and rollback path; the audit log of agent actions is retained for the change-record retention period [61, 180].</w:t>
      </w:r>
    </w:p>
    <w:p>
      <w:pPr>
        <w:numPr>
          <w:ilvl w:val="0"/>
          <w:numId w:val="1006"/>
        </w:numPr>
        <w:pStyle w:val="Compact"/>
      </w:pPr>
      <w:r>
        <w:rPr>
          <w:bCs/>
          <w:b/>
        </w:rPr>
        <w:t xml:space="preserve">Kill switch and checkpoints.</w:t>
      </w:r>
      <w:r>
        <w:t xml:space="preserve"> </w:t>
      </w:r>
      <w:r>
        <w:t xml:space="preserve">Long-running or scheduled agents have a documented stop mechanism and human checkpoints before irreversible actions (deployments, schema changes, permission changes) [59, 116].</w:t>
      </w:r>
    </w:p>
    <w:bookmarkEnd w:id="48"/>
    <w:bookmarkStart w:id="49" w:name="measuring-effectiveness"/>
    <w:p>
      <w:pPr>
        <w:pStyle w:val="Heading3"/>
      </w:pPr>
      <w:r>
        <w:t xml:space="preserve">5.4 Measuring effectiveness</w:t>
      </w:r>
    </w:p>
    <w:p>
      <w:pPr>
        <w:pStyle w:val="FirstParagraph"/>
      </w:pPr>
      <w:r>
        <w:t xml:space="preserve">Table 5.2 gives the metric set and what each may support, following SPACE’s rule of a handful of metrics across at least three dimensions with at least one perceptual measure [124].</w:t>
      </w:r>
    </w:p>
    <w:p>
      <w:pPr>
        <w:pStyle w:val="BodyText"/>
      </w:pPr>
      <w:r>
        <w:rPr>
          <w:bCs/>
          <w:b/>
        </w:rPr>
        <w:t xml:space="preserve">Table 5.2. Effectiveness metrics and permitted inferences</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584"/>
        <w:gridCol w:w="1584"/>
        <w:gridCol w:w="1584"/>
        <w:gridCol w:w="1584"/>
        <w:gridCol w:w="1584"/>
      </w:tblGrid>
      <w:tr>
        <w:trPr>
          <w:tblHeader w:val="true"/>
        </w:trPr>
        <w:tc>
          <w:tcPr>
            <w:shd w:val="clear" w:color="auto" w:fill="EEF2F6"/>
          </w:tcPr>
          <w:p>
            <w:pPr>
              <w:pStyle w:val="Compact"/>
              <w:spacing w:after="40"/>
              <w:jc w:val="left"/>
            </w:pPr>
            <w:r>
              <w:rPr>
                <w:rFonts w:ascii="Calibri" w:hAnsi="Calibri"/>
                <w:b/>
                <w:sz w:val="17"/>
              </w:rPr>
              <w:t xml:space="preserve">Group</w:t>
            </w:r>
          </w:p>
        </w:tc>
        <w:tc>
          <w:tcPr>
            <w:shd w:val="clear" w:color="auto" w:fill="EEF2F6"/>
          </w:tcPr>
          <w:p>
            <w:pPr>
              <w:pStyle w:val="Compact"/>
              <w:spacing w:after="40"/>
              <w:jc w:val="left"/>
            </w:pPr>
            <w:r>
              <w:rPr>
                <w:rFonts w:ascii="Calibri" w:hAnsi="Calibri"/>
                <w:b/>
                <w:sz w:val="17"/>
              </w:rPr>
              <w:t xml:space="preserve">Metrics</w:t>
            </w:r>
          </w:p>
        </w:tc>
        <w:tc>
          <w:tcPr>
            <w:shd w:val="clear" w:color="auto" w:fill="EEF2F6"/>
          </w:tcPr>
          <w:p>
            <w:pPr>
              <w:pStyle w:val="Compact"/>
              <w:spacing w:after="40"/>
              <w:jc w:val="left"/>
            </w:pPr>
            <w:r>
              <w:rPr>
                <w:rFonts w:ascii="Calibri" w:hAnsi="Calibri"/>
                <w:b/>
                <w:sz w:val="17"/>
              </w:rPr>
              <w:t xml:space="preserve">Source</w:t>
            </w:r>
          </w:p>
        </w:tc>
        <w:tc>
          <w:tcPr>
            <w:shd w:val="clear" w:color="auto" w:fill="EEF2F6"/>
          </w:tcPr>
          <w:p>
            <w:pPr>
              <w:pStyle w:val="Compact"/>
              <w:spacing w:after="40"/>
              <w:jc w:val="left"/>
            </w:pPr>
            <w:r>
              <w:rPr>
                <w:rFonts w:ascii="Calibri" w:hAnsi="Calibri"/>
                <w:b/>
                <w:sz w:val="17"/>
              </w:rPr>
              <w:t xml:space="preserve">May support</w:t>
            </w:r>
          </w:p>
        </w:tc>
        <w:tc>
          <w:tcPr>
            <w:shd w:val="clear" w:color="auto" w:fill="EEF2F6"/>
          </w:tcPr>
          <w:p>
            <w:pPr>
              <w:pStyle w:val="Compact"/>
              <w:spacing w:after="40"/>
              <w:jc w:val="left"/>
            </w:pPr>
            <w:r>
              <w:rPr>
                <w:rFonts w:ascii="Calibri" w:hAnsi="Calibri"/>
                <w:b/>
                <w:sz w:val="17"/>
              </w:rPr>
              <w:t xml:space="preserve">May not support</w:t>
            </w:r>
          </w:p>
        </w:tc>
      </w:tr>
      <w:tr>
        <w:tc>
          <w:tcPr/>
          <w:p>
            <w:pPr>
              <w:pStyle w:val="Compact"/>
              <w:spacing w:after="40"/>
              <w:jc w:val="left"/>
            </w:pPr>
            <w:r>
              <w:rPr>
                <w:rFonts w:ascii="Calibri" w:hAnsi="Calibri"/>
                <w:sz w:val="17"/>
              </w:rPr>
              <w:t xml:space="preserve">Readiness (input)</w:t>
            </w:r>
          </w:p>
        </w:tc>
        <w:tc>
          <w:tcPr/>
          <w:p>
            <w:pPr>
              <w:pStyle w:val="Compact"/>
              <w:spacing w:after="40"/>
              <w:jc w:val="left"/>
            </w:pPr>
            <w:r>
              <w:rPr>
                <w:rFonts w:ascii="Calibri" w:hAnsi="Calibri"/>
                <w:sz w:val="17"/>
              </w:rPr>
              <w:t xml:space="preserve">RARM tier distribution across the estate; share of agent traffic on T2+ repositories; remediation backlog burn-down</w:t>
            </w:r>
          </w:p>
        </w:tc>
        <w:tc>
          <w:tcPr/>
          <w:p>
            <w:pPr>
              <w:pStyle w:val="Compact"/>
              <w:spacing w:after="40"/>
              <w:jc w:val="left"/>
            </w:pPr>
            <w:r>
              <w:rPr>
                <w:rFonts w:ascii="Calibri" w:hAnsi="Calibri"/>
                <w:sz w:val="17"/>
              </w:rPr>
              <w:t xml:space="preserve">Readiness pipeline</w:t>
            </w:r>
          </w:p>
        </w:tc>
        <w:tc>
          <w:tcPr/>
          <w:p>
            <w:pPr>
              <w:pStyle w:val="Compact"/>
              <w:spacing w:after="40"/>
              <w:jc w:val="left"/>
            </w:pPr>
            <w:r>
              <w:rPr>
                <w:rFonts w:ascii="Calibri" w:hAnsi="Calibri"/>
                <w:sz w:val="17"/>
              </w:rPr>
              <w:t xml:space="preserve">Prioritization; authorization decisions</w:t>
            </w:r>
          </w:p>
        </w:tc>
        <w:tc>
          <w:tcPr/>
          <w:p>
            <w:pPr>
              <w:pStyle w:val="Compact"/>
              <w:spacing w:after="40"/>
              <w:jc w:val="left"/>
            </w:pPr>
            <w:r>
              <w:rPr>
                <w:rFonts w:ascii="Calibri" w:hAnsi="Calibri"/>
                <w:sz w:val="17"/>
              </w:rPr>
              <w:t xml:space="preserve">Value claims</w:t>
            </w:r>
          </w:p>
        </w:tc>
      </w:tr>
      <w:tr>
        <w:tc>
          <w:tcPr/>
          <w:p>
            <w:pPr>
              <w:pStyle w:val="Compact"/>
              <w:spacing w:after="40"/>
              <w:jc w:val="left"/>
            </w:pPr>
            <w:r>
              <w:rPr>
                <w:rFonts w:ascii="Calibri" w:hAnsi="Calibri"/>
                <w:sz w:val="17"/>
              </w:rPr>
              <w:t xml:space="preserve">Utilization (input)</w:t>
            </w:r>
          </w:p>
        </w:tc>
        <w:tc>
          <w:tcPr/>
          <w:p>
            <w:pPr>
              <w:pStyle w:val="Compact"/>
              <w:spacing w:after="40"/>
              <w:jc w:val="left"/>
            </w:pPr>
            <w:r>
              <w:rPr>
                <w:rFonts w:ascii="Calibri" w:hAnsi="Calibri"/>
                <w:sz w:val="17"/>
              </w:rPr>
              <w:t xml:space="preserve">Active users; share of PRs agent-assisted; tasks by class and tier</w:t>
            </w:r>
          </w:p>
        </w:tc>
        <w:tc>
          <w:tcPr/>
          <w:p>
            <w:pPr>
              <w:pStyle w:val="Compact"/>
              <w:spacing w:after="40"/>
              <w:jc w:val="left"/>
            </w:pPr>
            <w:r>
              <w:rPr>
                <w:rFonts w:ascii="Calibri" w:hAnsi="Calibri"/>
                <w:sz w:val="17"/>
              </w:rPr>
              <w:t xml:space="preserve">Harness and VCS telemetry [195, 196]</w:t>
            </w:r>
          </w:p>
        </w:tc>
        <w:tc>
          <w:tcPr/>
          <w:p>
            <w:pPr>
              <w:pStyle w:val="Compact"/>
              <w:spacing w:after="40"/>
              <w:jc w:val="left"/>
            </w:pPr>
            <w:r>
              <w:rPr>
                <w:rFonts w:ascii="Calibri" w:hAnsi="Calibri"/>
                <w:sz w:val="17"/>
              </w:rPr>
              <w:t xml:space="preserve">Adoption tracking; cohort definition</w:t>
            </w:r>
          </w:p>
        </w:tc>
        <w:tc>
          <w:tcPr/>
          <w:p>
            <w:pPr>
              <w:pStyle w:val="Compact"/>
              <w:spacing w:after="40"/>
              <w:jc w:val="left"/>
            </w:pPr>
            <w:r>
              <w:rPr>
                <w:rFonts w:ascii="Calibri" w:hAnsi="Calibri"/>
                <w:sz w:val="17"/>
              </w:rPr>
              <w:t xml:space="preserve">Productivity or ROI claims</w:t>
            </w:r>
          </w:p>
        </w:tc>
      </w:tr>
      <w:tr>
        <w:tc>
          <w:tcPr/>
          <w:p>
            <w:pPr>
              <w:pStyle w:val="Compact"/>
              <w:spacing w:after="40"/>
              <w:jc w:val="left"/>
            </w:pPr>
            <w:r>
              <w:rPr>
                <w:rFonts w:ascii="Calibri" w:hAnsi="Calibri"/>
                <w:sz w:val="17"/>
              </w:rPr>
              <w:t xml:space="preserve">Delivery (outcome)</w:t>
            </w:r>
          </w:p>
        </w:tc>
        <w:tc>
          <w:tcPr/>
          <w:p>
            <w:pPr>
              <w:pStyle w:val="Compact"/>
              <w:spacing w:after="40"/>
              <w:jc w:val="left"/>
            </w:pPr>
            <w:r>
              <w:rPr>
                <w:rFonts w:ascii="Calibri" w:hAnsi="Calibri"/>
                <w:sz w:val="17"/>
              </w:rPr>
              <w:t xml:space="preserve">Change lead time; deployment frequency; failed-deployment recovery time; change-failure rate; rework rate [123]</w:t>
            </w:r>
          </w:p>
        </w:tc>
        <w:tc>
          <w:tcPr/>
          <w:p>
            <w:pPr>
              <w:pStyle w:val="Compact"/>
              <w:spacing w:after="40"/>
              <w:jc w:val="left"/>
            </w:pPr>
            <w:r>
              <w:rPr>
                <w:rFonts w:ascii="Calibri" w:hAnsi="Calibri"/>
                <w:sz w:val="17"/>
              </w:rPr>
              <w:t xml:space="preserve">CI/CD and incident systems</w:t>
            </w:r>
          </w:p>
        </w:tc>
        <w:tc>
          <w:tcPr/>
          <w:p>
            <w:pPr>
              <w:pStyle w:val="Compact"/>
              <w:spacing w:after="40"/>
              <w:jc w:val="left"/>
            </w:pPr>
            <w:r>
              <w:rPr>
                <w:rFonts w:ascii="Calibri" w:hAnsi="Calibri"/>
                <w:sz w:val="17"/>
              </w:rPr>
              <w:t xml:space="preserve">System-level throughput and stability claims per team over time</w:t>
            </w:r>
          </w:p>
        </w:tc>
        <w:tc>
          <w:tcPr/>
          <w:p>
            <w:pPr>
              <w:pStyle w:val="Compact"/>
              <w:spacing w:after="40"/>
              <w:jc w:val="left"/>
            </w:pPr>
            <w:r>
              <w:rPr>
                <w:rFonts w:ascii="Calibri" w:hAnsi="Calibri"/>
                <w:sz w:val="17"/>
              </w:rPr>
              <w:t xml:space="preserve">Attribution to a tool without a comparison design</w:t>
            </w:r>
          </w:p>
        </w:tc>
      </w:tr>
      <w:tr>
        <w:tc>
          <w:tcPr/>
          <w:p>
            <w:pPr>
              <w:pStyle w:val="Compact"/>
              <w:spacing w:after="40"/>
              <w:jc w:val="left"/>
            </w:pPr>
            <w:r>
              <w:rPr>
                <w:rFonts w:ascii="Calibri" w:hAnsi="Calibri"/>
                <w:sz w:val="17"/>
              </w:rPr>
              <w:t xml:space="preserve">Quality (outcome)</w:t>
            </w:r>
          </w:p>
        </w:tc>
        <w:tc>
          <w:tcPr/>
          <w:p>
            <w:pPr>
              <w:pStyle w:val="Compact"/>
              <w:spacing w:after="40"/>
              <w:jc w:val="left"/>
            </w:pPr>
            <w:r>
              <w:rPr>
                <w:rFonts w:ascii="Calibri" w:hAnsi="Calibri"/>
                <w:sz w:val="17"/>
              </w:rPr>
              <w:t xml:space="preserve">Defect escape rate; vulnerabilities per agent-assisted change; duplication and churn trend; review time and PR size</w:t>
            </w:r>
          </w:p>
        </w:tc>
        <w:tc>
          <w:tcPr/>
          <w:p>
            <w:pPr>
              <w:pStyle w:val="Compact"/>
              <w:spacing w:after="40"/>
              <w:jc w:val="left"/>
            </w:pPr>
            <w:r>
              <w:rPr>
                <w:rFonts w:ascii="Calibri" w:hAnsi="Calibri"/>
                <w:sz w:val="17"/>
              </w:rPr>
              <w:t xml:space="preserve">Code analysis and security tooling [34, 35, 37]</w:t>
            </w:r>
          </w:p>
        </w:tc>
        <w:tc>
          <w:tcPr/>
          <w:p>
            <w:pPr>
              <w:pStyle w:val="Compact"/>
              <w:spacing w:after="40"/>
              <w:jc w:val="left"/>
            </w:pPr>
            <w:r>
              <w:rPr>
                <w:rFonts w:ascii="Calibri" w:hAnsi="Calibri"/>
                <w:sz w:val="17"/>
              </w:rPr>
              <w:t xml:space="preserve">Early warning of debt and review-load patterns</w:t>
            </w:r>
          </w:p>
        </w:tc>
        <w:tc>
          <w:tcPr/>
          <w:p>
            <w:pPr>
              <w:pStyle w:val="Compact"/>
              <w:spacing w:after="40"/>
              <w:jc w:val="left"/>
            </w:pPr>
            <w:r>
              <w:rPr>
                <w:rFonts w:ascii="Calibri" w:hAnsi="Calibri"/>
                <w:sz w:val="17"/>
              </w:rPr>
              <w:t xml:space="preserve">Cross-company comparison</w:t>
            </w:r>
          </w:p>
        </w:tc>
      </w:tr>
      <w:tr>
        <w:tc>
          <w:tcPr/>
          <w:p>
            <w:pPr>
              <w:pStyle w:val="Compact"/>
              <w:spacing w:after="40"/>
              <w:jc w:val="left"/>
            </w:pPr>
            <w:r>
              <w:rPr>
                <w:rFonts w:ascii="Calibri" w:hAnsi="Calibri"/>
                <w:sz w:val="17"/>
              </w:rPr>
              <w:t xml:space="preserve">Reliability of delegation</w:t>
            </w:r>
          </w:p>
        </w:tc>
        <w:tc>
          <w:tcPr/>
          <w:p>
            <w:pPr>
              <w:pStyle w:val="Compact"/>
              <w:spacing w:after="40"/>
              <w:jc w:val="left"/>
            </w:pPr>
            <w:r>
              <w:rPr>
                <w:rFonts w:ascii="Calibri" w:hAnsi="Calibri"/>
                <w:sz w:val="17"/>
              </w:rPr>
              <w:t xml:space="preserve">pass^k by task class on the private suite; wrong-solution share; cost per merged change</w:t>
            </w:r>
          </w:p>
        </w:tc>
        <w:tc>
          <w:tcPr/>
          <w:p>
            <w:pPr>
              <w:pStyle w:val="Compact"/>
              <w:spacing w:after="40"/>
              <w:jc w:val="left"/>
            </w:pPr>
            <w:r>
              <w:rPr>
                <w:rFonts w:ascii="Calibri" w:hAnsi="Calibri"/>
                <w:sz w:val="17"/>
              </w:rPr>
              <w:t xml:space="preserve">Eval harness [112, 113]</w:t>
            </w:r>
          </w:p>
        </w:tc>
        <w:tc>
          <w:tcPr/>
          <w:p>
            <w:pPr>
              <w:pStyle w:val="Compact"/>
              <w:spacing w:after="40"/>
              <w:jc w:val="left"/>
            </w:pPr>
            <w:r>
              <w:rPr>
                <w:rFonts w:ascii="Calibri" w:hAnsi="Calibri"/>
                <w:sz w:val="17"/>
              </w:rPr>
              <w:t xml:space="preserve">Tier decisions; model and harness change control</w:t>
            </w:r>
          </w:p>
        </w:tc>
        <w:tc>
          <w:tcPr/>
          <w:p>
            <w:pPr>
              <w:pStyle w:val="Compact"/>
              <w:spacing w:after="40"/>
              <w:jc w:val="left"/>
            </w:pPr>
            <w:r>
              <w:rPr>
                <w:rFonts w:ascii="Calibri" w:hAnsi="Calibri"/>
                <w:sz w:val="17"/>
              </w:rPr>
              <w:t xml:space="preserve">Public benchmark comparison</w:t>
            </w:r>
          </w:p>
        </w:tc>
      </w:tr>
      <w:tr>
        <w:tc>
          <w:tcPr/>
          <w:p>
            <w:pPr>
              <w:pStyle w:val="Compact"/>
              <w:spacing w:after="40"/>
              <w:jc w:val="left"/>
            </w:pPr>
            <w:r>
              <w:rPr>
                <w:rFonts w:ascii="Calibri" w:hAnsi="Calibri"/>
                <w:sz w:val="17"/>
              </w:rPr>
              <w:t xml:space="preserve">Capacity and value</w:t>
            </w:r>
          </w:p>
        </w:tc>
        <w:tc>
          <w:tcPr/>
          <w:p>
            <w:pPr>
              <w:pStyle w:val="Compact"/>
              <w:spacing w:after="40"/>
              <w:jc w:val="left"/>
            </w:pPr>
            <w:r>
              <w:rPr>
                <w:rFonts w:ascii="Calibri" w:hAnsi="Calibri"/>
                <w:sz w:val="17"/>
              </w:rPr>
              <w:t xml:space="preserve">Idea-to-production time for priority workflows; hours of capacity created; use-case value under an accounting method agreed with finance [41, 161, 167]</w:t>
            </w:r>
          </w:p>
        </w:tc>
        <w:tc>
          <w:tcPr/>
          <w:p>
            <w:pPr>
              <w:pStyle w:val="Compact"/>
              <w:spacing w:after="40"/>
              <w:jc w:val="left"/>
            </w:pPr>
            <w:r>
              <w:rPr>
                <w:rFonts w:ascii="Calibri" w:hAnsi="Calibri"/>
                <w:sz w:val="17"/>
              </w:rPr>
              <w:t xml:space="preserve">Portfolio and finance systems</w:t>
            </w:r>
          </w:p>
        </w:tc>
        <w:tc>
          <w:tcPr/>
          <w:p>
            <w:pPr>
              <w:pStyle w:val="Compact"/>
              <w:spacing w:after="40"/>
              <w:jc w:val="left"/>
            </w:pPr>
            <w:r>
              <w:rPr>
                <w:rFonts w:ascii="Calibri" w:hAnsi="Calibri"/>
                <w:sz w:val="17"/>
              </w:rPr>
              <w:t xml:space="preserve">Investment decisions; ROI by use case</w:t>
            </w:r>
          </w:p>
        </w:tc>
        <w:tc>
          <w:tcPr/>
          <w:p>
            <w:pPr>
              <w:pStyle w:val="Compact"/>
              <w:spacing w:after="40"/>
              <w:jc w:val="left"/>
            </w:pPr>
            <w:r>
              <w:rPr>
                <w:rFonts w:ascii="Calibri" w:hAnsi="Calibri"/>
                <w:sz w:val="17"/>
              </w:rPr>
              <w:t xml:space="preserve">Enterprise EBIT attribution without finance sign-off</w:t>
            </w:r>
          </w:p>
        </w:tc>
      </w:tr>
      <w:tr>
        <w:tc>
          <w:tcPr/>
          <w:p>
            <w:pPr>
              <w:pStyle w:val="Compact"/>
              <w:spacing w:after="40"/>
              <w:jc w:val="left"/>
            </w:pPr>
            <w:r>
              <w:rPr>
                <w:rFonts w:ascii="Calibri" w:hAnsi="Calibri"/>
                <w:sz w:val="17"/>
              </w:rPr>
              <w:t xml:space="preserve">Experience and trust</w:t>
            </w:r>
          </w:p>
        </w:tc>
        <w:tc>
          <w:tcPr/>
          <w:p>
            <w:pPr>
              <w:pStyle w:val="Compact"/>
              <w:spacing w:after="40"/>
              <w:jc w:val="left"/>
            </w:pPr>
            <w:r>
              <w:rPr>
                <w:rFonts w:ascii="Calibri" w:hAnsi="Calibri"/>
                <w:sz w:val="17"/>
              </w:rPr>
              <w:t xml:space="preserve">Developer experience survey; trust in agent output; skill-maintenance signals</w:t>
            </w:r>
          </w:p>
        </w:tc>
        <w:tc>
          <w:tcPr/>
          <w:p>
            <w:pPr>
              <w:pStyle w:val="Compact"/>
              <w:spacing w:after="40"/>
              <w:jc w:val="left"/>
            </w:pPr>
            <w:r>
              <w:rPr>
                <w:rFonts w:ascii="Calibri" w:hAnsi="Calibri"/>
                <w:sz w:val="17"/>
              </w:rPr>
              <w:t xml:space="preserve">Quarterly survey [42, 124, 197]</w:t>
            </w:r>
          </w:p>
        </w:tc>
        <w:tc>
          <w:tcPr/>
          <w:p>
            <w:pPr>
              <w:pStyle w:val="Compact"/>
              <w:spacing w:after="40"/>
              <w:jc w:val="left"/>
            </w:pPr>
            <w:r>
              <w:rPr>
                <w:rFonts w:ascii="Calibri" w:hAnsi="Calibri"/>
                <w:sz w:val="17"/>
              </w:rPr>
              <w:t xml:space="preserve">Satisfaction, trust and retention findings</w:t>
            </w:r>
          </w:p>
        </w:tc>
        <w:tc>
          <w:tcPr/>
          <w:p>
            <w:pPr>
              <w:pStyle w:val="Compact"/>
              <w:spacing w:after="40"/>
              <w:jc w:val="left"/>
            </w:pPr>
            <w:r>
              <w:rPr>
                <w:rFonts w:ascii="Calibri" w:hAnsi="Calibri"/>
                <w:sz w:val="17"/>
              </w:rPr>
              <w:t xml:space="preserve">Time-savings or ROI claims</w:t>
            </w:r>
          </w:p>
        </w:tc>
      </w:tr>
      <w:tr>
        <w:tc>
          <w:tcPr/>
          <w:p>
            <w:pPr>
              <w:pStyle w:val="Compact"/>
              <w:spacing w:after="40"/>
              <w:jc w:val="left"/>
            </w:pPr>
            <w:r>
              <w:rPr>
                <w:rFonts w:ascii="Calibri" w:hAnsi="Calibri"/>
                <w:sz w:val="17"/>
              </w:rPr>
              <w:t xml:space="preserve">Risk</w:t>
            </w:r>
          </w:p>
        </w:tc>
        <w:tc>
          <w:tcPr/>
          <w:p>
            <w:pPr>
              <w:pStyle w:val="Compact"/>
              <w:spacing w:after="40"/>
              <w:jc w:val="left"/>
            </w:pPr>
            <w:r>
              <w:rPr>
                <w:rFonts w:ascii="Calibri" w:hAnsi="Calibri"/>
                <w:sz w:val="17"/>
              </w:rPr>
              <w:t xml:space="preserve">Agent incidents; blocked actions; policy exceptions; credential events; inventory coverage</w:t>
            </w:r>
          </w:p>
        </w:tc>
        <w:tc>
          <w:tcPr/>
          <w:p>
            <w:pPr>
              <w:pStyle w:val="Compact"/>
              <w:spacing w:after="40"/>
              <w:jc w:val="left"/>
            </w:pPr>
            <w:r>
              <w:rPr>
                <w:rFonts w:ascii="Calibri" w:hAnsi="Calibri"/>
                <w:sz w:val="17"/>
              </w:rPr>
              <w:t xml:space="preserve">Gateway, sandbox and audit logs [55, 193]</w:t>
            </w:r>
          </w:p>
        </w:tc>
        <w:tc>
          <w:tcPr/>
          <w:p>
            <w:pPr>
              <w:pStyle w:val="Compact"/>
              <w:spacing w:after="40"/>
              <w:jc w:val="left"/>
            </w:pPr>
            <w:r>
              <w:rPr>
                <w:rFonts w:ascii="Calibri" w:hAnsi="Calibri"/>
                <w:sz w:val="17"/>
              </w:rPr>
              <w:t xml:space="preserve">Governance-effectiveness evidence</w:t>
            </w:r>
          </w:p>
        </w:tc>
        <w:tc>
          <w:tcPr/>
          <w:p>
            <w:pPr>
              <w:pStyle w:val="Compact"/>
              <w:spacing w:after="40"/>
              <w:jc w:val="left"/>
            </w:pPr>
            <w:r>
              <w:rPr>
                <w:rFonts w:ascii="Calibri" w:hAnsi="Calibri"/>
                <w:sz w:val="17"/>
              </w:rPr>
              <w:t xml:space="preserve">Absence-of-risk claims</w:t>
            </w:r>
          </w:p>
        </w:tc>
      </w:tr>
    </w:tbl>
    <w:p>
      <w:pPr>
        <w:pStyle w:val="BodyText"/>
      </w:pPr>
      <w:r>
        <w:t xml:space="preserve">For decisions that matter (an enterprise-wide rollout, a headcount plan, a build-versus-buy choice), run a comparison design: a staggered rollout across matched teams or randomized task assignment within teams, following the published field experiments [4, 30, 198], with METR’s experience as the warning about self-selection and task substitution [28]. DORA’s 2026 ROI model (39% first-year ROI, eight-month payback and a modelled cost of $344,000 for a one-point rise in change-failure rate for a 500-engineer organization, as summarized by InfoQ) is a useful template for framing the J-curve before the fact [199].</w:t>
      </w:r>
    </w:p>
    <w:bookmarkEnd w:id="49"/>
    <w:bookmarkStart w:id="50" w:name="the-audit-evidence-pack"/>
    <w:p>
      <w:pPr>
        <w:pStyle w:val="Heading3"/>
      </w:pPr>
      <w:r>
        <w:t xml:space="preserve">5.5 The audit evidence pack</w:t>
      </w:r>
    </w:p>
    <w:p>
      <w:pPr>
        <w:pStyle w:val="FirstParagraph"/>
      </w:pPr>
      <w:r>
        <w:t xml:space="preserve">Table 5.3 lists what a regulated firm should be able to produce on request. Each item is a by-product of the readiness pipeline and the controls above rather than a separate artifact.</w:t>
      </w:r>
    </w:p>
    <w:p>
      <w:pPr>
        <w:pStyle w:val="BodyText"/>
      </w:pPr>
      <w:r>
        <w:rPr>
          <w:bCs/>
          <w:b/>
        </w:rPr>
        <w:t xml:space="preserve">Table 5.3. Evidence pack for coding agents</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2640"/>
        <w:gridCol w:w="2640"/>
        <w:gridCol w:w="2640"/>
      </w:tblGrid>
      <w:tr>
        <w:trPr>
          <w:tblHeader w:val="true"/>
        </w:trPr>
        <w:tc>
          <w:tcPr>
            <w:shd w:val="clear" w:color="auto" w:fill="EEF2F6"/>
          </w:tcPr>
          <w:p>
            <w:pPr>
              <w:pStyle w:val="Compact"/>
              <w:spacing w:after="40"/>
              <w:jc w:val="left"/>
            </w:pPr>
            <w:r>
              <w:rPr>
                <w:rFonts w:ascii="Calibri" w:hAnsi="Calibri"/>
                <w:b/>
                <w:sz w:val="17"/>
              </w:rPr>
              <w:t xml:space="preserve">Evidence item</w:t>
            </w:r>
          </w:p>
        </w:tc>
        <w:tc>
          <w:tcPr>
            <w:shd w:val="clear" w:color="auto" w:fill="EEF2F6"/>
          </w:tcPr>
          <w:p>
            <w:pPr>
              <w:pStyle w:val="Compact"/>
              <w:spacing w:after="40"/>
              <w:jc w:val="left"/>
            </w:pPr>
            <w:r>
              <w:rPr>
                <w:rFonts w:ascii="Calibri" w:hAnsi="Calibri"/>
                <w:b/>
                <w:sz w:val="17"/>
              </w:rPr>
              <w:t xml:space="preserve">Produced by</w:t>
            </w:r>
          </w:p>
        </w:tc>
        <w:tc>
          <w:tcPr>
            <w:shd w:val="clear" w:color="auto" w:fill="EEF2F6"/>
          </w:tcPr>
          <w:p>
            <w:pPr>
              <w:pStyle w:val="Compact"/>
              <w:spacing w:after="40"/>
              <w:jc w:val="left"/>
            </w:pPr>
            <w:r>
              <w:rPr>
                <w:rFonts w:ascii="Calibri" w:hAnsi="Calibri"/>
                <w:b/>
                <w:sz w:val="17"/>
              </w:rPr>
              <w:t xml:space="preserve">Satisfies</w:t>
            </w:r>
          </w:p>
        </w:tc>
      </w:tr>
      <w:tr>
        <w:tc>
          <w:tcPr/>
          <w:p>
            <w:pPr>
              <w:pStyle w:val="Compact"/>
              <w:spacing w:after="40"/>
              <w:jc w:val="left"/>
            </w:pPr>
            <w:r>
              <w:rPr>
                <w:rFonts w:ascii="Calibri" w:hAnsi="Calibri"/>
                <w:sz w:val="17"/>
              </w:rPr>
              <w:t xml:space="preserve">AI inventory entries for each harness, model, MCP server and agent, with owner, purpose, data access, sensitivity tier and lifecycle status</w:t>
            </w:r>
          </w:p>
        </w:tc>
        <w:tc>
          <w:tcPr/>
          <w:p>
            <w:pPr>
              <w:pStyle w:val="Compact"/>
              <w:spacing w:after="40"/>
              <w:jc w:val="left"/>
            </w:pPr>
            <w:r>
              <w:rPr>
                <w:rFonts w:ascii="Calibri" w:hAnsi="Calibri"/>
                <w:sz w:val="17"/>
              </w:rPr>
              <w:t xml:space="preserve">Estate level 2</w:t>
            </w:r>
          </w:p>
        </w:tc>
        <w:tc>
          <w:tcPr/>
          <w:p>
            <w:pPr>
              <w:pStyle w:val="Compact"/>
              <w:spacing w:after="40"/>
              <w:jc w:val="left"/>
            </w:pPr>
            <w:r>
              <w:rPr>
                <w:rFonts w:ascii="Calibri" w:hAnsi="Calibri"/>
                <w:sz w:val="17"/>
              </w:rPr>
              <w:t xml:space="preserve">MAS s.3; NIST Map; ISO/IEC 42001; PCI 6.3.2 [59, 120, 122, 180]</w:t>
            </w:r>
          </w:p>
        </w:tc>
      </w:tr>
      <w:tr>
        <w:tc>
          <w:tcPr/>
          <w:p>
            <w:pPr>
              <w:pStyle w:val="Compact"/>
              <w:spacing w:after="40"/>
              <w:jc w:val="left"/>
            </w:pPr>
            <w:r>
              <w:rPr>
                <w:rFonts w:ascii="Calibri" w:hAnsi="Calibri"/>
                <w:sz w:val="17"/>
              </w:rPr>
              <w:t xml:space="preserve">Repository register with RARM tier per task class, indicator values and assessment date</w:t>
            </w:r>
          </w:p>
        </w:tc>
        <w:tc>
          <w:tcPr/>
          <w:p>
            <w:pPr>
              <w:pStyle w:val="Compact"/>
              <w:spacing w:after="40"/>
              <w:jc w:val="left"/>
            </w:pPr>
            <w:r>
              <w:rPr>
                <w:rFonts w:ascii="Calibri" w:hAnsi="Calibri"/>
                <w:sz w:val="17"/>
              </w:rPr>
              <w:t xml:space="preserve">Estate level 3-4</w:t>
            </w:r>
          </w:p>
        </w:tc>
        <w:tc>
          <w:tcPr/>
          <w:p>
            <w:pPr>
              <w:pStyle w:val="Compact"/>
              <w:spacing w:after="40"/>
              <w:jc w:val="left"/>
            </w:pPr>
            <w:r>
              <w:rPr>
                <w:rFonts w:ascii="Calibri" w:hAnsi="Calibri"/>
                <w:sz w:val="17"/>
              </w:rPr>
              <w:t xml:space="preserve">Materiality; proportionate controls [59]</w:t>
            </w:r>
          </w:p>
        </w:tc>
      </w:tr>
      <w:tr>
        <w:tc>
          <w:tcPr/>
          <w:p>
            <w:pPr>
              <w:pStyle w:val="Compact"/>
              <w:spacing w:after="40"/>
              <w:jc w:val="left"/>
            </w:pPr>
            <w:r>
              <w:rPr>
                <w:rFonts w:ascii="Calibri" w:hAnsi="Calibri"/>
                <w:sz w:val="17"/>
              </w:rPr>
              <w:t xml:space="preserve">Ruleset and CODEOWNERS configuration exports; bypass and exception logs</w:t>
            </w:r>
          </w:p>
        </w:tc>
        <w:tc>
          <w:tcPr/>
          <w:p>
            <w:pPr>
              <w:pStyle w:val="Compact"/>
              <w:spacing w:after="40"/>
              <w:jc w:val="left"/>
            </w:pPr>
            <w:r>
              <w:rPr>
                <w:rFonts w:ascii="Calibri" w:hAnsi="Calibri"/>
                <w:sz w:val="17"/>
              </w:rPr>
              <w:t xml:space="preserve">Forge</w:t>
            </w:r>
          </w:p>
        </w:tc>
        <w:tc>
          <w:tcPr/>
          <w:p>
            <w:pPr>
              <w:pStyle w:val="Compact"/>
              <w:spacing w:after="40"/>
              <w:jc w:val="left"/>
            </w:pPr>
            <w:r>
              <w:rPr>
                <w:rFonts w:ascii="Calibri" w:hAnsi="Calibri"/>
                <w:sz w:val="17"/>
              </w:rPr>
              <w:t xml:space="preserve">Segregation of duties; change approval [61, 175, 180]</w:t>
            </w:r>
          </w:p>
        </w:tc>
      </w:tr>
      <w:tr>
        <w:tc>
          <w:tcPr/>
          <w:p>
            <w:pPr>
              <w:pStyle w:val="Compact"/>
              <w:spacing w:after="40"/>
              <w:jc w:val="left"/>
            </w:pPr>
            <w:r>
              <w:rPr>
                <w:rFonts w:ascii="Calibri" w:hAnsi="Calibri"/>
                <w:sz w:val="17"/>
              </w:rPr>
              <w:t xml:space="preserve">Per-change record: task, acceptance criteria, agent identity, model and harness version, verification results, approver, rollback path</w:t>
            </w:r>
          </w:p>
        </w:tc>
        <w:tc>
          <w:tcPr/>
          <w:p>
            <w:pPr>
              <w:pStyle w:val="Compact"/>
              <w:spacing w:after="40"/>
              <w:jc w:val="left"/>
            </w:pPr>
            <w:r>
              <w:rPr>
                <w:rFonts w:ascii="Calibri" w:hAnsi="Calibri"/>
                <w:sz w:val="17"/>
              </w:rPr>
              <w:t xml:space="preserve">PR template and CI</w:t>
            </w:r>
          </w:p>
        </w:tc>
        <w:tc>
          <w:tcPr/>
          <w:p>
            <w:pPr>
              <w:pStyle w:val="Compact"/>
              <w:spacing w:after="40"/>
              <w:jc w:val="left"/>
            </w:pPr>
            <w:r>
              <w:rPr>
                <w:rFonts w:ascii="Calibri" w:hAnsi="Calibri"/>
                <w:sz w:val="17"/>
              </w:rPr>
              <w:t xml:space="preserve">Change records; testing before use [61, 180]</w:t>
            </w:r>
          </w:p>
        </w:tc>
      </w:tr>
      <w:tr>
        <w:tc>
          <w:tcPr/>
          <w:p>
            <w:pPr>
              <w:pStyle w:val="Compact"/>
              <w:spacing w:after="40"/>
              <w:jc w:val="left"/>
            </w:pPr>
            <w:r>
              <w:rPr>
                <w:rFonts w:ascii="Calibri" w:hAnsi="Calibri"/>
                <w:sz w:val="17"/>
              </w:rPr>
              <w:t xml:space="preserve">Sandbox and egress policy; data-masking evidence for non-production environments</w:t>
            </w:r>
          </w:p>
        </w:tc>
        <w:tc>
          <w:tcPr/>
          <w:p>
            <w:pPr>
              <w:pStyle w:val="Compact"/>
              <w:spacing w:after="40"/>
              <w:jc w:val="left"/>
            </w:pPr>
            <w:r>
              <w:rPr>
                <w:rFonts w:ascii="Calibri" w:hAnsi="Calibri"/>
                <w:sz w:val="17"/>
              </w:rPr>
              <w:t xml:space="preserve">Platform</w:t>
            </w:r>
          </w:p>
        </w:tc>
        <w:tc>
          <w:tcPr/>
          <w:p>
            <w:pPr>
              <w:pStyle w:val="Compact"/>
              <w:spacing w:after="40"/>
              <w:jc w:val="left"/>
            </w:pPr>
            <w:r>
              <w:rPr>
                <w:rFonts w:ascii="Calibri" w:hAnsi="Calibri"/>
                <w:sz w:val="17"/>
              </w:rPr>
              <w:t xml:space="preserve">DORA RTS Art. 16(5); MAS TRM [61, 175]</w:t>
            </w:r>
          </w:p>
        </w:tc>
      </w:tr>
      <w:tr>
        <w:tc>
          <w:tcPr/>
          <w:p>
            <w:pPr>
              <w:pStyle w:val="Compact"/>
              <w:spacing w:after="40"/>
              <w:jc w:val="left"/>
            </w:pPr>
            <w:r>
              <w:rPr>
                <w:rFonts w:ascii="Calibri" w:hAnsi="Calibri"/>
                <w:sz w:val="17"/>
              </w:rPr>
              <w:t xml:space="preserve">Static and dynamic test results, dependency and licence scans on agent PRs; SBOM</w:t>
            </w:r>
          </w:p>
        </w:tc>
        <w:tc>
          <w:tcPr/>
          <w:p>
            <w:pPr>
              <w:pStyle w:val="Compact"/>
              <w:spacing w:after="40"/>
              <w:jc w:val="left"/>
            </w:pPr>
            <w:r>
              <w:rPr>
                <w:rFonts w:ascii="Calibri" w:hAnsi="Calibri"/>
                <w:sz w:val="17"/>
              </w:rPr>
              <w:t xml:space="preserve">CI</w:t>
            </w:r>
          </w:p>
        </w:tc>
        <w:tc>
          <w:tcPr/>
          <w:p>
            <w:pPr>
              <w:pStyle w:val="Compact"/>
              <w:spacing w:after="40"/>
              <w:jc w:val="left"/>
            </w:pPr>
            <w:r>
              <w:rPr>
                <w:rFonts w:ascii="Calibri" w:hAnsi="Calibri"/>
                <w:sz w:val="17"/>
              </w:rPr>
              <w:t xml:space="preserve">DORA RTS Art. 16(3); CRA; NYDFS 500.8 [61, 176, 181]</w:t>
            </w:r>
          </w:p>
        </w:tc>
      </w:tr>
      <w:tr>
        <w:tc>
          <w:tcPr/>
          <w:p>
            <w:pPr>
              <w:pStyle w:val="Compact"/>
              <w:spacing w:after="40"/>
              <w:jc w:val="left"/>
            </w:pPr>
            <w:r>
              <w:rPr>
                <w:rFonts w:ascii="Calibri" w:hAnsi="Calibri"/>
                <w:sz w:val="17"/>
              </w:rPr>
              <w:t xml:space="preserve">Agent action audit logs; blocked-action and kill-switch records</w:t>
            </w:r>
          </w:p>
        </w:tc>
        <w:tc>
          <w:tcPr/>
          <w:p>
            <w:pPr>
              <w:pStyle w:val="Compact"/>
              <w:spacing w:after="40"/>
              <w:jc w:val="left"/>
            </w:pPr>
            <w:r>
              <w:rPr>
                <w:rFonts w:ascii="Calibri" w:hAnsi="Calibri"/>
                <w:sz w:val="17"/>
              </w:rPr>
              <w:t xml:space="preserve">Harness hooks and gateway</w:t>
            </w:r>
          </w:p>
        </w:tc>
        <w:tc>
          <w:tcPr/>
          <w:p>
            <w:pPr>
              <w:pStyle w:val="Compact"/>
              <w:spacing w:after="40"/>
              <w:jc w:val="left"/>
            </w:pPr>
            <w:r>
              <w:rPr>
                <w:rFonts w:ascii="Calibri" w:hAnsi="Calibri"/>
                <w:sz w:val="17"/>
              </w:rPr>
              <w:t xml:space="preserve">Logging and monitoring; IMDA agentic controls [116, 186]</w:t>
            </w:r>
          </w:p>
        </w:tc>
      </w:tr>
      <w:tr>
        <w:tc>
          <w:tcPr/>
          <w:p>
            <w:pPr>
              <w:pStyle w:val="Compact"/>
              <w:spacing w:after="40"/>
              <w:jc w:val="left"/>
            </w:pPr>
            <w:r>
              <w:rPr>
                <w:rFonts w:ascii="Calibri" w:hAnsi="Calibri"/>
                <w:sz w:val="17"/>
              </w:rPr>
              <w:t xml:space="preserve">Private eval suite results by task class with pass^k over time; regression results on model or harness change</w:t>
            </w:r>
          </w:p>
        </w:tc>
        <w:tc>
          <w:tcPr/>
          <w:p>
            <w:pPr>
              <w:pStyle w:val="Compact"/>
              <w:spacing w:after="40"/>
              <w:jc w:val="left"/>
            </w:pPr>
            <w:r>
              <w:rPr>
                <w:rFonts w:ascii="Calibri" w:hAnsi="Calibri"/>
                <w:sz w:val="17"/>
              </w:rPr>
              <w:t xml:space="preserve">Eval harness</w:t>
            </w:r>
          </w:p>
        </w:tc>
        <w:tc>
          <w:tcPr/>
          <w:p>
            <w:pPr>
              <w:pStyle w:val="Compact"/>
              <w:spacing w:after="40"/>
              <w:jc w:val="left"/>
            </w:pPr>
            <w:r>
              <w:rPr>
                <w:rFonts w:ascii="Calibri" w:hAnsi="Calibri"/>
                <w:sz w:val="17"/>
              </w:rPr>
              <w:t xml:space="preserve">Testing proportionate to materiality; change management of AI systems [59]</w:t>
            </w:r>
          </w:p>
        </w:tc>
      </w:tr>
      <w:tr>
        <w:tc>
          <w:tcPr/>
          <w:p>
            <w:pPr>
              <w:pStyle w:val="Compact"/>
              <w:spacing w:after="40"/>
              <w:jc w:val="left"/>
            </w:pPr>
            <w:r>
              <w:rPr>
                <w:rFonts w:ascii="Calibri" w:hAnsi="Calibri"/>
                <w:sz w:val="17"/>
              </w:rPr>
              <w:t xml:space="preserve">Third-party register entries and provider documentation for model and harness vendors</w:t>
            </w:r>
          </w:p>
        </w:tc>
        <w:tc>
          <w:tcPr/>
          <w:p>
            <w:pPr>
              <w:pStyle w:val="Compact"/>
              <w:spacing w:after="40"/>
              <w:jc w:val="left"/>
            </w:pPr>
            <w:r>
              <w:rPr>
                <w:rFonts w:ascii="Calibri" w:hAnsi="Calibri"/>
                <w:sz w:val="17"/>
              </w:rPr>
              <w:t xml:space="preserve">Vendor management</w:t>
            </w:r>
          </w:p>
        </w:tc>
        <w:tc>
          <w:tcPr/>
          <w:p>
            <w:pPr>
              <w:pStyle w:val="Compact"/>
              <w:spacing w:after="40"/>
              <w:jc w:val="left"/>
            </w:pPr>
            <w:r>
              <w:rPr>
                <w:rFonts w:ascii="Calibri" w:hAnsi="Calibri"/>
                <w:sz w:val="17"/>
              </w:rPr>
              <w:t xml:space="preserve">DORA Ch. V; MAS s.4.11 [59, 183]</w:t>
            </w:r>
          </w:p>
        </w:tc>
      </w:tr>
      <w:tr>
        <w:tc>
          <w:tcPr/>
          <w:p>
            <w:pPr>
              <w:pStyle w:val="Compact"/>
              <w:spacing w:after="40"/>
              <w:jc w:val="left"/>
            </w:pPr>
            <w:r>
              <w:rPr>
                <w:rFonts w:ascii="Calibri" w:hAnsi="Calibri"/>
                <w:sz w:val="17"/>
              </w:rPr>
              <w:t xml:space="preserve">Independent validation report on readiness scoring and eval suites; internal-audit coverage</w:t>
            </w:r>
          </w:p>
        </w:tc>
        <w:tc>
          <w:tcPr/>
          <w:p>
            <w:pPr>
              <w:pStyle w:val="Compact"/>
              <w:spacing w:after="40"/>
              <w:jc w:val="left"/>
            </w:pPr>
            <w:r>
              <w:rPr>
                <w:rFonts w:ascii="Calibri" w:hAnsi="Calibri"/>
                <w:sz w:val="17"/>
              </w:rPr>
              <w:t xml:space="preserve">Second and third line</w:t>
            </w:r>
          </w:p>
        </w:tc>
        <w:tc>
          <w:tcPr/>
          <w:p>
            <w:pPr>
              <w:pStyle w:val="Compact"/>
              <w:spacing w:after="40"/>
              <w:jc w:val="left"/>
            </w:pPr>
            <w:r>
              <w:rPr>
                <w:rFonts w:ascii="Calibri" w:hAnsi="Calibri"/>
                <w:sz w:val="17"/>
              </w:rPr>
              <w:t xml:space="preserve">FINMA; PRA SS1/23; ISACA toolkit [65, 192, 200]</w:t>
            </w:r>
          </w:p>
        </w:tc>
      </w:tr>
      <w:tr>
        <w:tc>
          <w:tcPr/>
          <w:p>
            <w:pPr>
              <w:pStyle w:val="Compact"/>
              <w:spacing w:after="40"/>
              <w:jc w:val="left"/>
            </w:pPr>
            <w:r>
              <w:rPr>
                <w:rFonts w:ascii="Calibri" w:hAnsi="Calibri"/>
                <w:sz w:val="17"/>
              </w:rPr>
              <w:t xml:space="preserve">Statement of framework coverage for coding agents (MRM or enterprise risk), reviewed when the interagency RFI concludes</w:t>
            </w:r>
          </w:p>
        </w:tc>
        <w:tc>
          <w:tcPr/>
          <w:p>
            <w:pPr>
              <w:pStyle w:val="Compact"/>
              <w:spacing w:after="40"/>
              <w:jc w:val="left"/>
            </w:pPr>
            <w:r>
              <w:rPr>
                <w:rFonts w:ascii="Calibri" w:hAnsi="Calibri"/>
                <w:sz w:val="17"/>
              </w:rPr>
              <w:t xml:space="preserve">Risk governance</w:t>
            </w:r>
          </w:p>
        </w:tc>
        <w:tc>
          <w:tcPr/>
          <w:p>
            <w:pPr>
              <w:pStyle w:val="Compact"/>
              <w:spacing w:after="40"/>
              <w:jc w:val="left"/>
            </w:pPr>
            <w:r>
              <w:rPr>
                <w:rFonts w:ascii="Calibri" w:hAnsi="Calibri"/>
                <w:sz w:val="17"/>
              </w:rPr>
              <w:t xml:space="preserve">SR 26-2 gap [58]</w:t>
            </w:r>
          </w:p>
        </w:tc>
      </w:tr>
    </w:tbl>
    <w:bookmarkEnd w:id="50"/>
    <w:bookmarkStart w:id="51" w:name="a-12-month-roadmap"/>
    <w:p>
      <w:pPr>
        <w:pStyle w:val="Heading3"/>
      </w:pPr>
      <w:r>
        <w:t xml:space="preserve">5.6 A 12-month roadmap</w:t>
      </w:r>
    </w:p>
    <w:p>
      <w:pPr>
        <w:pStyle w:val="FirstParagraph"/>
      </w:pPr>
      <w:r>
        <w:rPr>
          <w:bCs/>
          <w:b/>
        </w:rPr>
        <w:t xml:space="preserve">Days 0-90: inventory and baseline (estate level 2 to 3).</w:t>
      </w:r>
      <w:r>
        <w:t xml:space="preserve"> </w:t>
      </w:r>
      <w:r>
        <w:t xml:space="preserve">Put every harness, model, MCP server and agent in the AI inventory and every repository in a register with owner and sensitivity tier. Publish an AI stance and acceptable-use policy for engineering (DORA capability 1) [8]. Stand up an LLM gateway and a sandboxed execution path with egress policy. Compute RARM indicators automatically for the 20-50 repositories carrying the most agent traffic. Fix the minimum dimension in each; expect it to be builds, flaky tests and ticket hygiene rather than prompts [66, 74, 76]. Replace generated repository overviews with short, team-owned context files [14, 97]. Start private eval suites with 20-50 real tasks for two task classes. Baseline DORA metrics per team.</w:t>
      </w:r>
    </w:p>
    <w:p>
      <w:pPr>
        <w:pStyle w:val="BodyText"/>
      </w:pPr>
      <w:r>
        <w:rPr>
          <w:bCs/>
          <w:b/>
        </w:rPr>
        <w:t xml:space="preserve">Days 90-180: delegation with checkpoints (estate level 3).</w:t>
      </w:r>
      <w:r>
        <w:t xml:space="preserve"> </w:t>
      </w:r>
      <w:r>
        <w:t xml:space="preserve">Move all agent changes into the governed PR flow with rulesets, CODEOWNERS, separate approvers, scoped agent identities and audit logs [84, 108, 109]. Expose certified knowledge sources (build and test procedures, conventions, runbooks, decision records) through a harness-independent transport with permissions [126, 201]. Promote task classes to T2 only when pass^k clears the threshold. Begin monitoring review load, duplication and vulnerability density on agent-assisted changes [34, 35, 37]. Launch role-based fluency training that includes supervising agents and writing acceptance criteria [159, 202].</w:t>
      </w:r>
    </w:p>
    <w:p>
      <w:pPr>
        <w:pStyle w:val="BodyText"/>
      </w:pPr>
      <w:r>
        <w:rPr>
          <w:bCs/>
          <w:b/>
        </w:rPr>
        <w:t xml:space="preserve">Days 180-365: scale on evidence (estate level 4).</w:t>
      </w:r>
      <w:r>
        <w:t xml:space="preserve"> </w:t>
      </w:r>
      <w:r>
        <w:t xml:space="preserve">Extend indicator computation to the whole estate. Bring T2 and T3 repositories under independent validation of scores and eval suites, lifetime logging and kill-switch controls; produce the evidence pack (Table 5.3) and map it to the applicable regimes [59, 61, 122]. Run one comparison design on a decision that matters. Re-base efficiency targets only on measured outcomes; publish redeployment plans before headcount decisions [155, 203]. Institute regression evals on every model and harness change and keep the harness swappable [3]. Use agents, under the same gates, to raise readiness: automated setup scripts, test generation for uncovered paths, documentation currency checks (estate level 5).</w:t>
      </w:r>
    </w:p>
    <w:bookmarkEnd w:id="51"/>
    <w:bookmarkStart w:id="52" w:name="X059462876fed1df5fc22eb7a861d53c22c0e207"/>
    <w:p>
      <w:pPr>
        <w:pStyle w:val="Heading3"/>
      </w:pPr>
      <w:r>
        <w:t xml:space="preserve">5.7 Anti-patterns specific to regulated firms</w:t>
      </w:r>
    </w:p>
    <w:p>
      <w:pPr>
        <w:numPr>
          <w:ilvl w:val="0"/>
          <w:numId w:val="1007"/>
        </w:numPr>
        <w:pStyle w:val="Compact"/>
      </w:pPr>
      <w:r>
        <w:rPr>
          <w:bCs/>
          <w:b/>
        </w:rPr>
        <w:t xml:space="preserve">A separate, lighter path for agent code.</w:t>
      </w:r>
      <w:r>
        <w:t xml:space="preserve"> </w:t>
      </w:r>
      <w:r>
        <w:t xml:space="preserve">Auditors will find it; so will incidents. Agent-authored code goes through the same gates plus provenance.</w:t>
      </w:r>
    </w:p>
    <w:p>
      <w:pPr>
        <w:numPr>
          <w:ilvl w:val="0"/>
          <w:numId w:val="1007"/>
        </w:numPr>
        <w:pStyle w:val="Compact"/>
      </w:pPr>
      <w:r>
        <w:rPr>
          <w:bCs/>
          <w:b/>
        </w:rPr>
        <w:t xml:space="preserve">Agents on human credentials.</w:t>
      </w:r>
      <w:r>
        <w:t xml:space="preserve"> </w:t>
      </w:r>
      <w:r>
        <w:t xml:space="preserve">An unmonitored delegation chain that no framework permits [56, 188].</w:t>
      </w:r>
    </w:p>
    <w:p>
      <w:pPr>
        <w:numPr>
          <w:ilvl w:val="0"/>
          <w:numId w:val="1007"/>
        </w:numPr>
        <w:pStyle w:val="Compact"/>
      </w:pPr>
      <w:r>
        <w:rPr>
          <w:bCs/>
          <w:b/>
        </w:rPr>
        <w:t xml:space="preserve">Usage-tied performance reviews.</w:t>
      </w:r>
      <w:r>
        <w:t xml:space="preserve"> </w:t>
      </w:r>
      <w:r>
        <w:t xml:space="preserve">They optimize the input metric and invite gaming, and the public examples are in the same sector [125, 153, 157].</w:t>
      </w:r>
    </w:p>
    <w:p>
      <w:pPr>
        <w:numPr>
          <w:ilvl w:val="0"/>
          <w:numId w:val="1007"/>
        </w:numPr>
        <w:pStyle w:val="Compact"/>
      </w:pPr>
      <w:r>
        <w:rPr>
          <w:bCs/>
          <w:b/>
        </w:rPr>
        <w:t xml:space="preserve">Efficiency claims with undisclosed methods.</w:t>
      </w:r>
      <w:r>
        <w:t xml:space="preserve"> </w:t>
      </w:r>
      <w:r>
        <w:t xml:space="preserve">Supervisors examining</w:t>
      </w:r>
      <w:r>
        <w:t xml:space="preserve"> </w:t>
      </w:r>
      <w:r>
        <w:t xml:space="preserve">“</w:t>
      </w:r>
      <w:r>
        <w:t xml:space="preserve">AI washing</w:t>
      </w:r>
      <w:r>
        <w:t xml:space="preserve">”</w:t>
      </w:r>
      <w:r>
        <w:t xml:space="preserve"> </w:t>
      </w:r>
      <w:r>
        <w:t xml:space="preserve">will ask for the definition [204].</w:t>
      </w:r>
    </w:p>
    <w:p>
      <w:pPr>
        <w:numPr>
          <w:ilvl w:val="0"/>
          <w:numId w:val="1007"/>
        </w:numPr>
        <w:pStyle w:val="Compact"/>
      </w:pPr>
      <w:r>
        <w:rPr>
          <w:bCs/>
          <w:b/>
        </w:rPr>
        <w:t xml:space="preserve">Production data in agent sandboxes.</w:t>
      </w:r>
      <w:r>
        <w:t xml:space="preserve"> </w:t>
      </w:r>
      <w:r>
        <w:t xml:space="preserve">Explicitly prohibited under DORA’s technical standards [61].</w:t>
      </w:r>
    </w:p>
    <w:p>
      <w:pPr>
        <w:numPr>
          <w:ilvl w:val="0"/>
          <w:numId w:val="1007"/>
        </w:numPr>
        <w:pStyle w:val="Compact"/>
      </w:pPr>
      <w:r>
        <w:rPr>
          <w:bCs/>
          <w:b/>
        </w:rPr>
        <w:t xml:space="preserve">Public benchmarks as delegation evidence.</w:t>
      </w:r>
      <w:r>
        <w:t xml:space="preserve"> </w:t>
      </w:r>
      <w:r>
        <w:t xml:space="preserve">Contaminated and infrastructure-sensitive [70, 75].</w:t>
      </w:r>
    </w:p>
    <w:p>
      <w:pPr>
        <w:numPr>
          <w:ilvl w:val="0"/>
          <w:numId w:val="1007"/>
        </w:numPr>
        <w:pStyle w:val="Compact"/>
      </w:pPr>
      <w:r>
        <w:rPr>
          <w:bCs/>
          <w:b/>
        </w:rPr>
        <w:t xml:space="preserve">Assuming model risk management covers coding agents.</w:t>
      </w:r>
      <w:r>
        <w:t xml:space="preserve"> </w:t>
      </w:r>
      <w:r>
        <w:t xml:space="preserve">In the US it currently does not; say which framework does [58].</w:t>
      </w:r>
    </w:p>
    <w:bookmarkEnd w:id="52"/>
    <w:bookmarkEnd w:id="53"/>
    <w:bookmarkStart w:id="54" w:name="limitations-and-threats-to-validity"/>
    <w:p>
      <w:pPr>
        <w:pStyle w:val="Heading2"/>
      </w:pPr>
      <w:r>
        <w:t xml:space="preserve">6. Limitations and threats to validity</w:t>
      </w:r>
    </w:p>
    <w:p>
      <w:pPr>
        <w:pStyle w:val="FirstParagraph"/>
      </w:pPr>
      <w:r>
        <w:rPr>
          <w:bCs/>
          <w:b/>
        </w:rPr>
        <w:t xml:space="preserve">Evidence base.</w:t>
      </w:r>
      <w:r>
        <w:t xml:space="preserve"> </w:t>
      </w:r>
      <w:r>
        <w:t xml:space="preserve">The environment-setup and benchmark evidence in Section 3 is recent, mostly on open-source Python and JVM projects, and measured with early-2025 models; enterprise monorepos, proprietary build systems and non-Python stacks are under-studied, and success rates will rise as tooling improves. The productivity evidence remains thin and heterogeneous, and the most rigorous field experiment is one whose authors judge their follow-up design compromised [5, 28]. Survey and vendor-telemetry sources are used for direction, not magnitude.</w:t>
      </w:r>
    </w:p>
    <w:p>
      <w:pPr>
        <w:pStyle w:val="BodyText"/>
      </w:pPr>
      <w:r>
        <w:rPr>
          <w:bCs/>
          <w:b/>
        </w:rPr>
        <w:t xml:space="preserve">Case studies.</w:t>
      </w:r>
      <w:r>
        <w:t xml:space="preserve"> </w:t>
      </w:r>
      <w:r>
        <w:t xml:space="preserve">Both deep cases rest on company publications, peer-reviewed papers by company authors, investor materials and press reporting. Google’s figures are self-reported and its</w:t>
      </w:r>
      <w:r>
        <w:t xml:space="preserve"> </w:t>
      </w:r>
      <w:r>
        <w:t xml:space="preserve">“</w:t>
      </w:r>
      <w:r>
        <w:t xml:space="preserve">AI-generated</w:t>
      </w:r>
      <w:r>
        <w:t xml:space="preserve">”</w:t>
      </w:r>
      <w:r>
        <w:t xml:space="preserve"> </w:t>
      </w:r>
      <w:r>
        <w:t xml:space="preserve">share is character-level; JPMorgan’s efficiency figures are undefined and its 2026 statements are intentions. Where a primary outlet was inaccessible the syndicated version is cited, and secondary reporting of internal documents is labelled as such. Neither firm publishes repository-level readiness data, which is the layer this paper argues is missing; the mappings in Tables 4.2 and 4.3 are therefore readings of the public record, not assessments.</w:t>
      </w:r>
    </w:p>
    <w:p>
      <w:pPr>
        <w:pStyle w:val="BodyText"/>
      </w:pPr>
      <w:r>
        <w:rPr>
          <w:bCs/>
          <w:b/>
        </w:rPr>
        <w:t xml:space="preserve">Regulatory mapping.</w:t>
      </w:r>
      <w:r>
        <w:t xml:space="preserve"> </w:t>
      </w:r>
      <w:r>
        <w:t xml:space="preserve">Several official texts (MAS Technology Risk Management Guidelines, FFIEC booklet, PCI DSS) were verified through summaries because the issuers’ sites refused automated access; article and requirement numbers are as reported in those summaries. Two anticipated instruments were not final at the time of writing: MAS’s AI risk management guidelines and the US interagency request for information on generative and agentic AI in model risk management. The EU AI Act analysis assumes coding agents are minimal-risk uses; an organization’s specific deployment could change that classification [205].</w:t>
      </w:r>
    </w:p>
    <w:p>
      <w:pPr>
        <w:pStyle w:val="BodyText"/>
      </w:pPr>
      <w:r>
        <w:rPr>
          <w:bCs/>
          <w:b/>
        </w:rPr>
        <w:t xml:space="preserve">Framework validation.</w:t>
      </w:r>
      <w:r>
        <w:t xml:space="preserve"> </w:t>
      </w:r>
      <w:r>
        <w:t xml:space="preserve">RARM and the estate ladder satisfy the design requirements of comparison with existing models, problem definition, documented construction and prescriptive improvement measures, but they have not been validated against outcomes, which is the deficiency Sadiq et al. found in most AI maturity models [43, 45]. Indicator thresholds are provisional; the minimum-across rule and the pass^k gate are borrowed from adjacent domains. Validation would require a panel of organizations scoring repositories, assigning tiers and tracking delivery, quality and value outcomes over at least a year, ideally with staggered adoption, and the author would welcome collaborators.</w:t>
      </w:r>
    </w:p>
    <w:p>
      <w:pPr>
        <w:pStyle w:val="BodyText"/>
      </w:pPr>
      <w:r>
        <w:rPr>
          <w:bCs/>
          <w:b/>
        </w:rPr>
        <w:t xml:space="preserve">Scope.</w:t>
      </w:r>
      <w:r>
        <w:t xml:space="preserve"> </w:t>
      </w:r>
      <w:r>
        <w:t xml:space="preserve">The paper covers code repositories and coding agents. Enterprise agents in operations and customer service share the estate-maturity ladder and the governance controls but need different readiness indicators. The author works inside a large regulated organization and weights governance evidence accordingly; readers elsewhere may reasonably weight it lower.</w:t>
      </w:r>
    </w:p>
    <w:bookmarkEnd w:id="54"/>
    <w:bookmarkStart w:id="55" w:name="conclusion"/>
    <w:p>
      <w:pPr>
        <w:pStyle w:val="Heading2"/>
      </w:pPr>
      <w:r>
        <w:t xml:space="preserve">7. Conclusion</w:t>
      </w:r>
    </w:p>
    <w:p>
      <w:pPr>
        <w:pStyle w:val="FirstParagraph"/>
      </w:pPr>
      <w:r>
        <w:t xml:space="preserve">The question this paper set out to answer, how AI maturity can be assessed so that it measures effectiveness and readiness, has an answer that the industry has been circling for three years without naming. The unit of readiness for coding agents is the repository, and the unit of maturity is the process that keeps repositories ready. Every strand of evidence points there: the benchmarks that double when tasks and environments are fixed, the flaky tests that make green meaningless, the code-health economics that multiply defects and change time, the instruction files that help only when they are short and prescriptive, the ownership rules that predict where defects and unreviewed changes land, and the two deep cases, in which the organization that built its estate first reports the strongest outcomes and the regulated bank diagnoses its own 2026 constraint as context and guardrails rather than models.</w:t>
      </w:r>
    </w:p>
    <w:p>
      <w:pPr>
        <w:pStyle w:val="BodyText"/>
      </w:pPr>
      <w:r>
        <w:t xml:space="preserve">RARM makes that answer operational: eight dimensions with computable indicators, scored on the minimum, per task class, mapped to tiers that double as authorizations, under an estate ladder that turns readiness into a repeatable and auditable process. For a regulated firm, the good news is that the controls an agent-authored change must satisfy already exist in its SDLC; what agents add is provenance, segregation of duties and identity, and what the readiness pipeline adds is the evidence. The organizations that will report value from coding agents in 2027 are the ones whose builds are hermetic, whose tests mean something, whose tickets say what done looks like, whose owners are named, and whose measurements survive an auditor. None of that requires a frontier model. All of it requires deciding that the repository is where AI maturity is assessed.</w:t>
      </w:r>
    </w:p>
    <w:bookmarkEnd w:id="55"/>
    <w:bookmarkStart w:id="56" w:name="references"/>
    <w:p>
      <w:pPr>
        <w:pStyle w:val="Heading2"/>
      </w:pPr>
      <w:r>
        <w:t xml:space="preserve">8. References</w:t>
      </w:r>
    </w:p>
    <w:p>
      <w:pPr>
        <w:pStyle w:val="FirstParagraph"/>
        <w:spacing w:after="60"/>
      </w:pPr>
      <w:r>
        <w:rPr>
          <w:sz w:val="18"/>
        </w:rPr>
        <w:t xml:space="preserve">[1] McKinsey &amp; Company / QuantumBlack.</w:t>
      </w:r>
      <w:r>
        <w:rPr>
          <w:sz w:val="18"/>
        </w:rPr>
        <w:t xml:space="preserve"> </w:t>
      </w:r>
      <w:r>
        <w:rPr>
          <w:iCs/>
          <w:i/>
          <w:sz w:val="18"/>
        </w:rPr>
        <w:t xml:space="preserve">The State of AI in 2026: On the road to ROI</w:t>
      </w:r>
      <w:r>
        <w:rPr>
          <w:sz w:val="18"/>
        </w:rPr>
        <w:t xml:space="preserve">. August 2026. https://www.mckinsey.com/~/media/mckinsey/business%20functions/quantumblack/our%20insights/the%20state%20of%20ai/the-state-of-ai-in-2026-on-the-road-to-roi.pdf</w:t>
      </w:r>
    </w:p>
    <w:p>
      <w:pPr>
        <w:pStyle w:val="BodyText"/>
        <w:spacing w:after="60"/>
      </w:pPr>
      <w:r>
        <w:rPr>
          <w:sz w:val="18"/>
        </w:rPr>
        <w:t xml:space="preserve">[2] McKinsey &amp; Company / QuantumBlack.</w:t>
      </w:r>
      <w:r>
        <w:rPr>
          <w:sz w:val="18"/>
        </w:rPr>
        <w:t xml:space="preserve"> </w:t>
      </w:r>
      <w:r>
        <w:rPr>
          <w:iCs/>
          <w:i/>
          <w:sz w:val="18"/>
        </w:rPr>
        <w:t xml:space="preserve">The State of AI in 2025: Agents, innovation, and transformation</w:t>
      </w:r>
      <w:r>
        <w:rPr>
          <w:sz w:val="18"/>
        </w:rPr>
        <w:t xml:space="preserve">. November 2025. https://www.mckinsey.com/~/media/mckinsey/business%20functions/quantumblack/our%20insights/the%20state%20of%20ai/the-state-of-ai-in-2025-vf.pdf</w:t>
      </w:r>
    </w:p>
    <w:p>
      <w:pPr>
        <w:pStyle w:val="BodyText"/>
        <w:spacing w:after="60"/>
      </w:pPr>
      <w:r>
        <w:rPr>
          <w:sz w:val="18"/>
        </w:rPr>
        <w:t xml:space="preserve">[3] Microsoft Investor Relations.</w:t>
      </w:r>
      <w:r>
        <w:rPr>
          <w:sz w:val="18"/>
        </w:rPr>
        <w:t xml:space="preserve"> </w:t>
      </w:r>
      <w:r>
        <w:rPr>
          <w:iCs/>
          <w:i/>
          <w:sz w:val="18"/>
        </w:rPr>
        <w:t xml:space="preserve">FY26 Q4 earnings call</w:t>
      </w:r>
      <w:r>
        <w:rPr>
          <w:sz w:val="18"/>
        </w:rPr>
        <w:t xml:space="preserve"> </w:t>
      </w:r>
      <w:r>
        <w:rPr>
          <w:sz w:val="18"/>
        </w:rPr>
        <w:t xml:space="preserve">(GitHub Copilot 50 million users; one in three pull requests involves an agent). 29 July 2026. https://www.microsoft.com/en-us/investor/events/fy-2026/earnings-fy-2026-q4</w:t>
      </w:r>
    </w:p>
    <w:p>
      <w:pPr>
        <w:pStyle w:val="BodyText"/>
        <w:spacing w:after="60"/>
      </w:pPr>
      <w:r>
        <w:rPr>
          <w:sz w:val="18"/>
        </w:rPr>
        <w:t xml:space="preserve">[4] Cui, Z. K., Demirer, M., Jaffe, S., Musolff, L., Peng, S., Salz, T.</w:t>
      </w:r>
      <w:r>
        <w:rPr>
          <w:sz w:val="18"/>
        </w:rPr>
        <w:t xml:space="preserve"> </w:t>
      </w:r>
      <w:r>
        <w:rPr>
          <w:iCs/>
          <w:i/>
          <w:sz w:val="18"/>
        </w:rPr>
        <w:t xml:space="preserve">The Effects of Generative AI on High-Skilled Work: Evidence from Three Field Experiments with Software Developers</w:t>
      </w:r>
      <w:r>
        <w:rPr>
          <w:sz w:val="18"/>
        </w:rPr>
        <w:t xml:space="preserve">. Management Science, published 27 February 2026. https://pubsonline.informs.org/doi/10.1287/mnsc.2025.00535</w:t>
      </w:r>
    </w:p>
    <w:p>
      <w:pPr>
        <w:pStyle w:val="BodyText"/>
        <w:spacing w:after="60"/>
      </w:pPr>
      <w:r>
        <w:rPr>
          <w:sz w:val="18"/>
        </w:rPr>
        <w:t xml:space="preserve">[5] Becker, J., Rush, N., Barnes, E., Rein, D.</w:t>
      </w:r>
      <w:r>
        <w:rPr>
          <w:sz w:val="18"/>
        </w:rPr>
        <w:t xml:space="preserve"> </w:t>
      </w:r>
      <w:r>
        <w:rPr>
          <w:iCs/>
          <w:i/>
          <w:sz w:val="18"/>
        </w:rPr>
        <w:t xml:space="preserve">Measuring the Impact of Early-2025 AI on Experienced Open-Source Developer Productivity</w:t>
      </w:r>
      <w:r>
        <w:rPr>
          <w:sz w:val="18"/>
        </w:rPr>
        <w:t xml:space="preserve">. METR, arXiv:2507.09089, July 2025. https://arxiv.org/abs/2507.09089</w:t>
      </w:r>
    </w:p>
    <w:p>
      <w:pPr>
        <w:pStyle w:val="BodyText"/>
        <w:spacing w:after="60"/>
      </w:pPr>
      <w:r>
        <w:rPr>
          <w:sz w:val="18"/>
        </w:rPr>
        <w:t xml:space="preserve">[6] Pichai, S.</w:t>
      </w:r>
      <w:r>
        <w:rPr>
          <w:sz w:val="18"/>
        </w:rPr>
        <w:t xml:space="preserve"> </w:t>
      </w:r>
      <w:r>
        <w:rPr>
          <w:iCs/>
          <w:i/>
          <w:sz w:val="18"/>
        </w:rPr>
        <w:t xml:space="preserve">Sundar Pichai shares news from Google Cloud Next 2026</w:t>
      </w:r>
      <w:r>
        <w:rPr>
          <w:sz w:val="18"/>
        </w:rPr>
        <w:t xml:space="preserve"> </w:t>
      </w:r>
      <w:r>
        <w:rPr>
          <w:sz w:val="18"/>
        </w:rPr>
        <w:t xml:space="preserve">(</w:t>
      </w:r>
      <w:r>
        <w:rPr>
          <w:sz w:val="18"/>
        </w:rPr>
        <w:t xml:space="preserve">“</w:t>
      </w:r>
      <w:r>
        <w:rPr>
          <w:sz w:val="18"/>
        </w:rPr>
        <w:t xml:space="preserve">75% of all new code at Google is now AI-generated and approved by engineers</w:t>
      </w:r>
      <w:r>
        <w:rPr>
          <w:sz w:val="18"/>
        </w:rPr>
        <w:t xml:space="preserve">”</w:t>
      </w:r>
      <w:r>
        <w:rPr>
          <w:sz w:val="18"/>
        </w:rPr>
        <w:t xml:space="preserve">). The Keyword, 22 April 2026. https://blog.google/innovation-and-ai/infrastructure-and-cloud/google-cloud/cloud-next-2026-sundar-pichai/</w:t>
      </w:r>
    </w:p>
    <w:p>
      <w:pPr>
        <w:pStyle w:val="BodyText"/>
        <w:spacing w:after="60"/>
      </w:pPr>
      <w:r>
        <w:rPr>
          <w:sz w:val="18"/>
        </w:rPr>
        <w:t xml:space="preserve">[7] Gartner.</w:t>
      </w:r>
      <w:r>
        <w:rPr>
          <w:sz w:val="18"/>
        </w:rPr>
        <w:t xml:space="preserve"> </w:t>
      </w:r>
      <w:r>
        <w:rPr>
          <w:iCs/>
          <w:i/>
          <w:sz w:val="18"/>
        </w:rPr>
        <w:t xml:space="preserve">Gartner Identifies the Top Strategic Trends in Software Engineering for 2025 and Beyond</w:t>
      </w:r>
      <w:r>
        <w:rPr>
          <w:sz w:val="18"/>
        </w:rPr>
        <w:t xml:space="preserve"> </w:t>
      </w:r>
      <w:r>
        <w:rPr>
          <w:sz w:val="18"/>
        </w:rPr>
        <w:t xml:space="preserve">(90% of enterprise software engineers will use AI code assistants by 2028). Press release, 1 July 2025. https://www.gartner.com/en/newsroom/press-releases/2025-07-01-gartner-identifies-the-top-strategic-trends-in-software-engineering-for-2025-and-beyond</w:t>
      </w:r>
    </w:p>
    <w:p>
      <w:pPr>
        <w:pStyle w:val="BodyText"/>
        <w:spacing w:after="60"/>
      </w:pPr>
      <w:r>
        <w:rPr>
          <w:sz w:val="18"/>
        </w:rPr>
        <w:t xml:space="preserve">[8] DORA / Google Cloud.</w:t>
      </w:r>
      <w:r>
        <w:rPr>
          <w:sz w:val="18"/>
        </w:rPr>
        <w:t xml:space="preserve"> </w:t>
      </w:r>
      <w:r>
        <w:rPr>
          <w:iCs/>
          <w:i/>
          <w:sz w:val="18"/>
        </w:rPr>
        <w:t xml:space="preserve">2025 DORA Report: State of AI-assisted Software Development</w:t>
      </w:r>
      <w:r>
        <w:rPr>
          <w:sz w:val="18"/>
        </w:rPr>
        <w:t xml:space="preserve"> </w:t>
      </w:r>
      <w:r>
        <w:rPr>
          <w:sz w:val="18"/>
        </w:rPr>
        <w:t xml:space="preserve">and</w:t>
      </w:r>
      <w:r>
        <w:rPr>
          <w:sz w:val="18"/>
        </w:rPr>
        <w:t xml:space="preserve"> </w:t>
      </w:r>
      <w:r>
        <w:rPr>
          <w:iCs/>
          <w:i/>
          <w:sz w:val="18"/>
        </w:rPr>
        <w:t xml:space="preserve">DORA AI Capabilities Model</w:t>
      </w:r>
      <w:r>
        <w:rPr>
          <w:sz w:val="18"/>
        </w:rPr>
        <w:t xml:space="preserve">. 23 September 2025. https://dora.dev/research/2025/dora-report/ ; https://cloud.google.com/blog/products/ai-machine-learning/introducing-doras-inaugural-ai-capabilities-model</w:t>
      </w:r>
    </w:p>
    <w:p>
      <w:pPr>
        <w:pStyle w:val="BodyText"/>
        <w:spacing w:after="60"/>
      </w:pPr>
      <w:r>
        <w:rPr>
          <w:sz w:val="18"/>
        </w:rPr>
        <w:t xml:space="preserve">[9] Jöhnk, J., Weißert, M., Wyrtki, K.</w:t>
      </w:r>
      <w:r>
        <w:rPr>
          <w:sz w:val="18"/>
        </w:rPr>
        <w:t xml:space="preserve"> </w:t>
      </w:r>
      <w:r>
        <w:rPr>
          <w:iCs/>
          <w:i/>
          <w:sz w:val="18"/>
        </w:rPr>
        <w:t xml:space="preserve">Ready or Not, AI Comes: An Interview Study of Organizational AI Readiness Factors</w:t>
      </w:r>
      <w:r>
        <w:rPr>
          <w:sz w:val="18"/>
        </w:rPr>
        <w:t xml:space="preserve">. Business &amp; Information Systems Engineering 63(1):5-20, 2021. https://link.springer.com/article/10.1007/s12599-020-00676-7</w:t>
      </w:r>
    </w:p>
    <w:p>
      <w:pPr>
        <w:pStyle w:val="BodyText"/>
        <w:spacing w:after="60"/>
      </w:pPr>
      <w:r>
        <w:rPr>
          <w:sz w:val="18"/>
        </w:rPr>
        <w:t xml:space="preserve">[10] Lawrence, N. D.</w:t>
      </w:r>
      <w:r>
        <w:rPr>
          <w:sz w:val="18"/>
        </w:rPr>
        <w:t xml:space="preserve"> </w:t>
      </w:r>
      <w:r>
        <w:rPr>
          <w:iCs/>
          <w:i/>
          <w:sz w:val="18"/>
        </w:rPr>
        <w:t xml:space="preserve">Data Readiness Levels</w:t>
      </w:r>
      <w:r>
        <w:rPr>
          <w:sz w:val="18"/>
        </w:rPr>
        <w:t xml:space="preserve">. arXiv:1705.02245, May 2017. https://arxiv.org/abs/1705.02245</w:t>
      </w:r>
    </w:p>
    <w:p>
      <w:pPr>
        <w:pStyle w:val="BodyText"/>
        <w:spacing w:after="60"/>
      </w:pPr>
      <w:r>
        <w:rPr>
          <w:sz w:val="18"/>
        </w:rPr>
        <w:t xml:space="preserve">[11] Paulk, M. C., Curtis, B., Chrissis, M. B., Weber, C. V.</w:t>
      </w:r>
      <w:r>
        <w:rPr>
          <w:sz w:val="18"/>
        </w:rPr>
        <w:t xml:space="preserve"> </w:t>
      </w:r>
      <w:r>
        <w:rPr>
          <w:iCs/>
          <w:i/>
          <w:sz w:val="18"/>
        </w:rPr>
        <w:t xml:space="preserve">Capability Maturity Model, Version 1.1</w:t>
      </w:r>
      <w:r>
        <w:rPr>
          <w:sz w:val="18"/>
        </w:rPr>
        <w:t xml:space="preserve">. IEEE Software 10(4):18-27, July 1993; SEI technical report CMU/SEI-93-TR-024. https://apps.dtic.mil/sti/pdfs/ADA263403.pdf</w:t>
      </w:r>
    </w:p>
    <w:p>
      <w:pPr>
        <w:pStyle w:val="BodyText"/>
        <w:spacing w:after="60"/>
      </w:pPr>
      <w:r>
        <w:rPr>
          <w:sz w:val="18"/>
        </w:rPr>
        <w:t xml:space="preserve">[12] Schluntz, E., Zhang, B.</w:t>
      </w:r>
      <w:r>
        <w:rPr>
          <w:sz w:val="18"/>
        </w:rPr>
        <w:t xml:space="preserve"> </w:t>
      </w:r>
      <w:r>
        <w:rPr>
          <w:iCs/>
          <w:i/>
          <w:sz w:val="18"/>
        </w:rPr>
        <w:t xml:space="preserve">Building effective agents</w:t>
      </w:r>
      <w:r>
        <w:rPr>
          <w:sz w:val="18"/>
        </w:rPr>
        <w:t xml:space="preserve">. Anthropic Engineering, 19 December 2024. https://www.anthropic.com/engineering/building-effective-agents</w:t>
      </w:r>
    </w:p>
    <w:p>
      <w:pPr>
        <w:pStyle w:val="BodyText"/>
        <w:spacing w:after="60"/>
      </w:pPr>
      <w:r>
        <w:rPr>
          <w:sz w:val="18"/>
        </w:rPr>
        <w:t xml:space="preserve">[13] AGENTS.md (agents.md) and Linux Foundation.</w:t>
      </w:r>
      <w:r>
        <w:rPr>
          <w:sz w:val="18"/>
        </w:rPr>
        <w:t xml:space="preserve"> </w:t>
      </w:r>
      <w:r>
        <w:rPr>
          <w:iCs/>
          <w:i/>
          <w:sz w:val="18"/>
        </w:rPr>
        <w:t xml:space="preserve">Linux Foundation Announces the Formation of the Agentic AI Foundation</w:t>
      </w:r>
      <w:r>
        <w:rPr>
          <w:sz w:val="18"/>
        </w:rPr>
        <w:t xml:space="preserve"> </w:t>
      </w:r>
      <w:r>
        <w:rPr>
          <w:sz w:val="18"/>
        </w:rPr>
        <w:t xml:space="preserve">(MCP, goose, AGENTS.md as founding projects). 9 December 2025. https://www.linuxfoundation.org/press/linux-foundation-announces-the-formation-of-the-agentic-ai-foundation</w:t>
      </w:r>
    </w:p>
    <w:p>
      <w:pPr>
        <w:pStyle w:val="BodyText"/>
        <w:spacing w:after="60"/>
      </w:pPr>
      <w:r>
        <w:rPr>
          <w:sz w:val="18"/>
        </w:rPr>
        <w:t xml:space="preserve">[14] Anthropic.</w:t>
      </w:r>
      <w:r>
        <w:rPr>
          <w:sz w:val="18"/>
        </w:rPr>
        <w:t xml:space="preserve"> </w:t>
      </w:r>
      <w:r>
        <w:rPr>
          <w:iCs/>
          <w:i/>
          <w:sz w:val="18"/>
        </w:rPr>
        <w:t xml:space="preserve">Claude Code best practices</w:t>
      </w:r>
      <w:r>
        <w:rPr>
          <w:sz w:val="18"/>
        </w:rPr>
        <w:t xml:space="preserve"> </w:t>
      </w:r>
      <w:r>
        <w:rPr>
          <w:sz w:val="18"/>
        </w:rPr>
        <w:t xml:space="preserve">(CLAUDE.md guidance). Documentation, accessed September 2026. https://code.claude.com/docs/en/best-practices</w:t>
      </w:r>
    </w:p>
    <w:p>
      <w:pPr>
        <w:pStyle w:val="BodyText"/>
        <w:spacing w:after="60"/>
      </w:pPr>
      <w:r>
        <w:rPr>
          <w:sz w:val="18"/>
        </w:rPr>
        <w:t xml:space="preserve">[15] GitHub Docs,</w:t>
      </w:r>
      <w:r>
        <w:rPr>
          <w:sz w:val="18"/>
        </w:rPr>
        <w:t xml:space="preserve"> </w:t>
      </w:r>
      <w:r>
        <w:rPr>
          <w:iCs/>
          <w:i/>
          <w:sz w:val="18"/>
        </w:rPr>
        <w:t xml:space="preserve">Adding repository custom instructions for GitHub Copilot</w:t>
      </w:r>
      <w:r>
        <w:rPr>
          <w:sz w:val="18"/>
        </w:rPr>
        <w:t xml:space="preserve">, https://docs.github.com/en/copilot/how-tos/configure-custom-instructions/add-repository-instructions ; Cursor Docs,</w:t>
      </w:r>
      <w:r>
        <w:rPr>
          <w:sz w:val="18"/>
        </w:rPr>
        <w:t xml:space="preserve"> </w:t>
      </w:r>
      <w:r>
        <w:rPr>
          <w:iCs/>
          <w:i/>
          <w:sz w:val="18"/>
        </w:rPr>
        <w:t xml:space="preserve">Rules</w:t>
      </w:r>
      <w:r>
        <w:rPr>
          <w:sz w:val="18"/>
        </w:rPr>
        <w:t xml:space="preserve">, https://cursor.com/docs/context/rules (both accessed September 2026).</w:t>
      </w:r>
    </w:p>
    <w:p>
      <w:pPr>
        <w:pStyle w:val="BodyText"/>
        <w:spacing w:after="60"/>
      </w:pPr>
      <w:r>
        <w:rPr>
          <w:sz w:val="18"/>
        </w:rPr>
        <w:t xml:space="preserve">[16] Boston Consulting Group.</w:t>
      </w:r>
      <w:r>
        <w:rPr>
          <w:sz w:val="18"/>
        </w:rPr>
        <w:t xml:space="preserve"> </w:t>
      </w:r>
      <w:r>
        <w:rPr>
          <w:iCs/>
          <w:i/>
          <w:sz w:val="18"/>
        </w:rPr>
        <w:t xml:space="preserve">The Widening AI Value Gap: Build for the Future 2025</w:t>
      </w:r>
      <w:r>
        <w:rPr>
          <w:sz w:val="18"/>
        </w:rPr>
        <w:t xml:space="preserve">. September 2025. https://media-publications.bcg.com/The-Widening-AI-Value-Gap-Sept-2025.pdf</w:t>
      </w:r>
    </w:p>
    <w:p>
      <w:pPr>
        <w:pStyle w:val="BodyText"/>
        <w:spacing w:after="60"/>
      </w:pPr>
      <w:r>
        <w:rPr>
          <w:sz w:val="18"/>
        </w:rPr>
        <w:t xml:space="preserve">[17] IBM Institute for Business Value.</w:t>
      </w:r>
      <w:r>
        <w:rPr>
          <w:sz w:val="18"/>
        </w:rPr>
        <w:t xml:space="preserve"> </w:t>
      </w:r>
      <w:r>
        <w:rPr>
          <w:iCs/>
          <w:i/>
          <w:sz w:val="18"/>
        </w:rPr>
        <w:t xml:space="preserve">2025 CEO Study: CEOs double down on AI while navigating enterprise hurdles</w:t>
      </w:r>
      <w:r>
        <w:rPr>
          <w:sz w:val="18"/>
        </w:rPr>
        <w:t xml:space="preserve">. 6 May 2025. https://newsroom.ibm.com/2025-05-06-ibm-study-ceos-double-down-on-ai-while-navigating-enterprise-hurdles</w:t>
      </w:r>
    </w:p>
    <w:p>
      <w:pPr>
        <w:pStyle w:val="BodyText"/>
        <w:spacing w:after="60"/>
      </w:pPr>
      <w:r>
        <w:rPr>
          <w:sz w:val="18"/>
        </w:rPr>
        <w:t xml:space="preserve">[18] Deloitte AI Institute.</w:t>
      </w:r>
      <w:r>
        <w:rPr>
          <w:sz w:val="18"/>
        </w:rPr>
        <w:t xml:space="preserve"> </w:t>
      </w:r>
      <w:r>
        <w:rPr>
          <w:iCs/>
          <w:i/>
          <w:sz w:val="18"/>
        </w:rPr>
        <w:t xml:space="preserve">The State of AI in the Enterprise, 7th edition: The Untapped Edge</w:t>
      </w:r>
      <w:r>
        <w:rPr>
          <w:sz w:val="18"/>
        </w:rPr>
        <w:t xml:space="preserve">. 21 January 2026. https://www.deloitte.com/us/en/about/press-room/state-of-ai-report-2026.html</w:t>
      </w:r>
    </w:p>
    <w:p>
      <w:pPr>
        <w:pStyle w:val="BodyText"/>
        <w:spacing w:after="60"/>
      </w:pPr>
      <w:r>
        <w:rPr>
          <w:sz w:val="18"/>
        </w:rPr>
        <w:t xml:space="preserve">[19] Capgemini Research Institute.</w:t>
      </w:r>
      <w:r>
        <w:rPr>
          <w:sz w:val="18"/>
        </w:rPr>
        <w:t xml:space="preserve"> </w:t>
      </w:r>
      <w:r>
        <w:rPr>
          <w:iCs/>
          <w:i/>
          <w:sz w:val="18"/>
        </w:rPr>
        <w:t xml:space="preserve">Rise of agentic AI: How trust is the key to human-AI collaboration</w:t>
      </w:r>
      <w:r>
        <w:rPr>
          <w:sz w:val="18"/>
        </w:rPr>
        <w:t xml:space="preserve">. 16 July 2025. https://www.capgemini.com/news/press-releases/trust-and-human-ai-collaboration-set-to-define-the-next-era-of-agentic-ai-unlocking-450-billion-opportunity-by-2028/</w:t>
      </w:r>
    </w:p>
    <w:p>
      <w:pPr>
        <w:pStyle w:val="BodyText"/>
        <w:spacing w:after="60"/>
      </w:pPr>
      <w:r>
        <w:rPr>
          <w:sz w:val="18"/>
        </w:rPr>
        <w:t xml:space="preserve">[20] Gartner.</w:t>
      </w:r>
      <w:r>
        <w:rPr>
          <w:sz w:val="18"/>
        </w:rPr>
        <w:t xml:space="preserve"> </w:t>
      </w:r>
      <w:r>
        <w:rPr>
          <w:iCs/>
          <w:i/>
          <w:sz w:val="18"/>
        </w:rPr>
        <w:t xml:space="preserve">Lack of AI-Ready Data Puts AI Projects at Risk</w:t>
      </w:r>
      <w:r>
        <w:rPr>
          <w:sz w:val="18"/>
        </w:rPr>
        <w:t xml:space="preserve">. Press release, 26 February 2025. https://www.gartner.com/en/newsroom/press-releases/2025-02-26-lack-of-ai-ready-data-puts-ai-projects-at-risk</w:t>
      </w:r>
    </w:p>
    <w:p>
      <w:pPr>
        <w:pStyle w:val="BodyText"/>
        <w:spacing w:after="60"/>
      </w:pPr>
      <w:r>
        <w:rPr>
          <w:sz w:val="18"/>
        </w:rPr>
        <w:t xml:space="preserve">[21] Gartner.</w:t>
      </w:r>
      <w:r>
        <w:rPr>
          <w:sz w:val="18"/>
        </w:rPr>
        <w:t xml:space="preserve"> </w:t>
      </w:r>
      <w:r>
        <w:rPr>
          <w:iCs/>
          <w:i/>
          <w:sz w:val="18"/>
        </w:rPr>
        <w:t xml:space="preserve">Gartner Predicts Over 40% of Agentic AI Projects Will Be Canceled by End of 2027</w:t>
      </w:r>
      <w:r>
        <w:rPr>
          <w:sz w:val="18"/>
        </w:rPr>
        <w:t xml:space="preserve">. Press release, 25 June 2025. https://www.gartner.com/en/newsroom/press-releases/2025-06-25-gartner-predicts-over-40-percent-of-agentic-ai-projects-will-be-canceled-by-end-of-2027</w:t>
      </w:r>
    </w:p>
    <w:p>
      <w:pPr>
        <w:pStyle w:val="BodyText"/>
        <w:spacing w:after="60"/>
      </w:pPr>
      <w:r>
        <w:rPr>
          <w:sz w:val="18"/>
        </w:rPr>
        <w:t xml:space="preserve">[22] Challapally, A., Pease, C., Raskar, R., Chari, P.</w:t>
      </w:r>
      <w:r>
        <w:rPr>
          <w:sz w:val="18"/>
        </w:rPr>
        <w:t xml:space="preserve"> </w:t>
      </w:r>
      <w:r>
        <w:rPr>
          <w:iCs/>
          <w:i/>
          <w:sz w:val="18"/>
        </w:rPr>
        <w:t xml:space="preserve">The GenAI Divide: State of AI in Business 2025</w:t>
      </w:r>
      <w:r>
        <w:rPr>
          <w:sz w:val="18"/>
        </w:rPr>
        <w:t xml:space="preserve">. MIT NANDA, July 2025 (v0.1). https://mlq.ai/media/quarterly_decks/v0.1_State_of_AI_in_Business_2025_Report.pdf</w:t>
      </w:r>
    </w:p>
    <w:p>
      <w:pPr>
        <w:pStyle w:val="BodyText"/>
        <w:spacing w:after="60"/>
      </w:pPr>
      <w:r>
        <w:rPr>
          <w:sz w:val="18"/>
        </w:rPr>
        <w:t xml:space="preserve">[23] Futuriom.</w:t>
      </w:r>
      <w:r>
        <w:rPr>
          <w:sz w:val="18"/>
        </w:rPr>
        <w:t xml:space="preserve"> </w:t>
      </w:r>
      <w:r>
        <w:rPr>
          <w:iCs/>
          <w:i/>
          <w:sz w:val="18"/>
        </w:rPr>
        <w:t xml:space="preserve">Why We Don’t Believe MIT NANDA’s Weird AI Study</w:t>
      </w:r>
      <w:r>
        <w:rPr>
          <w:sz w:val="18"/>
        </w:rPr>
        <w:t xml:space="preserve">. 26 August 2025. https://www.futuriom.com/articles/news/why-we-dont-believe-mit-nandas-werid-ai-study/2025/08</w:t>
      </w:r>
    </w:p>
    <w:p>
      <w:pPr>
        <w:pStyle w:val="BodyText"/>
        <w:spacing w:after="60"/>
      </w:pPr>
      <w:r>
        <w:rPr>
          <w:sz w:val="18"/>
        </w:rPr>
        <w:t xml:space="preserve">[24] Microsoft WorkLab.</w:t>
      </w:r>
      <w:r>
        <w:rPr>
          <w:sz w:val="18"/>
        </w:rPr>
        <w:t xml:space="preserve"> </w:t>
      </w:r>
      <w:r>
        <w:rPr>
          <w:iCs/>
          <w:i/>
          <w:sz w:val="18"/>
        </w:rPr>
        <w:t xml:space="preserve">2026 Work Trend Index: Agents, human agency and the opportunity for every organization</w:t>
      </w:r>
      <w:r>
        <w:rPr>
          <w:sz w:val="18"/>
        </w:rPr>
        <w:t xml:space="preserve">. 5 May 2026. https://www.microsoft.com/en-us/worklab/work-trend-index/agents-human-agency-and-the-opportunity-for-every-organization</w:t>
      </w:r>
    </w:p>
    <w:p>
      <w:pPr>
        <w:pStyle w:val="BodyText"/>
        <w:spacing w:after="60"/>
      </w:pPr>
      <w:r>
        <w:rPr>
          <w:sz w:val="18"/>
        </w:rPr>
        <w:t xml:space="preserve">[25] Boston Consulting Group.</w:t>
      </w:r>
      <w:r>
        <w:rPr>
          <w:sz w:val="18"/>
        </w:rPr>
        <w:t xml:space="preserve"> </w:t>
      </w:r>
      <w:r>
        <w:rPr>
          <w:iCs/>
          <w:i/>
          <w:sz w:val="18"/>
        </w:rPr>
        <w:t xml:space="preserve">AI Radar 2026: As AI Investments Surge, CEOs Take the Lead</w:t>
      </w:r>
      <w:r>
        <w:rPr>
          <w:sz w:val="18"/>
        </w:rPr>
        <w:t xml:space="preserve">. January 2026. https://www.bcg.com/press/15january2026-as-ai-investments-surge-ceos-take-lead</w:t>
      </w:r>
    </w:p>
    <w:p>
      <w:pPr>
        <w:pStyle w:val="BodyText"/>
        <w:spacing w:after="60"/>
      </w:pPr>
      <w:r>
        <w:rPr>
          <w:sz w:val="18"/>
        </w:rPr>
        <w:t xml:space="preserve">[26] Weill, P., Woerner, S. L., Sebastian, I. M.</w:t>
      </w:r>
      <w:r>
        <w:rPr>
          <w:sz w:val="18"/>
        </w:rPr>
        <w:t xml:space="preserve"> </w:t>
      </w:r>
      <w:r>
        <w:rPr>
          <w:iCs/>
          <w:i/>
          <w:sz w:val="18"/>
        </w:rPr>
        <w:t xml:space="preserve">Building Enterprise AI Maturity</w:t>
      </w:r>
      <w:r>
        <w:rPr>
          <w:sz w:val="18"/>
        </w:rPr>
        <w:t xml:space="preserve">. MIT CISR Research Briefing XXIV(12), 19 December 2024. https://cisr.mit.edu/publication/2024_1201_EnterpriseAIMaturityModel_WeillWoernerSebastian</w:t>
      </w:r>
    </w:p>
    <w:p>
      <w:pPr>
        <w:pStyle w:val="BodyText"/>
        <w:spacing w:after="60"/>
      </w:pPr>
      <w:r>
        <w:rPr>
          <w:sz w:val="18"/>
        </w:rPr>
        <w:t xml:space="preserve">[27] Woerner, S. L., Sebastian, I. M., Weill, P., Kaganer, E.</w:t>
      </w:r>
      <w:r>
        <w:rPr>
          <w:sz w:val="18"/>
        </w:rPr>
        <w:t xml:space="preserve"> </w:t>
      </w:r>
      <w:r>
        <w:rPr>
          <w:iCs/>
          <w:i/>
          <w:sz w:val="18"/>
        </w:rPr>
        <w:t xml:space="preserve">Grow Enterprise AI Maturity for Bottom-Line Impact</w:t>
      </w:r>
      <w:r>
        <w:rPr>
          <w:sz w:val="18"/>
        </w:rPr>
        <w:t xml:space="preserve">. MIT CISR Research Briefing, 21 August 2025. https://cisr.mit.edu/publication/2025_0801_EnterpriseAIMaturityUpdate_WoernerSebastianWeillKaganer_Audio</w:t>
      </w:r>
    </w:p>
    <w:p>
      <w:pPr>
        <w:pStyle w:val="BodyText"/>
        <w:spacing w:after="60"/>
      </w:pPr>
      <w:r>
        <w:rPr>
          <w:sz w:val="18"/>
        </w:rPr>
        <w:t xml:space="preserve">[28] METR.</w:t>
      </w:r>
      <w:r>
        <w:rPr>
          <w:sz w:val="18"/>
        </w:rPr>
        <w:t xml:space="preserve"> </w:t>
      </w:r>
      <w:r>
        <w:rPr>
          <w:iCs/>
          <w:i/>
          <w:sz w:val="18"/>
        </w:rPr>
        <w:t xml:space="preserve">We are changing our developer productivity experiment design</w:t>
      </w:r>
      <w:r>
        <w:rPr>
          <w:sz w:val="18"/>
        </w:rPr>
        <w:t xml:space="preserve">. 24 February 2026. https://metr.org/blog/2026-02-24-uplift-update/</w:t>
      </w:r>
    </w:p>
    <w:p>
      <w:pPr>
        <w:pStyle w:val="BodyText"/>
        <w:spacing w:after="60"/>
      </w:pPr>
      <w:r>
        <w:rPr>
          <w:sz w:val="18"/>
        </w:rPr>
        <w:t xml:space="preserve">[29] METR.</w:t>
      </w:r>
      <w:r>
        <w:rPr>
          <w:sz w:val="18"/>
        </w:rPr>
        <w:t xml:space="preserve"> </w:t>
      </w:r>
      <w:r>
        <w:rPr>
          <w:iCs/>
          <w:i/>
          <w:sz w:val="18"/>
        </w:rPr>
        <w:t xml:space="preserve">Measuring the Self-Reported Impact of Early-2026 AI on Technical Worker Productivity</w:t>
      </w:r>
      <w:r>
        <w:rPr>
          <w:sz w:val="18"/>
        </w:rPr>
        <w:t xml:space="preserve">. 11 May 2026. https://metr.org/blog/2026-05-11-ai-usage-survey/</w:t>
      </w:r>
    </w:p>
    <w:p>
      <w:pPr>
        <w:pStyle w:val="BodyText"/>
        <w:spacing w:after="60"/>
      </w:pPr>
      <w:r>
        <w:rPr>
          <w:sz w:val="18"/>
        </w:rPr>
        <w:t xml:space="preserve">[30] Paradis, E., Grey, K., Madison, Q., Nam, D., Macvean, A., Meimand, V., Zhang, N., Ferrari-Church, B., Chandra, S.</w:t>
      </w:r>
      <w:r>
        <w:rPr>
          <w:sz w:val="18"/>
        </w:rPr>
        <w:t xml:space="preserve"> </w:t>
      </w:r>
      <w:r>
        <w:rPr>
          <w:iCs/>
          <w:i/>
          <w:sz w:val="18"/>
        </w:rPr>
        <w:t xml:space="preserve">How much does AI impact development speed? An enterprise-based randomized controlled trial</w:t>
      </w:r>
      <w:r>
        <w:rPr>
          <w:sz w:val="18"/>
        </w:rPr>
        <w:t xml:space="preserve">. Google, arXiv:2410.12944, 2024. https://arxiv.org/abs/2410.12944</w:t>
      </w:r>
    </w:p>
    <w:p>
      <w:pPr>
        <w:pStyle w:val="BodyText"/>
        <w:spacing w:after="60"/>
      </w:pPr>
      <w:r>
        <w:rPr>
          <w:sz w:val="18"/>
        </w:rPr>
        <w:t xml:space="preserve">[31] Peng, S., Kalliamvakou, E., Cihon, P., Demirer, M.</w:t>
      </w:r>
      <w:r>
        <w:rPr>
          <w:sz w:val="18"/>
        </w:rPr>
        <w:t xml:space="preserve"> </w:t>
      </w:r>
      <w:r>
        <w:rPr>
          <w:iCs/>
          <w:i/>
          <w:sz w:val="18"/>
        </w:rPr>
        <w:t xml:space="preserve">The Impact of AI on Developer Productivity: Evidence from GitHub Copilot</w:t>
      </w:r>
      <w:r>
        <w:rPr>
          <w:sz w:val="18"/>
        </w:rPr>
        <w:t xml:space="preserve">. arXiv:2302.06590, February 2023. https://arxiv.org/abs/2302.06590</w:t>
      </w:r>
    </w:p>
    <w:p>
      <w:pPr>
        <w:pStyle w:val="BodyText"/>
        <w:spacing w:after="60"/>
      </w:pPr>
      <w:r>
        <w:rPr>
          <w:sz w:val="18"/>
        </w:rPr>
        <w:t xml:space="preserve">[32] METR.</w:t>
      </w:r>
      <w:r>
        <w:rPr>
          <w:sz w:val="18"/>
        </w:rPr>
        <w:t xml:space="preserve"> </w:t>
      </w:r>
      <w:r>
        <w:rPr>
          <w:iCs/>
          <w:i/>
          <w:sz w:val="18"/>
        </w:rPr>
        <w:t xml:space="preserve">Task Substitution and Uplift</w:t>
      </w:r>
      <w:r>
        <w:rPr>
          <w:sz w:val="18"/>
        </w:rPr>
        <w:t xml:space="preserve">. 8 May 2026. https://metr.org/blog/2026-05-08-task-substitution-and-uplift/</w:t>
      </w:r>
    </w:p>
    <w:p>
      <w:pPr>
        <w:pStyle w:val="BodyText"/>
        <w:spacing w:after="60"/>
      </w:pPr>
      <w:r>
        <w:rPr>
          <w:sz w:val="18"/>
        </w:rPr>
        <w:t xml:space="preserve">[33] DORA / Google Cloud.</w:t>
      </w:r>
      <w:r>
        <w:rPr>
          <w:sz w:val="18"/>
        </w:rPr>
        <w:t xml:space="preserve"> </w:t>
      </w:r>
      <w:r>
        <w:rPr>
          <w:iCs/>
          <w:i/>
          <w:sz w:val="18"/>
        </w:rPr>
        <w:t xml:space="preserve">Accelerate State of DevOps Report 2024</w:t>
      </w:r>
      <w:r>
        <w:rPr>
          <w:sz w:val="18"/>
        </w:rPr>
        <w:t xml:space="preserve"> </w:t>
      </w:r>
      <w:r>
        <w:rPr>
          <w:sz w:val="18"/>
        </w:rPr>
        <w:t xml:space="preserve">(AI findings as summarised by RedMonk, 26 November 2024). https://dora.dev/research/2024/dora-report/ ; https://redmonk.com/rstephens/2024/11/26/dora2024/</w:t>
      </w:r>
    </w:p>
    <w:p>
      <w:pPr>
        <w:pStyle w:val="BodyText"/>
        <w:spacing w:after="60"/>
      </w:pPr>
      <w:r>
        <w:rPr>
          <w:sz w:val="18"/>
        </w:rPr>
        <w:t xml:space="preserve">[34] Faros AI.</w:t>
      </w:r>
      <w:r>
        <w:rPr>
          <w:sz w:val="18"/>
        </w:rPr>
        <w:t xml:space="preserve"> </w:t>
      </w:r>
      <w:r>
        <w:rPr>
          <w:iCs/>
          <w:i/>
          <w:sz w:val="18"/>
        </w:rPr>
        <w:t xml:space="preserve">The AI Productivity Paradox</w:t>
      </w:r>
      <w:r>
        <w:rPr>
          <w:sz w:val="18"/>
        </w:rPr>
        <w:t xml:space="preserve"> </w:t>
      </w:r>
      <w:r>
        <w:rPr>
          <w:sz w:val="18"/>
        </w:rPr>
        <w:t xml:space="preserve">(23 July 2025) and</w:t>
      </w:r>
      <w:r>
        <w:rPr>
          <w:sz w:val="18"/>
        </w:rPr>
        <w:t xml:space="preserve"> </w:t>
      </w:r>
      <w:r>
        <w:rPr>
          <w:iCs/>
          <w:i/>
          <w:sz w:val="18"/>
        </w:rPr>
        <w:t xml:space="preserve">The Acceleration Whiplash</w:t>
      </w:r>
      <w:r>
        <w:rPr>
          <w:sz w:val="18"/>
        </w:rPr>
        <w:t xml:space="preserve"> </w:t>
      </w:r>
      <w:r>
        <w:rPr>
          <w:sz w:val="18"/>
        </w:rPr>
        <w:t xml:space="preserve">(2026). https://www.faros.ai/blog/ai-productivity-paradox-report-2025 ; https://www.faros.ai/research/ai-acceleration-whiplash</w:t>
      </w:r>
    </w:p>
    <w:p>
      <w:pPr>
        <w:pStyle w:val="BodyText"/>
        <w:spacing w:after="60"/>
      </w:pPr>
      <w:r>
        <w:rPr>
          <w:sz w:val="18"/>
        </w:rPr>
        <w:t xml:space="preserve">[35] GitClear (Harding, B.).</w:t>
      </w:r>
      <w:r>
        <w:rPr>
          <w:sz w:val="18"/>
        </w:rPr>
        <w:t xml:space="preserve"> </w:t>
      </w:r>
      <w:r>
        <w:rPr>
          <w:iCs/>
          <w:i/>
          <w:sz w:val="18"/>
        </w:rPr>
        <w:t xml:space="preserve">AI Copilot Code Quality: 2025 Data Suggests 4x Growth in Code Clones</w:t>
      </w:r>
      <w:r>
        <w:rPr>
          <w:sz w:val="18"/>
        </w:rPr>
        <w:t xml:space="preserve"> </w:t>
      </w:r>
      <w:r>
        <w:rPr>
          <w:sz w:val="18"/>
        </w:rPr>
        <w:t xml:space="preserve">(2025) and</w:t>
      </w:r>
      <w:r>
        <w:rPr>
          <w:sz w:val="18"/>
        </w:rPr>
        <w:t xml:space="preserve"> </w:t>
      </w:r>
      <w:r>
        <w:rPr>
          <w:iCs/>
          <w:i/>
          <w:sz w:val="18"/>
        </w:rPr>
        <w:t xml:space="preserve">The AI Code Quality Maintainability Gap</w:t>
      </w:r>
      <w:r>
        <w:rPr>
          <w:sz w:val="18"/>
        </w:rPr>
        <w:t xml:space="preserve"> </w:t>
      </w:r>
      <w:r>
        <w:rPr>
          <w:sz w:val="18"/>
        </w:rPr>
        <w:t xml:space="preserve">(January 2026). https://www.gitclear.com/ai_assistant_code_quality_2025_research ; https://www.gitclear.com/the_ai_code_quality_maintainability_gap</w:t>
      </w:r>
    </w:p>
    <w:p>
      <w:pPr>
        <w:pStyle w:val="BodyText"/>
        <w:spacing w:after="60"/>
      </w:pPr>
      <w:r>
        <w:rPr>
          <w:sz w:val="18"/>
        </w:rPr>
        <w:t xml:space="preserve">[36] Uplevel Data Labs.</w:t>
      </w:r>
      <w:r>
        <w:rPr>
          <w:sz w:val="18"/>
        </w:rPr>
        <w:t xml:space="preserve"> </w:t>
      </w:r>
      <w:r>
        <w:rPr>
          <w:iCs/>
          <w:i/>
          <w:sz w:val="18"/>
        </w:rPr>
        <w:t xml:space="preserve">AI won’t solve your developer productivity problems for you</w:t>
      </w:r>
      <w:r>
        <w:rPr>
          <w:sz w:val="18"/>
        </w:rPr>
        <w:t xml:space="preserve"> </w:t>
      </w:r>
      <w:r>
        <w:rPr>
          <w:sz w:val="18"/>
        </w:rPr>
        <w:t xml:space="preserve">(Copilot study, ~800 developers). September 2024 (republished 2026). https://uplevelteam.com/blog/ai-for-developer-productivity</w:t>
      </w:r>
    </w:p>
    <w:p>
      <w:pPr>
        <w:pStyle w:val="BodyText"/>
        <w:spacing w:after="60"/>
      </w:pPr>
      <w:r>
        <w:rPr>
          <w:sz w:val="18"/>
        </w:rPr>
        <w:t xml:space="preserve">[37] Veracode.</w:t>
      </w:r>
      <w:r>
        <w:rPr>
          <w:sz w:val="18"/>
        </w:rPr>
        <w:t xml:space="preserve"> </w:t>
      </w:r>
      <w:r>
        <w:rPr>
          <w:iCs/>
          <w:i/>
          <w:sz w:val="18"/>
        </w:rPr>
        <w:t xml:space="preserve">2025 GenAI Code Security Report</w:t>
      </w:r>
      <w:r>
        <w:rPr>
          <w:sz w:val="18"/>
        </w:rPr>
        <w:t xml:space="preserve"> </w:t>
      </w:r>
      <w:r>
        <w:rPr>
          <w:sz w:val="18"/>
        </w:rPr>
        <w:t xml:space="preserve">(30 July 2025) and</w:t>
      </w:r>
      <w:r>
        <w:rPr>
          <w:sz w:val="18"/>
        </w:rPr>
        <w:t xml:space="preserve"> </w:t>
      </w:r>
      <w:r>
        <w:rPr>
          <w:iCs/>
          <w:i/>
          <w:sz w:val="18"/>
        </w:rPr>
        <w:t xml:space="preserve">Spring 2026 GenAI Code Security</w:t>
      </w:r>
      <w:r>
        <w:rPr>
          <w:sz w:val="18"/>
        </w:rPr>
        <w:t xml:space="preserve"> </w:t>
      </w:r>
      <w:r>
        <w:rPr>
          <w:sz w:val="18"/>
        </w:rPr>
        <w:t xml:space="preserve">update (24 March 2026). https://www.veracode.com/blog/genai-code-security-report/ ; https://www.veracode.com/blog/spring-2026-genai-code-security/</w:t>
      </w:r>
    </w:p>
    <w:p>
      <w:pPr>
        <w:pStyle w:val="BodyText"/>
        <w:spacing w:after="60"/>
      </w:pPr>
      <w:r>
        <w:rPr>
          <w:sz w:val="18"/>
        </w:rPr>
        <w:t xml:space="preserve">[38] Zeff, M.</w:t>
      </w:r>
      <w:r>
        <w:rPr>
          <w:sz w:val="18"/>
        </w:rPr>
        <w:t xml:space="preserve"> </w:t>
      </w:r>
      <w:r>
        <w:rPr>
          <w:iCs/>
          <w:i/>
          <w:sz w:val="18"/>
        </w:rPr>
        <w:t xml:space="preserve">Microsoft CEO says up to 30% of the company’s code was written by AI</w:t>
      </w:r>
      <w:r>
        <w:rPr>
          <w:sz w:val="18"/>
        </w:rPr>
        <w:t xml:space="preserve">. TechCrunch, 29 April 2025. https://techcrunch.com/2025/04/29/microsoft-ceo-says-up-to-30-of-the-companys-code-was-written-by-ai/</w:t>
      </w:r>
    </w:p>
    <w:p>
      <w:pPr>
        <w:pStyle w:val="BodyText"/>
        <w:spacing w:after="60"/>
      </w:pPr>
      <w:r>
        <w:rPr>
          <w:sz w:val="18"/>
        </w:rPr>
        <w:t xml:space="preserve">[39] The Block.</w:t>
      </w:r>
      <w:r>
        <w:rPr>
          <w:sz w:val="18"/>
        </w:rPr>
        <w:t xml:space="preserve"> </w:t>
      </w:r>
      <w:r>
        <w:rPr>
          <w:iCs/>
          <w:i/>
          <w:sz w:val="18"/>
        </w:rPr>
        <w:t xml:space="preserve">Brian Armstrong: ~40% of daily code at Coinbase is AI-generated</w:t>
      </w:r>
      <w:r>
        <w:rPr>
          <w:sz w:val="18"/>
        </w:rPr>
        <w:t xml:space="preserve">. 4 September 2025. https://www.theblock.co/post/369460/brian-armstrong-coinbase-ai</w:t>
      </w:r>
    </w:p>
    <w:p>
      <w:pPr>
        <w:pStyle w:val="BodyText"/>
        <w:spacing w:after="60"/>
      </w:pPr>
      <w:r>
        <w:rPr>
          <w:sz w:val="18"/>
        </w:rPr>
        <w:t xml:space="preserve">[40] Fortune.</w:t>
      </w:r>
      <w:r>
        <w:rPr>
          <w:sz w:val="18"/>
        </w:rPr>
        <w:t xml:space="preserve"> </w:t>
      </w:r>
      <w:r>
        <w:rPr>
          <w:iCs/>
          <w:i/>
          <w:sz w:val="18"/>
        </w:rPr>
        <w:t xml:space="preserve">‘</w:t>
      </w:r>
      <w:r>
        <w:rPr>
          <w:iCs/>
          <w:i/>
          <w:sz w:val="18"/>
        </w:rPr>
        <w:t xml:space="preserve">100 percent of code</w:t>
      </w:r>
      <w:r>
        <w:rPr>
          <w:iCs/>
          <w:i/>
          <w:sz w:val="18"/>
        </w:rPr>
        <w:t xml:space="preserve">’</w:t>
      </w:r>
      <w:r>
        <w:rPr>
          <w:iCs/>
          <w:i/>
          <w:sz w:val="18"/>
        </w:rPr>
        <w:t xml:space="preserve"> </w:t>
      </w:r>
      <w:r>
        <w:rPr>
          <w:iCs/>
          <w:i/>
          <w:sz w:val="18"/>
        </w:rPr>
        <w:t xml:space="preserve">at Anthropic and OpenAI is now AI-written, engineers say</w:t>
      </w:r>
      <w:r>
        <w:rPr>
          <w:sz w:val="18"/>
        </w:rPr>
        <w:t xml:space="preserve"> </w:t>
      </w:r>
      <w:r>
        <w:rPr>
          <w:sz w:val="18"/>
        </w:rPr>
        <w:t xml:space="preserve">(Anthropic spokesperson: company-wide share 70-90%). 29 January 2026. https://fortune.com/2026/01/29/100-percent-of-code-at-anthropic-and-openai-is-now-ai-written-boris-cherny-roon</w:t>
      </w:r>
    </w:p>
    <w:p>
      <w:pPr>
        <w:pStyle w:val="BodyText"/>
        <w:spacing w:after="60"/>
      </w:pPr>
      <w:r>
        <w:rPr>
          <w:sz w:val="18"/>
        </w:rPr>
        <w:t xml:space="preserve">[41] Fortune,</w:t>
      </w:r>
      <w:r>
        <w:rPr>
          <w:sz w:val="18"/>
        </w:rPr>
        <w:t xml:space="preserve"> </w:t>
      </w:r>
      <w:r>
        <w:rPr>
          <w:iCs/>
          <w:i/>
          <w:sz w:val="18"/>
        </w:rPr>
        <w:t xml:space="preserve">Google’s Pichai: more than a quarter of new code is generated by AI</w:t>
      </w:r>
      <w:r>
        <w:rPr>
          <w:sz w:val="18"/>
        </w:rPr>
        <w:t xml:space="preserve">, 30 October 2024; Alphabet Q1 2025 earnings call transcript (</w:t>
      </w:r>
      <w:r>
        <w:rPr>
          <w:sz w:val="18"/>
        </w:rPr>
        <w:t xml:space="preserve">“</w:t>
      </w:r>
      <w:r>
        <w:rPr>
          <w:sz w:val="18"/>
        </w:rPr>
        <w:t xml:space="preserve">well over 30%</w:t>
      </w:r>
      <w:r>
        <w:rPr>
          <w:sz w:val="18"/>
        </w:rPr>
        <w:t xml:space="preserve">”</w:t>
      </w:r>
      <w:r>
        <w:rPr>
          <w:sz w:val="18"/>
        </w:rPr>
        <w:t xml:space="preserve">), 24 April 2025; 9to5Google,</w:t>
      </w:r>
      <w:r>
        <w:rPr>
          <w:sz w:val="18"/>
        </w:rPr>
        <w:t xml:space="preserve"> </w:t>
      </w:r>
      <w:r>
        <w:rPr>
          <w:iCs/>
          <w:i/>
          <w:sz w:val="18"/>
        </w:rPr>
        <w:t xml:space="preserve">Google’s ~10% engineering velocity gain</w:t>
      </w:r>
      <w:r>
        <w:rPr>
          <w:sz w:val="18"/>
        </w:rPr>
        <w:t xml:space="preserve">, 30 June 2025. https://www.fortune.com/2024/10/30/googles-code-ai-sundar-pichai ; https://9to5google.com/2025/06/30/google-engineers-ai-code/</w:t>
      </w:r>
    </w:p>
    <w:p>
      <w:pPr>
        <w:pStyle w:val="BodyText"/>
        <w:spacing w:after="60"/>
      </w:pPr>
      <w:r>
        <w:rPr>
          <w:sz w:val="18"/>
        </w:rPr>
        <w:t xml:space="preserve">[42] Stack Overflow.</w:t>
      </w:r>
      <w:r>
        <w:rPr>
          <w:sz w:val="18"/>
        </w:rPr>
        <w:t xml:space="preserve"> </w:t>
      </w:r>
      <w:r>
        <w:rPr>
          <w:iCs/>
          <w:i/>
          <w:sz w:val="18"/>
        </w:rPr>
        <w:t xml:space="preserve">2025 Developer Survey: AI</w:t>
      </w:r>
      <w:r>
        <w:rPr>
          <w:sz w:val="18"/>
        </w:rPr>
        <w:t xml:space="preserve"> </w:t>
      </w:r>
      <w:r>
        <w:rPr>
          <w:sz w:val="18"/>
        </w:rPr>
        <w:t xml:space="preserve">(49,000+ respondents). July 2025. https://survey.stackoverflow.co/2025/ai</w:t>
      </w:r>
    </w:p>
    <w:p>
      <w:pPr>
        <w:pStyle w:val="BodyText"/>
        <w:spacing w:after="60"/>
      </w:pPr>
      <w:r>
        <w:rPr>
          <w:sz w:val="18"/>
        </w:rPr>
        <w:t xml:space="preserve">[43] Becker, J., Knackstedt, R., Pöppelbuß, J.</w:t>
      </w:r>
      <w:r>
        <w:rPr>
          <w:sz w:val="18"/>
        </w:rPr>
        <w:t xml:space="preserve"> </w:t>
      </w:r>
      <w:r>
        <w:rPr>
          <w:iCs/>
          <w:i/>
          <w:sz w:val="18"/>
        </w:rPr>
        <w:t xml:space="preserve">Developing Maturity Models for IT Management: A Procedure Model and its Application</w:t>
      </w:r>
      <w:r>
        <w:rPr>
          <w:sz w:val="18"/>
        </w:rPr>
        <w:t xml:space="preserve">. Business &amp; Information Systems Engineering 1(3):213-222, 2009. https://link.springer.com/article/10.1007/s12599-009-0044-5</w:t>
      </w:r>
    </w:p>
    <w:p>
      <w:pPr>
        <w:pStyle w:val="BodyText"/>
        <w:spacing w:after="60"/>
      </w:pPr>
      <w:r>
        <w:rPr>
          <w:sz w:val="18"/>
        </w:rPr>
        <w:t xml:space="preserve">[44] Pöppelbuß, J., Röglinger, M.</w:t>
      </w:r>
      <w:r>
        <w:rPr>
          <w:sz w:val="18"/>
        </w:rPr>
        <w:t xml:space="preserve"> </w:t>
      </w:r>
      <w:r>
        <w:rPr>
          <w:iCs/>
          <w:i/>
          <w:sz w:val="18"/>
        </w:rPr>
        <w:t xml:space="preserve">What makes a useful maturity model? A framework of general design principles for maturity models and its demonstration in business process management</w:t>
      </w:r>
      <w:r>
        <w:rPr>
          <w:sz w:val="18"/>
        </w:rPr>
        <w:t xml:space="preserve">. Proc. ECIS 2011, paper 28. https://aisel.aisnet.org/ecis2011/28/</w:t>
      </w:r>
    </w:p>
    <w:p>
      <w:pPr>
        <w:pStyle w:val="BodyText"/>
        <w:spacing w:after="60"/>
      </w:pPr>
      <w:r>
        <w:rPr>
          <w:sz w:val="18"/>
        </w:rPr>
        <w:t xml:space="preserve">[45] Sadiq, R. B., Safie, N., Abd Rahman, A. H., Goudarzi, S.</w:t>
      </w:r>
      <w:r>
        <w:rPr>
          <w:sz w:val="18"/>
        </w:rPr>
        <w:t xml:space="preserve"> </w:t>
      </w:r>
      <w:r>
        <w:rPr>
          <w:iCs/>
          <w:i/>
          <w:sz w:val="18"/>
        </w:rPr>
        <w:t xml:space="preserve">Artificial intelligence maturity model: a systematic literature review</w:t>
      </w:r>
      <w:r>
        <w:rPr>
          <w:sz w:val="18"/>
        </w:rPr>
        <w:t xml:space="preserve">. PeerJ Computer Science 7:e661, 2021. https://peerj.com/articles/cs-661/</w:t>
      </w:r>
    </w:p>
    <w:p>
      <w:pPr>
        <w:pStyle w:val="BodyText"/>
        <w:spacing w:after="60"/>
      </w:pPr>
      <w:r>
        <w:rPr>
          <w:sz w:val="18"/>
        </w:rPr>
        <w:t xml:space="preserve">[46] Gartner.</w:t>
      </w:r>
      <w:r>
        <w:rPr>
          <w:sz w:val="18"/>
        </w:rPr>
        <w:t xml:space="preserve"> </w:t>
      </w:r>
      <w:r>
        <w:rPr>
          <w:iCs/>
          <w:i/>
          <w:sz w:val="18"/>
        </w:rPr>
        <w:t xml:space="preserve">AI Maturity Model and AI Roadmap Toolkit</w:t>
      </w:r>
      <w:r>
        <w:rPr>
          <w:sz w:val="18"/>
        </w:rPr>
        <w:t xml:space="preserve"> </w:t>
      </w:r>
      <w:r>
        <w:rPr>
          <w:sz w:val="18"/>
        </w:rPr>
        <w:t xml:space="preserve">(five levels: Foundational, Emerging, Operational, Scaled, Transformational; seven pillars). Accessed September 2026. https://www.gartner.com/en/chief-information-officer/research/ai-maturity-model-toolkit</w:t>
      </w:r>
    </w:p>
    <w:p>
      <w:pPr>
        <w:pStyle w:val="BodyText"/>
        <w:spacing w:after="60"/>
      </w:pPr>
      <w:r>
        <w:rPr>
          <w:sz w:val="18"/>
        </w:rPr>
        <w:t xml:space="preserve">[47] Microsoft Learn.</w:t>
      </w:r>
      <w:r>
        <w:rPr>
          <w:sz w:val="18"/>
        </w:rPr>
        <w:t xml:space="preserve"> </w:t>
      </w:r>
      <w:r>
        <w:rPr>
          <w:iCs/>
          <w:i/>
          <w:sz w:val="18"/>
        </w:rPr>
        <w:t xml:space="preserve">Agentic AI adoption maturity model</w:t>
      </w:r>
      <w:r>
        <w:rPr>
          <w:sz w:val="18"/>
        </w:rPr>
        <w:t xml:space="preserve"> </w:t>
      </w:r>
      <w:r>
        <w:rPr>
          <w:sz w:val="18"/>
        </w:rPr>
        <w:t xml:space="preserve">(Levels 100-500; five pillars). Updated 20 May 2026. https://learn.microsoft.com/en-us/agents/adoption-maturity-model/</w:t>
      </w:r>
    </w:p>
    <w:p>
      <w:pPr>
        <w:pStyle w:val="BodyText"/>
        <w:spacing w:after="60"/>
      </w:pPr>
      <w:r>
        <w:rPr>
          <w:sz w:val="18"/>
        </w:rPr>
        <w:t xml:space="preserve">[48] Salesforce.</w:t>
      </w:r>
      <w:r>
        <w:rPr>
          <w:sz w:val="18"/>
        </w:rPr>
        <w:t xml:space="preserve"> </w:t>
      </w:r>
      <w:r>
        <w:rPr>
          <w:iCs/>
          <w:i/>
          <w:sz w:val="18"/>
        </w:rPr>
        <w:t xml:space="preserve">The Agentic Maturity Model: A 4-Step Roadmap for CIOs</w:t>
      </w:r>
      <w:r>
        <w:rPr>
          <w:sz w:val="18"/>
        </w:rPr>
        <w:t xml:space="preserve">. 10 April 2025. https://www.salesforce.com/news/stories/agentic-maturity-model/</w:t>
      </w:r>
    </w:p>
    <w:p>
      <w:pPr>
        <w:pStyle w:val="BodyText"/>
        <w:spacing w:after="60"/>
      </w:pPr>
      <w:r>
        <w:rPr>
          <w:sz w:val="18"/>
        </w:rPr>
        <w:t xml:space="preserve">[49] Accenture Research.</w:t>
      </w:r>
      <w:r>
        <w:rPr>
          <w:sz w:val="18"/>
        </w:rPr>
        <w:t xml:space="preserve"> </w:t>
      </w:r>
      <w:r>
        <w:rPr>
          <w:iCs/>
          <w:i/>
          <w:sz w:val="18"/>
        </w:rPr>
        <w:t xml:space="preserve">The Art of AI Maturity: Advancing from Practice to Performance</w:t>
      </w:r>
      <w:r>
        <w:rPr>
          <w:sz w:val="18"/>
        </w:rPr>
        <w:t xml:space="preserve">. 8 June 2022. https://newsroom.accenture.com/news/2022/more-than-60-percent-of-companies-are-only-experimenting-with-ai-creating-significant-opportunities-for-value-on-their-journey-to-ai-maturity-accenture-research-finds</w:t>
      </w:r>
    </w:p>
    <w:p>
      <w:pPr>
        <w:pStyle w:val="BodyText"/>
        <w:spacing w:after="60"/>
      </w:pPr>
      <w:r>
        <w:rPr>
          <w:sz w:val="18"/>
        </w:rPr>
        <w:t xml:space="preserve">[50] Breck, E., Cai, S., Nielsen, E., Salib, M., Sculley, D.</w:t>
      </w:r>
      <w:r>
        <w:rPr>
          <w:sz w:val="18"/>
        </w:rPr>
        <w:t xml:space="preserve"> </w:t>
      </w:r>
      <w:r>
        <w:rPr>
          <w:iCs/>
          <w:i/>
          <w:sz w:val="18"/>
        </w:rPr>
        <w:t xml:space="preserve">The ML Test Score: A Rubric for ML Production Readiness and Technical Debt Reduction</w:t>
      </w:r>
      <w:r>
        <w:rPr>
          <w:sz w:val="18"/>
        </w:rPr>
        <w:t xml:space="preserve">. Proc. IEEE International Conference on Big Data, 2017. https://research.google/pubs/the-ml-test-score-a-rubric-for-ml-production-readiness-and-technical-debt-reduction/</w:t>
      </w:r>
    </w:p>
    <w:p>
      <w:pPr>
        <w:pStyle w:val="BodyText"/>
        <w:spacing w:after="60"/>
      </w:pPr>
      <w:r>
        <w:rPr>
          <w:sz w:val="18"/>
        </w:rPr>
        <w:t xml:space="preserve">[51] Amershi, S., Begel, A., Bird, C., DeLine, R., Gall, H., Kamar, E., Nagappan, N., Nushi, B., Zimmermann, T.</w:t>
      </w:r>
      <w:r>
        <w:rPr>
          <w:sz w:val="18"/>
        </w:rPr>
        <w:t xml:space="preserve"> </w:t>
      </w:r>
      <w:r>
        <w:rPr>
          <w:iCs/>
          <w:i/>
          <w:sz w:val="18"/>
        </w:rPr>
        <w:t xml:space="preserve">Software Engineering for Machine Learning: A Case Study</w:t>
      </w:r>
      <w:r>
        <w:rPr>
          <w:sz w:val="18"/>
        </w:rPr>
        <w:t xml:space="preserve">. Proc. ICSE-SEIP 2019. https://www.microsoft.com/en-us/research/wp-content/uploads/2019/03/amershi-icse-2019_Software_Engineering_for_Machine_Learning.pdf</w:t>
      </w:r>
    </w:p>
    <w:p>
      <w:pPr>
        <w:pStyle w:val="BodyText"/>
        <w:spacing w:after="60"/>
      </w:pPr>
      <w:r>
        <w:rPr>
          <w:sz w:val="18"/>
        </w:rPr>
        <w:t xml:space="preserve">[52] Kwa, T., West, B., Becker, J. et al. </w:t>
      </w:r>
      <w:r>
        <w:rPr>
          <w:iCs/>
          <w:i/>
          <w:sz w:val="18"/>
        </w:rPr>
        <w:t xml:space="preserve">Measuring AI Ability to Complete Long Tasks</w:t>
      </w:r>
      <w:r>
        <w:rPr>
          <w:sz w:val="18"/>
        </w:rPr>
        <w:t xml:space="preserve">. METR, arXiv:2503.14499, March 2025 (v4 July 2026);</w:t>
      </w:r>
      <w:r>
        <w:rPr>
          <w:sz w:val="18"/>
        </w:rPr>
        <w:t xml:space="preserve"> </w:t>
      </w:r>
      <w:r>
        <w:rPr>
          <w:iCs/>
          <w:i/>
          <w:sz w:val="18"/>
        </w:rPr>
        <w:t xml:space="preserve">Time Horizon 1.1</w:t>
      </w:r>
      <w:r>
        <w:rPr>
          <w:sz w:val="18"/>
        </w:rPr>
        <w:t xml:space="preserve">, 29 January 2026. https://arxiv.org/abs/2503.14499 ; https://metr.org/blog/2026-1-29-time-horizon-1-1/</w:t>
      </w:r>
    </w:p>
    <w:p>
      <w:pPr>
        <w:pStyle w:val="BodyText"/>
        <w:spacing w:after="60"/>
      </w:pPr>
      <w:r>
        <w:rPr>
          <w:sz w:val="18"/>
        </w:rPr>
        <w:t xml:space="preserve">[53] Son, H.</w:t>
      </w:r>
      <w:r>
        <w:rPr>
          <w:sz w:val="18"/>
        </w:rPr>
        <w:t xml:space="preserve"> </w:t>
      </w:r>
      <w:r>
        <w:rPr>
          <w:iCs/>
          <w:i/>
          <w:sz w:val="18"/>
        </w:rPr>
        <w:t xml:space="preserve">JPMorgan Chase plans to deploy more powerful AI agents this year</w:t>
      </w:r>
      <w:r>
        <w:rPr>
          <w:sz w:val="18"/>
        </w:rPr>
        <w:t xml:space="preserve"> </w:t>
      </w:r>
      <w:r>
        <w:rPr>
          <w:sz w:val="18"/>
        </w:rPr>
        <w:t xml:space="preserve">(Derek Waldron). CNBC, 9 June 2026 (via Yahoo Finance). https://finance.yahoo.com/sectors/technology/articles/jpmorgan-chase-plans-autonomous-ai-145259371.html</w:t>
      </w:r>
    </w:p>
    <w:p>
      <w:pPr>
        <w:pStyle w:val="BodyText"/>
        <w:spacing w:after="60"/>
      </w:pPr>
      <w:r>
        <w:rPr>
          <w:sz w:val="18"/>
        </w:rPr>
        <w:t xml:space="preserve">[54] Invariant Labs.</w:t>
      </w:r>
      <w:r>
        <w:rPr>
          <w:sz w:val="18"/>
        </w:rPr>
        <w:t xml:space="preserve"> </w:t>
      </w:r>
      <w:r>
        <w:rPr>
          <w:iCs/>
          <w:i/>
          <w:sz w:val="18"/>
        </w:rPr>
        <w:t xml:space="preserve">MCP Security Notification: Tool Poisoning Attacks</w:t>
      </w:r>
      <w:r>
        <w:rPr>
          <w:sz w:val="18"/>
        </w:rPr>
        <w:t xml:space="preserve">. 1 April 2025. https://invariantlabs.ai/blog/mcp-security-notification-tool-poisoning-attacks</w:t>
      </w:r>
    </w:p>
    <w:p>
      <w:pPr>
        <w:pStyle w:val="BodyText"/>
        <w:spacing w:after="60"/>
      </w:pPr>
      <w:r>
        <w:rPr>
          <w:sz w:val="18"/>
        </w:rPr>
        <w:t xml:space="preserve">[55] OWASP GenAI Security Project.</w:t>
      </w:r>
      <w:r>
        <w:rPr>
          <w:sz w:val="18"/>
        </w:rPr>
        <w:t xml:space="preserve"> </w:t>
      </w:r>
      <w:r>
        <w:rPr>
          <w:iCs/>
          <w:i/>
          <w:sz w:val="18"/>
        </w:rPr>
        <w:t xml:space="preserve">OWASP Top 10 for Agentic Applications for 2026</w:t>
      </w:r>
      <w:r>
        <w:rPr>
          <w:sz w:val="18"/>
        </w:rPr>
        <w:t xml:space="preserve"> </w:t>
      </w:r>
      <w:r>
        <w:rPr>
          <w:sz w:val="18"/>
        </w:rPr>
        <w:t xml:space="preserve">(9 December 2025);</w:t>
      </w:r>
      <w:r>
        <w:rPr>
          <w:sz w:val="18"/>
        </w:rPr>
        <w:t xml:space="preserve"> </w:t>
      </w:r>
      <w:r>
        <w:rPr>
          <w:iCs/>
          <w:i/>
          <w:sz w:val="18"/>
        </w:rPr>
        <w:t xml:space="preserve">Agent Control Standard</w:t>
      </w:r>
      <w:r>
        <w:rPr>
          <w:sz w:val="18"/>
        </w:rPr>
        <w:t xml:space="preserve"> </w:t>
      </w:r>
      <w:r>
        <w:rPr>
          <w:sz w:val="18"/>
        </w:rPr>
        <w:t xml:space="preserve">(1 September 2026). https://genai.owasp.org/resource/owasp-top-10-for-agentic-applications-for-2026/ ; https://genai.owasp.org/resource/agent-control-standard-acs/</w:t>
      </w:r>
    </w:p>
    <w:p>
      <w:pPr>
        <w:pStyle w:val="BodyText"/>
        <w:spacing w:after="60"/>
      </w:pPr>
      <w:r>
        <w:rPr>
          <w:sz w:val="18"/>
        </w:rPr>
        <w:t xml:space="preserve">[56] FINOS (Fintech Open Source Foundation).</w:t>
      </w:r>
      <w:r>
        <w:rPr>
          <w:sz w:val="18"/>
        </w:rPr>
        <w:t xml:space="preserve"> </w:t>
      </w:r>
      <w:r>
        <w:rPr>
          <w:iCs/>
          <w:i/>
          <w:sz w:val="18"/>
        </w:rPr>
        <w:t xml:space="preserve">AI Governance Framework</w:t>
      </w:r>
      <w:r>
        <w:rPr>
          <w:sz w:val="18"/>
        </w:rPr>
        <w:t xml:space="preserve">, version 2.0. 20 October 2025. https://air-governance-framework.finos.org/</w:t>
      </w:r>
    </w:p>
    <w:p>
      <w:pPr>
        <w:pStyle w:val="BodyText"/>
        <w:spacing w:after="60"/>
      </w:pPr>
      <w:r>
        <w:rPr>
          <w:sz w:val="18"/>
        </w:rPr>
        <w:t xml:space="preserve">[57] Board of Governors of the Federal Reserve System / OCC.</w:t>
      </w:r>
      <w:r>
        <w:rPr>
          <w:sz w:val="18"/>
        </w:rPr>
        <w:t xml:space="preserve"> </w:t>
      </w:r>
      <w:r>
        <w:rPr>
          <w:iCs/>
          <w:i/>
          <w:sz w:val="18"/>
        </w:rPr>
        <w:t xml:space="preserve">Supervisory Guidance on Model Risk Management</w:t>
      </w:r>
      <w:r>
        <w:rPr>
          <w:sz w:val="18"/>
        </w:rPr>
        <w:t xml:space="preserve">, SR 11-7 / OCC Bulletin 2011-12. 4 April 2011. https://www.federalreserve.gov/supervisionreg/srletters/sr1107.htm</w:t>
      </w:r>
    </w:p>
    <w:p>
      <w:pPr>
        <w:pStyle w:val="BodyText"/>
        <w:spacing w:after="60"/>
      </w:pPr>
      <w:r>
        <w:rPr>
          <w:sz w:val="18"/>
        </w:rPr>
        <w:t xml:space="preserve">[58] Federal Reserve, OCC, FDIC.</w:t>
      </w:r>
      <w:r>
        <w:rPr>
          <w:sz w:val="18"/>
        </w:rPr>
        <w:t xml:space="preserve"> </w:t>
      </w:r>
      <w:r>
        <w:rPr>
          <w:iCs/>
          <w:i/>
          <w:sz w:val="18"/>
        </w:rPr>
        <w:t xml:space="preserve">Revised Guidance on Model Risk Management</w:t>
      </w:r>
      <w:r>
        <w:rPr>
          <w:sz w:val="18"/>
        </w:rPr>
        <w:t xml:space="preserve">, SR 26-2 / OCC Bulletin 2026-13 / FDIC FIL-15-2026. 17 April 2026 (generative and agentic AI out of scope pending an interagency RFI). https://www.federalreserve.gov/supervisionreg/srletters/SR2602.htm</w:t>
      </w:r>
    </w:p>
    <w:p>
      <w:pPr>
        <w:pStyle w:val="BodyText"/>
        <w:spacing w:after="60"/>
      </w:pPr>
      <w:r>
        <w:rPr>
          <w:sz w:val="18"/>
        </w:rPr>
        <w:t xml:space="preserve">[59] Monetary Authority of Singapore.</w:t>
      </w:r>
      <w:r>
        <w:rPr>
          <w:sz w:val="18"/>
        </w:rPr>
        <w:t xml:space="preserve"> </w:t>
      </w:r>
      <w:r>
        <w:rPr>
          <w:iCs/>
          <w:i/>
          <w:sz w:val="18"/>
        </w:rPr>
        <w:t xml:space="preserve">Consultation Paper P017-2025: Proposed Guidelines on Artificial Intelligence Risk Management</w:t>
      </w:r>
      <w:r>
        <w:rPr>
          <w:sz w:val="18"/>
        </w:rPr>
        <w:t xml:space="preserve">. 13 November 2025 (consultation closed 31 January 2026; final guidelines pending as of September 2026). https://www.mas.gov.sg/-/media/mas-media-library/publications/consultations/bd/2025/final_consultation_paper_on_guidelines_on_ai_risk_management_forrelease.pdf ; mirror: https://cfasocietysingapore.org/wp-content/uploads/2026/01/MAS-Consultation_Paper-on-Guidelines-on-AI-Risk-Management.pdf</w:t>
      </w:r>
    </w:p>
    <w:p>
      <w:pPr>
        <w:pStyle w:val="BodyText"/>
        <w:spacing w:after="60"/>
      </w:pPr>
      <w:r>
        <w:rPr>
          <w:sz w:val="18"/>
        </w:rPr>
        <w:t xml:space="preserve">[60] Regulation (EU) 2026/1744 amending Regulation (EU) 2024/1689 (Digital Omnibus on AI). Adopted 8 July 2026; in force 27 July 2026. https://eur-lex.europa.eu/eli/reg/2026/1744/oj/eng ; https://digital-strategy.ec.europa.eu/en/news/ai-omnibus-enters-force</w:t>
      </w:r>
    </w:p>
    <w:p>
      <w:pPr>
        <w:pStyle w:val="BodyText"/>
        <w:spacing w:after="60"/>
      </w:pPr>
      <w:r>
        <w:rPr>
          <w:sz w:val="18"/>
        </w:rPr>
        <w:t xml:space="preserve">[61] Commission Delegated Regulation (EU) 2024/1774 of 13 March 2024 supplementing Regulation (EU) 2022/2554 (DORA) with regulatory technical standards on ICT risk management tools, methods, processes and policies (Articles 16 and 17). https://eur-lex.europa.eu/eli/reg_del/2024/1774/oj/eng</w:t>
      </w:r>
    </w:p>
    <w:p>
      <w:pPr>
        <w:pStyle w:val="BodyText"/>
        <w:spacing w:after="60"/>
      </w:pPr>
      <w:r>
        <w:rPr>
          <w:sz w:val="18"/>
        </w:rPr>
        <w:t xml:space="preserve">[62] Bank of England and Financial Conduct Authority.</w:t>
      </w:r>
      <w:r>
        <w:rPr>
          <w:sz w:val="18"/>
        </w:rPr>
        <w:t xml:space="preserve"> </w:t>
      </w:r>
      <w:r>
        <w:rPr>
          <w:iCs/>
          <w:i/>
          <w:sz w:val="18"/>
        </w:rPr>
        <w:t xml:space="preserve">Artificial intelligence in UK financial services, 2024</w:t>
      </w:r>
      <w:r>
        <w:rPr>
          <w:sz w:val="18"/>
        </w:rPr>
        <w:t xml:space="preserve">. 21 November 2024. https://www.bankofengland.co.uk/report/2024/artificial-intelligence-in-uk-financial-services-2024</w:t>
      </w:r>
    </w:p>
    <w:p>
      <w:pPr>
        <w:pStyle w:val="BodyText"/>
        <w:spacing w:after="60"/>
      </w:pPr>
      <w:r>
        <w:rPr>
          <w:sz w:val="18"/>
        </w:rPr>
        <w:t xml:space="preserve">[63] Machado, P.</w:t>
      </w:r>
      <w:r>
        <w:rPr>
          <w:sz w:val="18"/>
        </w:rPr>
        <w:t xml:space="preserve"> </w:t>
      </w:r>
      <w:r>
        <w:rPr>
          <w:iCs/>
          <w:i/>
          <w:sz w:val="18"/>
        </w:rPr>
        <w:t xml:space="preserve">Technology is neutral, governance is not</w:t>
      </w:r>
      <w:r>
        <w:rPr>
          <w:sz w:val="18"/>
        </w:rPr>
        <w:t xml:space="preserve">. Speech, ECB Banking Supervision, 24 February 2026. https://www.bankingsupervision.europa.eu/press/speeches/date/2026/html/ssm.sp260224~6c5b64a77a.en.html</w:t>
      </w:r>
    </w:p>
    <w:p>
      <w:pPr>
        <w:pStyle w:val="BodyText"/>
        <w:spacing w:after="60"/>
      </w:pPr>
      <w:r>
        <w:rPr>
          <w:sz w:val="18"/>
        </w:rPr>
        <w:t xml:space="preserve">[64] Australian Securities and Investments Commission.</w:t>
      </w:r>
      <w:r>
        <w:rPr>
          <w:sz w:val="18"/>
        </w:rPr>
        <w:t xml:space="preserve"> </w:t>
      </w:r>
      <w:r>
        <w:rPr>
          <w:iCs/>
          <w:i/>
          <w:sz w:val="18"/>
        </w:rPr>
        <w:t xml:space="preserve">Report 798: Beware the gap: Governance arrangements in the face of AI innovation</w:t>
      </w:r>
      <w:r>
        <w:rPr>
          <w:sz w:val="18"/>
        </w:rPr>
        <w:t xml:space="preserve">. 29 October 2024. https://asic.gov.au/regulatory-resources/find-a-document/reports/rep-798-beware-the-gap-governance-arrangements-in-the-face-of-ai-innovation/</w:t>
      </w:r>
    </w:p>
    <w:p>
      <w:pPr>
        <w:pStyle w:val="BodyText"/>
        <w:spacing w:after="60"/>
      </w:pPr>
      <w:r>
        <w:rPr>
          <w:sz w:val="18"/>
        </w:rPr>
        <w:t xml:space="preserve">[65] FINMA.</w:t>
      </w:r>
      <w:r>
        <w:rPr>
          <w:sz w:val="18"/>
        </w:rPr>
        <w:t xml:space="preserve"> </w:t>
      </w:r>
      <w:r>
        <w:rPr>
          <w:iCs/>
          <w:i/>
          <w:sz w:val="18"/>
        </w:rPr>
        <w:t xml:space="preserve">Guidance 08/2024: Governance and risk management when using artificial intelligence</w:t>
      </w:r>
      <w:r>
        <w:rPr>
          <w:sz w:val="18"/>
        </w:rPr>
        <w:t xml:space="preserve">. 18 December 2024. https://www.finma.ch/en/news/2024/12/20241218-mm-finma-am-08-24/</w:t>
      </w:r>
    </w:p>
    <w:p>
      <w:pPr>
        <w:pStyle w:val="BodyText"/>
        <w:spacing w:after="60"/>
      </w:pPr>
      <w:r>
        <w:rPr>
          <w:sz w:val="18"/>
        </w:rPr>
        <w:t xml:space="preserve">[66] Eliseeva, A., Kovrigin, A., Kholkin, I., Bogomolov, E., Zharov, Y.</w:t>
      </w:r>
      <w:r>
        <w:rPr>
          <w:sz w:val="18"/>
        </w:rPr>
        <w:t xml:space="preserve"> </w:t>
      </w:r>
      <w:r>
        <w:rPr>
          <w:iCs/>
          <w:i/>
          <w:sz w:val="18"/>
        </w:rPr>
        <w:t xml:space="preserve">EnvBench: A Benchmark for Automated Environment Setup</w:t>
      </w:r>
      <w:r>
        <w:rPr>
          <w:sz w:val="18"/>
        </w:rPr>
        <w:t xml:space="preserve">. arXiv:2503.14443, March 2025. https://arxiv.org/abs/2503.14443</w:t>
      </w:r>
    </w:p>
    <w:p>
      <w:pPr>
        <w:pStyle w:val="BodyText"/>
        <w:spacing w:after="60"/>
      </w:pPr>
      <w:r>
        <w:rPr>
          <w:sz w:val="18"/>
        </w:rPr>
        <w:t xml:space="preserve">[67] Milliken, L., Kang, S., Yoo, S.</w:t>
      </w:r>
      <w:r>
        <w:rPr>
          <w:sz w:val="18"/>
        </w:rPr>
        <w:t xml:space="preserve"> </w:t>
      </w:r>
      <w:r>
        <w:rPr>
          <w:iCs/>
          <w:i/>
          <w:sz w:val="18"/>
        </w:rPr>
        <w:t xml:space="preserve">Beyond pip install: Evaluating LLM Agents for the Automated Installation of Python Projects</w:t>
      </w:r>
      <w:r>
        <w:rPr>
          <w:sz w:val="18"/>
        </w:rPr>
        <w:t xml:space="preserve">. arXiv:2412.06294, December 2024. https://arxiv.org/abs/2412.06294</w:t>
      </w:r>
    </w:p>
    <w:p>
      <w:pPr>
        <w:pStyle w:val="BodyText"/>
        <w:spacing w:after="60"/>
      </w:pPr>
      <w:r>
        <w:rPr>
          <w:sz w:val="18"/>
        </w:rPr>
        <w:t xml:space="preserve">[68] Bouzenia, I., Pradel, M.</w:t>
      </w:r>
      <w:r>
        <w:rPr>
          <w:sz w:val="18"/>
        </w:rPr>
        <w:t xml:space="preserve"> </w:t>
      </w:r>
      <w:r>
        <w:rPr>
          <w:iCs/>
          <w:i/>
          <w:sz w:val="18"/>
        </w:rPr>
        <w:t xml:space="preserve">You Name It, I Run It: An LLM Agent to Execute Tests of Arbitrary Projects</w:t>
      </w:r>
      <w:r>
        <w:rPr>
          <w:sz w:val="18"/>
        </w:rPr>
        <w:t xml:space="preserve"> </w:t>
      </w:r>
      <w:r>
        <w:rPr>
          <w:sz w:val="18"/>
        </w:rPr>
        <w:t xml:space="preserve">(ExecutionAgent). Proc. ISSTA 2025; arXiv:2412.10133. https://arxiv.org/abs/2412.10133</w:t>
      </w:r>
    </w:p>
    <w:p>
      <w:pPr>
        <w:pStyle w:val="BodyText"/>
        <w:spacing w:after="60"/>
      </w:pPr>
      <w:r>
        <w:rPr>
          <w:sz w:val="18"/>
        </w:rPr>
        <w:t xml:space="preserve">[69] Hu, R., Peng, C., Wang, X., Xu, J., Gao, C.</w:t>
      </w:r>
      <w:r>
        <w:rPr>
          <w:sz w:val="18"/>
        </w:rPr>
        <w:t xml:space="preserve"> </w:t>
      </w:r>
      <w:r>
        <w:rPr>
          <w:iCs/>
          <w:i/>
          <w:sz w:val="18"/>
        </w:rPr>
        <w:t xml:space="preserve">Repo2Run: Automated Building Executable Environment for Code Repository at Scale</w:t>
      </w:r>
      <w:r>
        <w:rPr>
          <w:sz w:val="18"/>
        </w:rPr>
        <w:t xml:space="preserve">. arXiv:2502.13681, February 2025 (rev. October 2025). https://arxiv.org/abs/2502.13681</w:t>
      </w:r>
    </w:p>
    <w:p>
      <w:pPr>
        <w:pStyle w:val="BodyText"/>
        <w:spacing w:after="60"/>
      </w:pPr>
      <w:r>
        <w:rPr>
          <w:sz w:val="18"/>
        </w:rPr>
        <w:t xml:space="preserve">[70] Segato, G., Carlini, N., Hadfield, J., Merrill, M., Shaw, A.</w:t>
      </w:r>
      <w:r>
        <w:rPr>
          <w:sz w:val="18"/>
        </w:rPr>
        <w:t xml:space="preserve"> </w:t>
      </w:r>
      <w:r>
        <w:rPr>
          <w:iCs/>
          <w:i/>
          <w:sz w:val="18"/>
        </w:rPr>
        <w:t xml:space="preserve">Quantifying infrastructure noise in agentic coding evals</w:t>
      </w:r>
      <w:r>
        <w:rPr>
          <w:sz w:val="18"/>
        </w:rPr>
        <w:t xml:space="preserve">. Anthropic Engineering, 5 February 2026. https://www.anthropic.com/engineering/infrastructure-noise</w:t>
      </w:r>
    </w:p>
    <w:p>
      <w:pPr>
        <w:pStyle w:val="BodyText"/>
        <w:spacing w:after="60"/>
      </w:pPr>
      <w:r>
        <w:rPr>
          <w:sz w:val="18"/>
        </w:rPr>
        <w:t xml:space="preserve">[71] GitHub Docs.</w:t>
      </w:r>
      <w:r>
        <w:rPr>
          <w:sz w:val="18"/>
        </w:rPr>
        <w:t xml:space="preserve"> </w:t>
      </w:r>
      <w:r>
        <w:rPr>
          <w:iCs/>
          <w:i/>
          <w:sz w:val="18"/>
        </w:rPr>
        <w:t xml:space="preserve">Best practices for using Copilot to work on tasks</w:t>
      </w:r>
      <w:r>
        <w:rPr>
          <w:sz w:val="18"/>
        </w:rPr>
        <w:t xml:space="preserve"> </w:t>
      </w:r>
      <w:r>
        <w:rPr>
          <w:sz w:val="18"/>
        </w:rPr>
        <w:t xml:space="preserve">(Copilot coding agent). Accessed September 2026. https://docs.github.com/en/enterprise-cloud@latest/copilot/how-tos/agents/copilot-coding-agent/best-practices-for-using-copilot-to-work-on-tasks</w:t>
      </w:r>
    </w:p>
    <w:p>
      <w:pPr>
        <w:pStyle w:val="BodyText"/>
        <w:spacing w:after="60"/>
      </w:pPr>
      <w:r>
        <w:rPr>
          <w:sz w:val="18"/>
        </w:rPr>
        <w:t xml:space="preserve">[72] OpenAI.</w:t>
      </w:r>
      <w:r>
        <w:rPr>
          <w:sz w:val="18"/>
        </w:rPr>
        <w:t xml:space="preserve"> </w:t>
      </w:r>
      <w:r>
        <w:rPr>
          <w:iCs/>
          <w:i/>
          <w:sz w:val="18"/>
        </w:rPr>
        <w:t xml:space="preserve">Introducing Codex</w:t>
      </w:r>
      <w:r>
        <w:rPr>
          <w:sz w:val="18"/>
        </w:rPr>
        <w:t xml:space="preserve"> </w:t>
      </w:r>
      <w:r>
        <w:rPr>
          <w:sz w:val="18"/>
        </w:rPr>
        <w:t xml:space="preserve">(16 May 2025);</w:t>
      </w:r>
      <w:r>
        <w:rPr>
          <w:sz w:val="18"/>
        </w:rPr>
        <w:t xml:space="preserve"> </w:t>
      </w:r>
      <w:r>
        <w:rPr>
          <w:iCs/>
          <w:i/>
          <w:sz w:val="18"/>
        </w:rPr>
        <w:t xml:space="preserve">Codex cloud environments</w:t>
      </w:r>
      <w:r>
        <w:rPr>
          <w:sz w:val="18"/>
        </w:rPr>
        <w:t xml:space="preserve"> </w:t>
      </w:r>
      <w:r>
        <w:rPr>
          <w:sz w:val="18"/>
        </w:rPr>
        <w:t xml:space="preserve">documentation;</w:t>
      </w:r>
      <w:r>
        <w:rPr>
          <w:sz w:val="18"/>
        </w:rPr>
        <w:t xml:space="preserve"> </w:t>
      </w:r>
      <w:r>
        <w:rPr>
          <w:iCs/>
          <w:i/>
          <w:sz w:val="18"/>
        </w:rPr>
        <w:t xml:space="preserve">Introducing the Agents API</w:t>
      </w:r>
      <w:r>
        <w:rPr>
          <w:sz w:val="18"/>
        </w:rPr>
        <w:t xml:space="preserve"> </w:t>
      </w:r>
      <w:r>
        <w:rPr>
          <w:sz w:val="18"/>
        </w:rPr>
        <w:t xml:space="preserve">(10 September 2026). https://openai.com/index/introducing-codex/ ; https://openai.com/index/introducing-the-agents-api/</w:t>
      </w:r>
    </w:p>
    <w:p>
      <w:pPr>
        <w:pStyle w:val="BodyText"/>
        <w:spacing w:after="60"/>
      </w:pPr>
      <w:r>
        <w:rPr>
          <w:sz w:val="18"/>
        </w:rPr>
        <w:t xml:space="preserve">[73] Development Containers specification, https://containers.dev/ ; Bazel documentation,</w:t>
      </w:r>
      <w:r>
        <w:rPr>
          <w:sz w:val="18"/>
        </w:rPr>
        <w:t xml:space="preserve"> </w:t>
      </w:r>
      <w:r>
        <w:rPr>
          <w:iCs/>
          <w:i/>
          <w:sz w:val="18"/>
        </w:rPr>
        <w:t xml:space="preserve">Hermeticity</w:t>
      </w:r>
      <w:r>
        <w:rPr>
          <w:sz w:val="18"/>
        </w:rPr>
        <w:t xml:space="preserve">, https://bazel.build/basics/hermeticity (accessed September 2026).</w:t>
      </w:r>
    </w:p>
    <w:p>
      <w:pPr>
        <w:pStyle w:val="BodyText"/>
        <w:spacing w:after="60"/>
      </w:pPr>
      <w:r>
        <w:rPr>
          <w:sz w:val="18"/>
        </w:rPr>
        <w:t xml:space="preserve">[74] OpenAI.</w:t>
      </w:r>
      <w:r>
        <w:rPr>
          <w:sz w:val="18"/>
        </w:rPr>
        <w:t xml:space="preserve"> </w:t>
      </w:r>
      <w:r>
        <w:rPr>
          <w:iCs/>
          <w:i/>
          <w:sz w:val="18"/>
        </w:rPr>
        <w:t xml:space="preserve">Introducing SWE-bench Verified</w:t>
      </w:r>
      <w:r>
        <w:rPr>
          <w:sz w:val="18"/>
        </w:rPr>
        <w:t xml:space="preserve">. August 2024. https://openai.com/index/introducing-swe-bench-verified/</w:t>
      </w:r>
    </w:p>
    <w:p>
      <w:pPr>
        <w:pStyle w:val="BodyText"/>
        <w:spacing w:after="60"/>
      </w:pPr>
      <w:r>
        <w:rPr>
          <w:sz w:val="18"/>
        </w:rPr>
        <w:t xml:space="preserve">[75] Aleithan, R., Xue, H., Mohajer, M. M., Nnorom, E., Uddin, G., Wang, S.</w:t>
      </w:r>
      <w:r>
        <w:rPr>
          <w:sz w:val="18"/>
        </w:rPr>
        <w:t xml:space="preserve"> </w:t>
      </w:r>
      <w:r>
        <w:rPr>
          <w:iCs/>
          <w:i/>
          <w:sz w:val="18"/>
        </w:rPr>
        <w:t xml:space="preserve">SWE-Bench+: Enhanced Coding Benchmark for LLMs</w:t>
      </w:r>
      <w:r>
        <w:rPr>
          <w:sz w:val="18"/>
        </w:rPr>
        <w:t xml:space="preserve">. arXiv:2410.06992, October 2024. https://arxiv.org/abs/2410.06992</w:t>
      </w:r>
    </w:p>
    <w:p>
      <w:pPr>
        <w:pStyle w:val="BodyText"/>
        <w:spacing w:after="60"/>
      </w:pPr>
      <w:r>
        <w:rPr>
          <w:sz w:val="18"/>
        </w:rPr>
        <w:t xml:space="preserve">[76] Micco, J.</w:t>
      </w:r>
      <w:r>
        <w:rPr>
          <w:sz w:val="18"/>
        </w:rPr>
        <w:t xml:space="preserve"> </w:t>
      </w:r>
      <w:r>
        <w:rPr>
          <w:iCs/>
          <w:i/>
          <w:sz w:val="18"/>
        </w:rPr>
        <w:t xml:space="preserve">Flaky Tests at Google and How We Mitigate Them</w:t>
      </w:r>
      <w:r>
        <w:rPr>
          <w:sz w:val="18"/>
        </w:rPr>
        <w:t xml:space="preserve">. Google Testing Blog, 27 May 2016. https://testing.googleblog.com/2016/05/flaky-tests-at-google-and-how-we.html</w:t>
      </w:r>
    </w:p>
    <w:p>
      <w:pPr>
        <w:pStyle w:val="BodyText"/>
        <w:spacing w:after="60"/>
      </w:pPr>
      <w:r>
        <w:rPr>
          <w:sz w:val="18"/>
        </w:rPr>
        <w:t xml:space="preserve">[77] Luo, Q., Hariri, F., Eloussi, L., Marinov, D.</w:t>
      </w:r>
      <w:r>
        <w:rPr>
          <w:sz w:val="18"/>
        </w:rPr>
        <w:t xml:space="preserve"> </w:t>
      </w:r>
      <w:r>
        <w:rPr>
          <w:iCs/>
          <w:i/>
          <w:sz w:val="18"/>
        </w:rPr>
        <w:t xml:space="preserve">An Empirical Analysis of Flaky Tests</w:t>
      </w:r>
      <w:r>
        <w:rPr>
          <w:sz w:val="18"/>
        </w:rPr>
        <w:t xml:space="preserve">. Proc. FSE 2014. https://dl.acm.org/doi/10.1145/2635868.2635920</w:t>
      </w:r>
    </w:p>
    <w:p>
      <w:pPr>
        <w:pStyle w:val="BodyText"/>
        <w:spacing w:after="60"/>
      </w:pPr>
      <w:r>
        <w:rPr>
          <w:sz w:val="18"/>
        </w:rPr>
        <w:t xml:space="preserve">[78] Winters, T., Manshreck, T., Wright, H. (eds).</w:t>
      </w:r>
      <w:r>
        <w:rPr>
          <w:sz w:val="18"/>
        </w:rPr>
        <w:t xml:space="preserve"> </w:t>
      </w:r>
      <w:r>
        <w:rPr>
          <w:iCs/>
          <w:i/>
          <w:sz w:val="18"/>
        </w:rPr>
        <w:t xml:space="preserve">Software Engineering at Google: Lessons Learned from Programming Over Time</w:t>
      </w:r>
      <w:r>
        <w:rPr>
          <w:sz w:val="18"/>
        </w:rPr>
        <w:t xml:space="preserve">. O’Reilly, 2020 (open edition: chapters 9 Code Review, 20 Static Analysis, 22 Large-Scale Changes, 23 Continuous Integration). https://abseil.io/resources/swe-book</w:t>
      </w:r>
    </w:p>
    <w:p>
      <w:pPr>
        <w:pStyle w:val="BodyText"/>
        <w:spacing w:after="60"/>
      </w:pPr>
      <w:r>
        <w:rPr>
          <w:sz w:val="18"/>
        </w:rPr>
        <w:t xml:space="preserve">[79] Sadowski, C., Aftandilian, E., Eagle, A., Miller-Cushon, L., Jaspan, C.</w:t>
      </w:r>
      <w:r>
        <w:rPr>
          <w:sz w:val="18"/>
        </w:rPr>
        <w:t xml:space="preserve"> </w:t>
      </w:r>
      <w:r>
        <w:rPr>
          <w:iCs/>
          <w:i/>
          <w:sz w:val="18"/>
        </w:rPr>
        <w:t xml:space="preserve">Lessons from Building Static Analysis Tools at Google</w:t>
      </w:r>
      <w:r>
        <w:rPr>
          <w:sz w:val="18"/>
        </w:rPr>
        <w:t xml:space="preserve">. Communications of the ACM 61(4), 2018. https://research.google/pubs/lessons-from-building-static-analysis-tools-at-google/</w:t>
      </w:r>
    </w:p>
    <w:p>
      <w:pPr>
        <w:pStyle w:val="BodyText"/>
        <w:spacing w:after="60"/>
      </w:pPr>
      <w:r>
        <w:rPr>
          <w:sz w:val="18"/>
        </w:rPr>
        <w:t xml:space="preserve">[80] Fu, Y., Liang, P., Tahir, A., Li, Z., Shahin, M., Yu, J., Chen, J.</w:t>
      </w:r>
      <w:r>
        <w:rPr>
          <w:sz w:val="18"/>
        </w:rPr>
        <w:t xml:space="preserve"> </w:t>
      </w:r>
      <w:r>
        <w:rPr>
          <w:iCs/>
          <w:i/>
          <w:sz w:val="18"/>
        </w:rPr>
        <w:t xml:space="preserve">Security Weaknesses of Copilot-Generated Code in GitHub Projects: An Empirical Study</w:t>
      </w:r>
      <w:r>
        <w:rPr>
          <w:sz w:val="18"/>
        </w:rPr>
        <w:t xml:space="preserve">. ACM TOSEM 2025; arXiv:2310.02059. https://arxiv.org/abs/2310.02059</w:t>
      </w:r>
    </w:p>
    <w:p>
      <w:pPr>
        <w:pStyle w:val="BodyText"/>
        <w:spacing w:after="60"/>
      </w:pPr>
      <w:r>
        <w:rPr>
          <w:sz w:val="18"/>
        </w:rPr>
        <w:t xml:space="preserve">[81] Pearce, H., Ahmad, B., Tan, B., Dolan-Gavitt, B., Karri, R.</w:t>
      </w:r>
      <w:r>
        <w:rPr>
          <w:sz w:val="18"/>
        </w:rPr>
        <w:t xml:space="preserve"> </w:t>
      </w:r>
      <w:r>
        <w:rPr>
          <w:iCs/>
          <w:i/>
          <w:sz w:val="18"/>
        </w:rPr>
        <w:t xml:space="preserve">Asleep at the Keyboard? Assessing the Security of GitHub Copilot’s Code Contributions</w:t>
      </w:r>
      <w:r>
        <w:rPr>
          <w:sz w:val="18"/>
        </w:rPr>
        <w:t xml:space="preserve">. IEEE Symposium on Security and Privacy 2022; arXiv:2108.09293. https://arxiv.org/abs/2108.09293</w:t>
      </w:r>
    </w:p>
    <w:p>
      <w:pPr>
        <w:pStyle w:val="BodyText"/>
        <w:spacing w:after="60"/>
      </w:pPr>
      <w:r>
        <w:rPr>
          <w:sz w:val="18"/>
        </w:rPr>
        <w:t xml:space="preserve">[82] Covey-Brandt, C.</w:t>
      </w:r>
      <w:r>
        <w:rPr>
          <w:sz w:val="18"/>
        </w:rPr>
        <w:t xml:space="preserve"> </w:t>
      </w:r>
      <w:r>
        <w:rPr>
          <w:iCs/>
          <w:i/>
          <w:sz w:val="18"/>
        </w:rPr>
        <w:t xml:space="preserve">Accelerating Large-Scale Test Migration with LLMs</w:t>
      </w:r>
      <w:r>
        <w:rPr>
          <w:sz w:val="18"/>
        </w:rPr>
        <w:t xml:space="preserve">. Airbnb Engineering, 13 March 2025. https://medium.com/airbnb-engineering/accelerating-large-scale-test-migration-with-llms-9565c208023b</w:t>
      </w:r>
    </w:p>
    <w:p>
      <w:pPr>
        <w:pStyle w:val="BodyText"/>
        <w:spacing w:after="60"/>
      </w:pPr>
      <w:r>
        <w:rPr>
          <w:sz w:val="18"/>
        </w:rPr>
        <w:t xml:space="preserve">[83] AWS DevOps Blog.</w:t>
      </w:r>
      <w:r>
        <w:rPr>
          <w:sz w:val="18"/>
        </w:rPr>
        <w:t xml:space="preserve"> </w:t>
      </w:r>
      <w:r>
        <w:rPr>
          <w:iCs/>
          <w:i/>
          <w:sz w:val="18"/>
        </w:rPr>
        <w:t xml:space="preserve">Amazon Q Developer just reached a $260 million milestone</w:t>
      </w:r>
      <w:r>
        <w:rPr>
          <w:sz w:val="18"/>
        </w:rPr>
        <w:t xml:space="preserve"> </w:t>
      </w:r>
      <w:r>
        <w:rPr>
          <w:sz w:val="18"/>
        </w:rPr>
        <w:t xml:space="preserve">(Java upgrades; 4,500 developer-years). 1 August 2024. https://aws.amazon.com/blogs/devops/amazon-q-developer-just-reached-a-260-million-dollar-milestone</w:t>
      </w:r>
    </w:p>
    <w:p>
      <w:pPr>
        <w:pStyle w:val="BodyText"/>
        <w:spacing w:after="60"/>
      </w:pPr>
      <w:r>
        <w:rPr>
          <w:sz w:val="18"/>
        </w:rPr>
        <w:t xml:space="preserve">[84] GitHub.</w:t>
      </w:r>
      <w:r>
        <w:rPr>
          <w:sz w:val="18"/>
        </w:rPr>
        <w:t xml:space="preserve"> </w:t>
      </w:r>
      <w:r>
        <w:rPr>
          <w:iCs/>
          <w:i/>
          <w:sz w:val="18"/>
        </w:rPr>
        <w:t xml:space="preserve">GitHub Copilot: Meet the new coding agent</w:t>
      </w:r>
      <w:r>
        <w:rPr>
          <w:sz w:val="18"/>
        </w:rPr>
        <w:t xml:space="preserve">. 19 May 2025. https://github.blog/news-insights/product-news/github-copilot-meet-the-new-coding-agent/</w:t>
      </w:r>
    </w:p>
    <w:p>
      <w:pPr>
        <w:pStyle w:val="BodyText"/>
        <w:spacing w:after="60"/>
      </w:pPr>
      <w:r>
        <w:rPr>
          <w:sz w:val="18"/>
        </w:rPr>
        <w:t xml:space="preserve">[85] Jimenez, C. E., Yang, J., Wettig, A., Yao, S., Pei, K., Press, O., Narasimhan, K.</w:t>
      </w:r>
      <w:r>
        <w:rPr>
          <w:sz w:val="18"/>
        </w:rPr>
        <w:t xml:space="preserve"> </w:t>
      </w:r>
      <w:r>
        <w:rPr>
          <w:iCs/>
          <w:i/>
          <w:sz w:val="18"/>
        </w:rPr>
        <w:t xml:space="preserve">SWE-bench: Can Language Models Resolve Real-World GitHub Issues?</w:t>
      </w:r>
      <w:r>
        <w:rPr>
          <w:sz w:val="18"/>
        </w:rPr>
        <w:t xml:space="preserve"> </w:t>
      </w:r>
      <w:r>
        <w:rPr>
          <w:sz w:val="18"/>
        </w:rPr>
        <w:t xml:space="preserve">ICLR 2024; arXiv:2310.06770. https://arxiv.org/abs/2310.06770</w:t>
      </w:r>
    </w:p>
    <w:p>
      <w:pPr>
        <w:pStyle w:val="BodyText"/>
        <w:spacing w:after="60"/>
      </w:pPr>
      <w:r>
        <w:rPr>
          <w:sz w:val="18"/>
        </w:rPr>
        <w:t xml:space="preserve">[86] Ding, Y., Wang, Z., Ahmad, W. U. et al. </w:t>
      </w:r>
      <w:r>
        <w:rPr>
          <w:iCs/>
          <w:i/>
          <w:sz w:val="18"/>
        </w:rPr>
        <w:t xml:space="preserve">CrossCodeEval: A Diverse and Multilingual Benchmark for Cross-File Code Completion</w:t>
      </w:r>
      <w:r>
        <w:rPr>
          <w:sz w:val="18"/>
        </w:rPr>
        <w:t xml:space="preserve">. NeurIPS 2023 Datasets and Benchmarks; arXiv:2310.11248. https://arxiv.org/abs/2310.11248</w:t>
      </w:r>
    </w:p>
    <w:p>
      <w:pPr>
        <w:pStyle w:val="BodyText"/>
        <w:spacing w:after="60"/>
      </w:pPr>
      <w:r>
        <w:rPr>
          <w:sz w:val="18"/>
        </w:rPr>
        <w:t xml:space="preserve">[87] Liu, T., Xu, C., McAuley, J.</w:t>
      </w:r>
      <w:r>
        <w:rPr>
          <w:sz w:val="18"/>
        </w:rPr>
        <w:t xml:space="preserve"> </w:t>
      </w:r>
      <w:r>
        <w:rPr>
          <w:iCs/>
          <w:i/>
          <w:sz w:val="18"/>
        </w:rPr>
        <w:t xml:space="preserve">RepoBench: Benchmarking Repository-Level Code Auto-Completion Systems</w:t>
      </w:r>
      <w:r>
        <w:rPr>
          <w:sz w:val="18"/>
        </w:rPr>
        <w:t xml:space="preserve">. ICLR 2024; arXiv:2306.03091. https://arxiv.org/abs/2306.03091</w:t>
      </w:r>
    </w:p>
    <w:p>
      <w:pPr>
        <w:pStyle w:val="BodyText"/>
        <w:spacing w:after="60"/>
      </w:pPr>
      <w:r>
        <w:rPr>
          <w:sz w:val="18"/>
        </w:rPr>
        <w:t xml:space="preserve">[88] Ouyang, S., Yu, W., Ma, K. et al. </w:t>
      </w:r>
      <w:r>
        <w:rPr>
          <w:iCs/>
          <w:i/>
          <w:sz w:val="18"/>
        </w:rPr>
        <w:t xml:space="preserve">RepoGraph: Enhancing AI Software Engineering with Repository-level Code Graph</w:t>
      </w:r>
      <w:r>
        <w:rPr>
          <w:sz w:val="18"/>
        </w:rPr>
        <w:t xml:space="preserve">. ICLR 2025; arXiv:2410.14684. https://arxiv.org/abs/2410.14684</w:t>
      </w:r>
    </w:p>
    <w:p>
      <w:pPr>
        <w:pStyle w:val="BodyText"/>
        <w:spacing w:after="60"/>
      </w:pPr>
      <w:r>
        <w:rPr>
          <w:sz w:val="18"/>
        </w:rPr>
        <w:t xml:space="preserve">[89] Wang, Z. Z., Asai, A., Yu, X. V., Xu, F. F., Xie, Y., Neubig, G., Fried, D.</w:t>
      </w:r>
      <w:r>
        <w:rPr>
          <w:sz w:val="18"/>
        </w:rPr>
        <w:t xml:space="preserve"> </w:t>
      </w:r>
      <w:r>
        <w:rPr>
          <w:iCs/>
          <w:i/>
          <w:sz w:val="18"/>
        </w:rPr>
        <w:t xml:space="preserve">CodeRAG-Bench: Can Retrieval Augment Code Generation?</w:t>
      </w:r>
      <w:r>
        <w:rPr>
          <w:sz w:val="18"/>
        </w:rPr>
        <w:t xml:space="preserve"> </w:t>
      </w:r>
      <w:r>
        <w:rPr>
          <w:sz w:val="18"/>
        </w:rPr>
        <w:t xml:space="preserve">arXiv:2406.14497, 2024. https://arxiv.org/abs/2406.14497</w:t>
      </w:r>
    </w:p>
    <w:p>
      <w:pPr>
        <w:pStyle w:val="BodyText"/>
        <w:spacing w:after="60"/>
      </w:pPr>
      <w:r>
        <w:rPr>
          <w:sz w:val="18"/>
        </w:rPr>
        <w:t xml:space="preserve">[90] Tornhill, A., Borg, M.</w:t>
      </w:r>
      <w:r>
        <w:rPr>
          <w:sz w:val="18"/>
        </w:rPr>
        <w:t xml:space="preserve"> </w:t>
      </w:r>
      <w:r>
        <w:rPr>
          <w:iCs/>
          <w:i/>
          <w:sz w:val="18"/>
        </w:rPr>
        <w:t xml:space="preserve">Code Red: The Business Impact of Code Quality, A Quantitative Study of 39 Proprietary Production Codebases</w:t>
      </w:r>
      <w:r>
        <w:rPr>
          <w:sz w:val="18"/>
        </w:rPr>
        <w:t xml:space="preserve">. Proc. TechDebt 2022; arXiv:2203.04374. https://arxiv.org/abs/2203.04374</w:t>
      </w:r>
    </w:p>
    <w:p>
      <w:pPr>
        <w:pStyle w:val="BodyText"/>
        <w:spacing w:after="60"/>
      </w:pPr>
      <w:r>
        <w:rPr>
          <w:sz w:val="18"/>
        </w:rPr>
        <w:t xml:space="preserve">[91] Thoughtworks.</w:t>
      </w:r>
      <w:r>
        <w:rPr>
          <w:sz w:val="18"/>
        </w:rPr>
        <w:t xml:space="preserve"> </w:t>
      </w:r>
      <w:r>
        <w:rPr>
          <w:iCs/>
          <w:i/>
          <w:sz w:val="18"/>
        </w:rPr>
        <w:t xml:space="preserve">AI-friendly code design</w:t>
      </w:r>
      <w:r>
        <w:rPr>
          <w:sz w:val="18"/>
        </w:rPr>
        <w:t xml:space="preserve">. Technology Radar Vol. 34 (Assess), April 2025. https://www.thoughtworks.com/radar/techniques/ai-friendly-code-design</w:t>
      </w:r>
    </w:p>
    <w:p>
      <w:pPr>
        <w:pStyle w:val="BodyText"/>
        <w:spacing w:after="60"/>
      </w:pPr>
      <w:r>
        <w:rPr>
          <w:sz w:val="18"/>
        </w:rPr>
        <w:t xml:space="preserve">[92] Potvin, R., Levenberg, J.</w:t>
      </w:r>
      <w:r>
        <w:rPr>
          <w:sz w:val="18"/>
        </w:rPr>
        <w:t xml:space="preserve"> </w:t>
      </w:r>
      <w:r>
        <w:rPr>
          <w:iCs/>
          <w:i/>
          <w:sz w:val="18"/>
        </w:rPr>
        <w:t xml:space="preserve">Why Google Stores Billions of Lines of Code in a Single Repository</w:t>
      </w:r>
      <w:r>
        <w:rPr>
          <w:sz w:val="18"/>
        </w:rPr>
        <w:t xml:space="preserve">. Communications of the ACM 59(7):78-87, 2016. https://research.google/pubs/why-google-stores-billions-of-lines-of-code-in-a-single-repository/</w:t>
      </w:r>
    </w:p>
    <w:p>
      <w:pPr>
        <w:pStyle w:val="BodyText"/>
        <w:spacing w:after="60"/>
      </w:pPr>
      <w:r>
        <w:rPr>
          <w:sz w:val="18"/>
        </w:rPr>
        <w:t xml:space="preserve">[93] Jaspan, C., Jorde, M., Knight, A., Sadowski, C., Smith, E. K., Winter, C., Murphy-Hill, E.</w:t>
      </w:r>
      <w:r>
        <w:rPr>
          <w:sz w:val="18"/>
        </w:rPr>
        <w:t xml:space="preserve"> </w:t>
      </w:r>
      <w:r>
        <w:rPr>
          <w:iCs/>
          <w:i/>
          <w:sz w:val="18"/>
        </w:rPr>
        <w:t xml:space="preserve">Advantages and disadvantages of a monolithic repository: a case study at Google</w:t>
      </w:r>
      <w:r>
        <w:rPr>
          <w:sz w:val="18"/>
        </w:rPr>
        <w:t xml:space="preserve">. Proc. ICSE-SEIP 2018. https://dl.acm.org/doi/10.1145/3183519.3183550</w:t>
      </w:r>
    </w:p>
    <w:p>
      <w:pPr>
        <w:pStyle w:val="BodyText"/>
        <w:spacing w:after="60"/>
      </w:pPr>
      <w:r>
        <w:rPr>
          <w:sz w:val="18"/>
        </w:rPr>
        <w:t xml:space="preserve">[94] Zhou, S., Alon, U., Xu, F. F., Wang, Z., Jiang, Z., Neubig, G.</w:t>
      </w:r>
      <w:r>
        <w:rPr>
          <w:sz w:val="18"/>
        </w:rPr>
        <w:t xml:space="preserve"> </w:t>
      </w:r>
      <w:r>
        <w:rPr>
          <w:iCs/>
          <w:i/>
          <w:sz w:val="18"/>
        </w:rPr>
        <w:t xml:space="preserve">DocPrompting: Generating Code by Retrieving the Docs</w:t>
      </w:r>
      <w:r>
        <w:rPr>
          <w:sz w:val="18"/>
        </w:rPr>
        <w:t xml:space="preserve">. ICLR 2023; arXiv:2207.05987. https://arxiv.org/abs/2207.05987</w:t>
      </w:r>
    </w:p>
    <w:p>
      <w:pPr>
        <w:pStyle w:val="BodyText"/>
        <w:spacing w:after="60"/>
      </w:pPr>
      <w:r>
        <w:rPr>
          <w:sz w:val="18"/>
        </w:rPr>
        <w:t xml:space="preserve">[95] Prana, G. A. A., Treude, C., Thung, F., Atapattu, T., Lo, D.</w:t>
      </w:r>
      <w:r>
        <w:rPr>
          <w:sz w:val="18"/>
        </w:rPr>
        <w:t xml:space="preserve"> </w:t>
      </w:r>
      <w:r>
        <w:rPr>
          <w:iCs/>
          <w:i/>
          <w:sz w:val="18"/>
        </w:rPr>
        <w:t xml:space="preserve">Categorizing the Content of GitHub README Files</w:t>
      </w:r>
      <w:r>
        <w:rPr>
          <w:sz w:val="18"/>
        </w:rPr>
        <w:t xml:space="preserve">. Empirical Software Engineering 24, 2019; arXiv:1802.06997. https://arxiv.org/abs/1802.06997</w:t>
      </w:r>
    </w:p>
    <w:p>
      <w:pPr>
        <w:pStyle w:val="BodyText"/>
        <w:spacing w:after="60"/>
      </w:pPr>
      <w:r>
        <w:rPr>
          <w:sz w:val="18"/>
        </w:rPr>
        <w:t xml:space="preserve">[96] Nygard, M.</w:t>
      </w:r>
      <w:r>
        <w:rPr>
          <w:sz w:val="18"/>
        </w:rPr>
        <w:t xml:space="preserve"> </w:t>
      </w:r>
      <w:r>
        <w:rPr>
          <w:iCs/>
          <w:i/>
          <w:sz w:val="18"/>
        </w:rPr>
        <w:t xml:space="preserve">Documenting Architecture Decisions</w:t>
      </w:r>
      <w:r>
        <w:rPr>
          <w:sz w:val="18"/>
        </w:rPr>
        <w:t xml:space="preserve">. Cognitect blog, 15 November 2011. https://cognitect.com/blog/2011/11/15/documenting-architecture-decisions</w:t>
      </w:r>
    </w:p>
    <w:p>
      <w:pPr>
        <w:pStyle w:val="BodyText"/>
        <w:spacing w:after="60"/>
      </w:pPr>
      <w:r>
        <w:rPr>
          <w:sz w:val="18"/>
        </w:rPr>
        <w:t xml:space="preserve">[97] Gloaguen, T., Mündler, N., Müller, M., Raychev, V., Vechev, M.</w:t>
      </w:r>
      <w:r>
        <w:rPr>
          <w:sz w:val="18"/>
        </w:rPr>
        <w:t xml:space="preserve"> </w:t>
      </w:r>
      <w:r>
        <w:rPr>
          <w:iCs/>
          <w:i/>
          <w:sz w:val="18"/>
        </w:rPr>
        <w:t xml:space="preserve">Evaluating AGENTS.md: Are Repository-Level Context Files Helpful for Coding Agents?</w:t>
      </w:r>
      <w:r>
        <w:rPr>
          <w:sz w:val="18"/>
        </w:rPr>
        <w:t xml:space="preserve"> </w:t>
      </w:r>
      <w:r>
        <w:rPr>
          <w:sz w:val="18"/>
        </w:rPr>
        <w:t xml:space="preserve">ETH Zurich / LogicStar.ai, arXiv:2602.11988, February 2026 (v2 June 2026). https://arxiv.org/abs/2602.11988</w:t>
      </w:r>
    </w:p>
    <w:p>
      <w:pPr>
        <w:pStyle w:val="BodyText"/>
        <w:spacing w:after="60"/>
      </w:pPr>
      <w:r>
        <w:rPr>
          <w:sz w:val="18"/>
        </w:rPr>
        <w:t xml:space="preserve">[98] Thoughtworks.</w:t>
      </w:r>
      <w:r>
        <w:rPr>
          <w:sz w:val="18"/>
        </w:rPr>
        <w:t xml:space="preserve"> </w:t>
      </w:r>
      <w:r>
        <w:rPr>
          <w:iCs/>
          <w:i/>
          <w:sz w:val="18"/>
        </w:rPr>
        <w:t xml:space="preserve">AGENTS.md</w:t>
      </w:r>
      <w:r>
        <w:rPr>
          <w:sz w:val="18"/>
        </w:rPr>
        <w:t xml:space="preserve">. Technology Radar (Trial), November 2025. https://www.thoughtworks.com/radar/techniques/agents-md</w:t>
      </w:r>
    </w:p>
    <w:p>
      <w:pPr>
        <w:pStyle w:val="BodyText"/>
        <w:spacing w:after="60"/>
      </w:pPr>
      <w:r>
        <w:rPr>
          <w:sz w:val="18"/>
        </w:rPr>
        <w:t xml:space="preserve">[99] Zhang, B., Lazuka, K., Murag, M.</w:t>
      </w:r>
      <w:r>
        <w:rPr>
          <w:sz w:val="18"/>
        </w:rPr>
        <w:t xml:space="preserve"> </w:t>
      </w:r>
      <w:r>
        <w:rPr>
          <w:iCs/>
          <w:i/>
          <w:sz w:val="18"/>
        </w:rPr>
        <w:t xml:space="preserve">Equipping agents for the real world with Agent Skills</w:t>
      </w:r>
      <w:r>
        <w:rPr>
          <w:sz w:val="18"/>
        </w:rPr>
        <w:t xml:space="preserve">. Anthropic Engineering, 16 October 2025. https://www.anthropic.com/engineering/equipping-agents-for-the-real-world-with-agent-skills ; Agent Skills open standard: https://agentskills.io/</w:t>
      </w:r>
    </w:p>
    <w:p>
      <w:pPr>
        <w:pStyle w:val="BodyText"/>
        <w:spacing w:after="60"/>
      </w:pPr>
      <w:r>
        <w:rPr>
          <w:sz w:val="18"/>
        </w:rPr>
        <w:t xml:space="preserve">[100] Cognition.</w:t>
      </w:r>
      <w:r>
        <w:rPr>
          <w:sz w:val="18"/>
        </w:rPr>
        <w:t xml:space="preserve"> </w:t>
      </w:r>
      <w:r>
        <w:rPr>
          <w:iCs/>
          <w:i/>
          <w:sz w:val="18"/>
        </w:rPr>
        <w:t xml:space="preserve">Devin 2.0</w:t>
      </w:r>
      <w:r>
        <w:rPr>
          <w:sz w:val="18"/>
        </w:rPr>
        <w:t xml:space="preserve"> </w:t>
      </w:r>
      <w:r>
        <w:rPr>
          <w:sz w:val="18"/>
        </w:rPr>
        <w:t xml:space="preserve">(3 April 2025);</w:t>
      </w:r>
      <w:r>
        <w:rPr>
          <w:sz w:val="18"/>
        </w:rPr>
        <w:t xml:space="preserve"> </w:t>
      </w:r>
      <w:r>
        <w:rPr>
          <w:iCs/>
          <w:i/>
          <w:sz w:val="18"/>
        </w:rPr>
        <w:t xml:space="preserve">Devin Knowledge</w:t>
      </w:r>
      <w:r>
        <w:rPr>
          <w:sz w:val="18"/>
        </w:rPr>
        <w:t xml:space="preserve"> </w:t>
      </w:r>
      <w:r>
        <w:rPr>
          <w:sz w:val="18"/>
        </w:rPr>
        <w:t xml:space="preserve">and</w:t>
      </w:r>
      <w:r>
        <w:rPr>
          <w:sz w:val="18"/>
        </w:rPr>
        <w:t xml:space="preserve"> </w:t>
      </w:r>
      <w:r>
        <w:rPr>
          <w:iCs/>
          <w:i/>
          <w:sz w:val="18"/>
        </w:rPr>
        <w:t xml:space="preserve">Creating Playbooks</w:t>
      </w:r>
      <w:r>
        <w:rPr>
          <w:sz w:val="18"/>
        </w:rPr>
        <w:t xml:space="preserve"> </w:t>
      </w:r>
      <w:r>
        <w:rPr>
          <w:sz w:val="18"/>
        </w:rPr>
        <w:t xml:space="preserve">documentation;</w:t>
      </w:r>
      <w:r>
        <w:rPr>
          <w:sz w:val="18"/>
        </w:rPr>
        <w:t xml:space="preserve"> </w:t>
      </w:r>
      <w:r>
        <w:rPr>
          <w:iCs/>
          <w:i/>
          <w:sz w:val="18"/>
        </w:rPr>
        <w:t xml:space="preserve">DeepWiki</w:t>
      </w:r>
      <w:r>
        <w:rPr>
          <w:sz w:val="18"/>
        </w:rPr>
        <w:t xml:space="preserve"> </w:t>
      </w:r>
      <w:r>
        <w:rPr>
          <w:sz w:val="18"/>
        </w:rPr>
        <w:t xml:space="preserve">(5 May 2025). https://cognition.com/blog/devin-2 ; https://docs.devin.ai/product-guides/knowledge ; https://cognition.com/blog/deepwiki</w:t>
      </w:r>
    </w:p>
    <w:p>
      <w:pPr>
        <w:pStyle w:val="BodyText"/>
        <w:spacing w:after="60"/>
      </w:pPr>
      <w:r>
        <w:rPr>
          <w:sz w:val="18"/>
        </w:rPr>
        <w:t xml:space="preserve">[101] Rajasekaran, P., Dixon, E., Ryan, C., Hadfield, J.</w:t>
      </w:r>
      <w:r>
        <w:rPr>
          <w:sz w:val="18"/>
        </w:rPr>
        <w:t xml:space="preserve"> </w:t>
      </w:r>
      <w:r>
        <w:rPr>
          <w:iCs/>
          <w:i/>
          <w:sz w:val="18"/>
        </w:rPr>
        <w:t xml:space="preserve">Effective context engineering for AI agents</w:t>
      </w:r>
      <w:r>
        <w:rPr>
          <w:sz w:val="18"/>
        </w:rPr>
        <w:t xml:space="preserve">. Anthropic Engineering, 29 September 2025. https://www.anthropic.com/engineering/effective-context-engineering-for-ai-agents</w:t>
      </w:r>
    </w:p>
    <w:p>
      <w:pPr>
        <w:pStyle w:val="BodyText"/>
        <w:spacing w:after="60"/>
      </w:pPr>
      <w:r>
        <w:rPr>
          <w:sz w:val="18"/>
        </w:rPr>
        <w:t xml:space="preserve">[102] Liu, N. F., Lin, K., Hewitt, J., Paranjape, A., Bevilacqua, M., Petroni, F., Liang, P.</w:t>
      </w:r>
      <w:r>
        <w:rPr>
          <w:sz w:val="18"/>
        </w:rPr>
        <w:t xml:space="preserve"> </w:t>
      </w:r>
      <w:r>
        <w:rPr>
          <w:iCs/>
          <w:i/>
          <w:sz w:val="18"/>
        </w:rPr>
        <w:t xml:space="preserve">Lost in the Middle: How Language Models Use Long Contexts</w:t>
      </w:r>
      <w:r>
        <w:rPr>
          <w:sz w:val="18"/>
        </w:rPr>
        <w:t xml:space="preserve">. Transactions of the ACL 12, 2024; arXiv:2307.03172. https://arxiv.org/abs/2307.03172</w:t>
      </w:r>
    </w:p>
    <w:p>
      <w:pPr>
        <w:pStyle w:val="BodyText"/>
        <w:spacing w:after="60"/>
      </w:pPr>
      <w:r>
        <w:rPr>
          <w:sz w:val="18"/>
        </w:rPr>
        <w:t xml:space="preserve">[103] Hong, K., Troynikov, A., Huber, J.</w:t>
      </w:r>
      <w:r>
        <w:rPr>
          <w:sz w:val="18"/>
        </w:rPr>
        <w:t xml:space="preserve"> </w:t>
      </w:r>
      <w:r>
        <w:rPr>
          <w:iCs/>
          <w:i/>
          <w:sz w:val="18"/>
        </w:rPr>
        <w:t xml:space="preserve">Context Rot: How Increasing Input Tokens Impacts LLM Performance</w:t>
      </w:r>
      <w:r>
        <w:rPr>
          <w:sz w:val="18"/>
        </w:rPr>
        <w:t xml:space="preserve">. Chroma technical report, 14 July 2025. https://www.trychroma.com/research/context-rot</w:t>
      </w:r>
    </w:p>
    <w:p>
      <w:pPr>
        <w:pStyle w:val="BodyText"/>
        <w:spacing w:after="60"/>
      </w:pPr>
      <w:r>
        <w:rPr>
          <w:sz w:val="18"/>
        </w:rPr>
        <w:t xml:space="preserve">[104] Deng, X., Da, J., Pan, E., He, Y. Y. et al. </w:t>
      </w:r>
      <w:r>
        <w:rPr>
          <w:iCs/>
          <w:i/>
          <w:sz w:val="18"/>
        </w:rPr>
        <w:t xml:space="preserve">SWE-Bench Pro: Can AI Agents Solve Long-Horizon Software Engineering Tasks?</w:t>
      </w:r>
      <w:r>
        <w:rPr>
          <w:sz w:val="18"/>
        </w:rPr>
        <w:t xml:space="preserve"> </w:t>
      </w:r>
      <w:r>
        <w:rPr>
          <w:sz w:val="18"/>
        </w:rPr>
        <w:t xml:space="preserve">Scale AI, arXiv:2509.16941, September 2025 (v2 November 2025). https://arxiv.org/abs/2509.16941 ; public leaderboard: https://labs.scale.com/leaderboard/swe_bench_pro_public</w:t>
      </w:r>
    </w:p>
    <w:p>
      <w:pPr>
        <w:pStyle w:val="BodyText"/>
        <w:spacing w:after="60"/>
      </w:pPr>
      <w:r>
        <w:rPr>
          <w:sz w:val="18"/>
        </w:rPr>
        <w:t xml:space="preserve">[105] Swaminathan, N., Singh, D.</w:t>
      </w:r>
      <w:r>
        <w:rPr>
          <w:sz w:val="18"/>
        </w:rPr>
        <w:t xml:space="preserve"> </w:t>
      </w:r>
      <w:r>
        <w:rPr>
          <w:iCs/>
          <w:i/>
          <w:sz w:val="18"/>
        </w:rPr>
        <w:t xml:space="preserve">Introducing Kiro</w:t>
      </w:r>
      <w:r>
        <w:rPr>
          <w:sz w:val="18"/>
        </w:rPr>
        <w:t xml:space="preserve"> </w:t>
      </w:r>
      <w:r>
        <w:rPr>
          <w:sz w:val="18"/>
        </w:rPr>
        <w:t xml:space="preserve">(spec-driven development, hooks). AWS, 14 July 2025. https://kiro.dev/blog/introducing-kiro/</w:t>
      </w:r>
    </w:p>
    <w:p>
      <w:pPr>
        <w:pStyle w:val="BodyText"/>
        <w:spacing w:after="60"/>
      </w:pPr>
      <w:r>
        <w:rPr>
          <w:sz w:val="18"/>
        </w:rPr>
        <w:t xml:space="preserve">[106] Rajasekaran, P.</w:t>
      </w:r>
      <w:r>
        <w:rPr>
          <w:sz w:val="18"/>
        </w:rPr>
        <w:t xml:space="preserve"> </w:t>
      </w:r>
      <w:r>
        <w:rPr>
          <w:iCs/>
          <w:i/>
          <w:sz w:val="18"/>
        </w:rPr>
        <w:t xml:space="preserve">Harness design for long-running application development</w:t>
      </w:r>
      <w:r>
        <w:rPr>
          <w:sz w:val="18"/>
        </w:rPr>
        <w:t xml:space="preserve">. Anthropic Engineering, 24 March 2026 (and Young, J.,</w:t>
      </w:r>
      <w:r>
        <w:rPr>
          <w:sz w:val="18"/>
        </w:rPr>
        <w:t xml:space="preserve"> </w:t>
      </w:r>
      <w:r>
        <w:rPr>
          <w:iCs/>
          <w:i/>
          <w:sz w:val="18"/>
        </w:rPr>
        <w:t xml:space="preserve">Effective harnesses for long-running agents</w:t>
      </w:r>
      <w:r>
        <w:rPr>
          <w:sz w:val="18"/>
        </w:rPr>
        <w:t xml:space="preserve">, 26 November 2025). https://www.anthropic.com/engineering/harness-design-long-running-apps</w:t>
      </w:r>
    </w:p>
    <w:p>
      <w:pPr>
        <w:pStyle w:val="BodyText"/>
        <w:spacing w:after="60"/>
      </w:pPr>
      <w:r>
        <w:rPr>
          <w:sz w:val="18"/>
        </w:rPr>
        <w:t xml:space="preserve">[107] Bird, C., Nagappan, N., Murphy, B., Gall, H., Devanbu, P.</w:t>
      </w:r>
      <w:r>
        <w:rPr>
          <w:sz w:val="18"/>
        </w:rPr>
        <w:t xml:space="preserve"> </w:t>
      </w:r>
      <w:r>
        <w:rPr>
          <w:iCs/>
          <w:i/>
          <w:sz w:val="18"/>
        </w:rPr>
        <w:t xml:space="preserve">Don’t Touch My Code! Examining the Effects of Ownership on Software Quality</w:t>
      </w:r>
      <w:r>
        <w:rPr>
          <w:sz w:val="18"/>
        </w:rPr>
        <w:t xml:space="preserve">. Proc. ESEC/FSE 2011. https://www.microsoft.com/en-us/research/publication/dont-touch-my-code-examining-the-effects-of-ownership-on-software-quality/</w:t>
      </w:r>
    </w:p>
    <w:p>
      <w:pPr>
        <w:pStyle w:val="BodyText"/>
        <w:spacing w:after="60"/>
      </w:pPr>
      <w:r>
        <w:rPr>
          <w:sz w:val="18"/>
        </w:rPr>
        <w:t xml:space="preserve">[108] GitHub Docs.</w:t>
      </w:r>
      <w:r>
        <w:rPr>
          <w:sz w:val="18"/>
        </w:rPr>
        <w:t xml:space="preserve"> </w:t>
      </w:r>
      <w:r>
        <w:rPr>
          <w:iCs/>
          <w:i/>
          <w:sz w:val="18"/>
        </w:rPr>
        <w:t xml:space="preserve">About code owners</w:t>
      </w:r>
      <w:r>
        <w:rPr>
          <w:sz w:val="18"/>
        </w:rPr>
        <w:t xml:space="preserve">. Accessed September 2026. https://docs.github.com/en/repositories/managing-your-repositorys-settings-and-features/customizing-your-repository/about-code-owners</w:t>
      </w:r>
    </w:p>
    <w:p>
      <w:pPr>
        <w:pStyle w:val="BodyText"/>
        <w:spacing w:after="60"/>
      </w:pPr>
      <w:r>
        <w:rPr>
          <w:sz w:val="18"/>
        </w:rPr>
        <w:t xml:space="preserve">[109] GitHub Docs.</w:t>
      </w:r>
      <w:r>
        <w:rPr>
          <w:sz w:val="18"/>
        </w:rPr>
        <w:t xml:space="preserve"> </w:t>
      </w:r>
      <w:r>
        <w:rPr>
          <w:iCs/>
          <w:i/>
          <w:sz w:val="18"/>
        </w:rPr>
        <w:t xml:space="preserve">About rulesets</w:t>
      </w:r>
      <w:r>
        <w:rPr>
          <w:sz w:val="18"/>
        </w:rPr>
        <w:t xml:space="preserve">. Accessed September 2026. https://docs.github.com/en/repositories/configuring-branches-and-merges-in-your-repository/managing-rulesets/about-rulesets</w:t>
      </w:r>
    </w:p>
    <w:p>
      <w:pPr>
        <w:pStyle w:val="BodyText"/>
        <w:spacing w:after="60"/>
      </w:pPr>
      <w:r>
        <w:rPr>
          <w:sz w:val="18"/>
        </w:rPr>
        <w:t xml:space="preserve">[110] Anthropic.</w:t>
      </w:r>
      <w:r>
        <w:rPr>
          <w:sz w:val="18"/>
        </w:rPr>
        <w:t xml:space="preserve"> </w:t>
      </w:r>
      <w:r>
        <w:rPr>
          <w:iCs/>
          <w:i/>
          <w:sz w:val="18"/>
        </w:rPr>
        <w:t xml:space="preserve">Claude Code hooks reference</w:t>
      </w:r>
      <w:r>
        <w:rPr>
          <w:sz w:val="18"/>
        </w:rPr>
        <w:t xml:space="preserve">. Accessed September 2026. https://code.claude.com/docs/en/hooks</w:t>
      </w:r>
    </w:p>
    <w:p>
      <w:pPr>
        <w:pStyle w:val="BodyText"/>
        <w:spacing w:after="60"/>
      </w:pPr>
      <w:r>
        <w:rPr>
          <w:sz w:val="18"/>
        </w:rPr>
        <w:t xml:space="preserve">[111] Sonar.</w:t>
      </w:r>
      <w:r>
        <w:rPr>
          <w:sz w:val="18"/>
        </w:rPr>
        <w:t xml:space="preserve"> </w:t>
      </w:r>
      <w:r>
        <w:rPr>
          <w:iCs/>
          <w:i/>
          <w:sz w:val="18"/>
        </w:rPr>
        <w:t xml:space="preserve">Quality gate for agentic AI</w:t>
      </w:r>
      <w:r>
        <w:rPr>
          <w:sz w:val="18"/>
        </w:rPr>
        <w:t xml:space="preserve"> </w:t>
      </w:r>
      <w:r>
        <w:rPr>
          <w:sz w:val="18"/>
        </w:rPr>
        <w:t xml:space="preserve">(AI Code Assurance), SonarQube Server documentation. Accessed September 2026. https://docs.sonarsource.com/sonarqube-server/quality-standards-administration/ai-code-assurance/quality-gate-for-agentic-ai</w:t>
      </w:r>
    </w:p>
    <w:p>
      <w:pPr>
        <w:pStyle w:val="BodyText"/>
        <w:spacing w:after="60"/>
      </w:pPr>
      <w:r>
        <w:rPr>
          <w:sz w:val="18"/>
        </w:rPr>
        <w:t xml:space="preserve">[112] Grace, M., Hadfield, J., Olivares, R., De Jonghe, J.</w:t>
      </w:r>
      <w:r>
        <w:rPr>
          <w:sz w:val="18"/>
        </w:rPr>
        <w:t xml:space="preserve"> </w:t>
      </w:r>
      <w:r>
        <w:rPr>
          <w:iCs/>
          <w:i/>
          <w:sz w:val="18"/>
        </w:rPr>
        <w:t xml:space="preserve">Demystifying evals for AI agents</w:t>
      </w:r>
      <w:r>
        <w:rPr>
          <w:sz w:val="18"/>
        </w:rPr>
        <w:t xml:space="preserve">. Anthropic Engineering, 9 January 2026. https://www.anthropic.com/engineering/demystifying-evals-for-ai-agents</w:t>
      </w:r>
    </w:p>
    <w:p>
      <w:pPr>
        <w:pStyle w:val="BodyText"/>
        <w:spacing w:after="60"/>
      </w:pPr>
      <w:r>
        <w:rPr>
          <w:sz w:val="18"/>
        </w:rPr>
        <w:t xml:space="preserve">[113] Yao, S., Shinn, N., Razavi, P., Narasimhan, K.</w:t>
      </w:r>
      <w:r>
        <w:rPr>
          <w:sz w:val="18"/>
        </w:rPr>
        <w:t xml:space="preserve"> </w:t>
      </w:r>
      <w:r>
        <w:rPr>
          <w:iCs/>
          <w:i/>
          <w:sz w:val="18"/>
        </w:rPr>
        <w:t xml:space="preserve">τ-bench: A Benchmark for Tool-Agent-User Interaction in Real-World Domains</w:t>
      </w:r>
      <w:r>
        <w:rPr>
          <w:sz w:val="18"/>
        </w:rPr>
        <w:t xml:space="preserve">. arXiv:2406.12045, 2024; Barres, V. et al. </w:t>
      </w:r>
      <w:r>
        <w:rPr>
          <w:iCs/>
          <w:i/>
          <w:sz w:val="18"/>
        </w:rPr>
        <w:t xml:space="preserve">τ²-bench</w:t>
      </w:r>
      <w:r>
        <w:rPr>
          <w:sz w:val="18"/>
        </w:rPr>
        <w:t xml:space="preserve">. arXiv:2506.07982, 2025. https://arxiv.org/abs/2406.12045</w:t>
      </w:r>
    </w:p>
    <w:p>
      <w:pPr>
        <w:pStyle w:val="BodyText"/>
        <w:spacing w:after="60"/>
      </w:pPr>
      <w:r>
        <w:rPr>
          <w:sz w:val="18"/>
        </w:rPr>
        <w:t xml:space="preserve">[114] OpenSSF.</w:t>
      </w:r>
      <w:r>
        <w:rPr>
          <w:sz w:val="18"/>
        </w:rPr>
        <w:t xml:space="preserve"> </w:t>
      </w:r>
      <w:r>
        <w:rPr>
          <w:iCs/>
          <w:i/>
          <w:sz w:val="18"/>
        </w:rPr>
        <w:t xml:space="preserve">Scorecard: automated security checks for open source projects</w:t>
      </w:r>
      <w:r>
        <w:rPr>
          <w:sz w:val="18"/>
        </w:rPr>
        <w:t xml:space="preserve"> </w:t>
      </w:r>
      <w:r>
        <w:rPr>
          <w:sz w:val="18"/>
        </w:rPr>
        <w:t xml:space="preserve">(18 checks, scored 0-10). https://scorecard.dev/ ; Zahan, N., Kanakiya, P., Hambleton, B., Shohan, S., Williams, L.</w:t>
      </w:r>
      <w:r>
        <w:rPr>
          <w:sz w:val="18"/>
        </w:rPr>
        <w:t xml:space="preserve"> </w:t>
      </w:r>
      <w:r>
        <w:rPr>
          <w:iCs/>
          <w:i/>
          <w:sz w:val="18"/>
        </w:rPr>
        <w:t xml:space="preserve">OpenSSF Scorecard: On the Path Toward Ecosystem-wide Automated Security Metrics</w:t>
      </w:r>
      <w:r>
        <w:rPr>
          <w:sz w:val="18"/>
        </w:rPr>
        <w:t xml:space="preserve">. IEEE Security &amp; Privacy, 2023; arXiv:2208.03412. https://arxiv.org/abs/2208.03412</w:t>
      </w:r>
    </w:p>
    <w:p>
      <w:pPr>
        <w:pStyle w:val="BodyText"/>
        <w:spacing w:after="60"/>
      </w:pPr>
      <w:r>
        <w:rPr>
          <w:sz w:val="18"/>
        </w:rPr>
        <w:t xml:space="preserve">[115] Personal Data Protection Commission / IMDA (Singapore).</w:t>
      </w:r>
      <w:r>
        <w:rPr>
          <w:sz w:val="18"/>
        </w:rPr>
        <w:t xml:space="preserve"> </w:t>
      </w:r>
      <w:r>
        <w:rPr>
          <w:iCs/>
          <w:i/>
          <w:sz w:val="18"/>
        </w:rPr>
        <w:t xml:space="preserve">Model Artificial Intelligence Governance Framework, Second Edition</w:t>
      </w:r>
      <w:r>
        <w:rPr>
          <w:sz w:val="18"/>
        </w:rPr>
        <w:t xml:space="preserve">. 21 January 2020. https://www.pdpc.gov.sg/help-and-resources/2020/01/model-ai-governance-framework</w:t>
      </w:r>
    </w:p>
    <w:p>
      <w:pPr>
        <w:pStyle w:val="BodyText"/>
        <w:spacing w:after="60"/>
      </w:pPr>
      <w:r>
        <w:rPr>
          <w:sz w:val="18"/>
        </w:rPr>
        <w:t xml:space="preserve">[116] IMDA and AI Verify Foundation.</w:t>
      </w:r>
      <w:r>
        <w:rPr>
          <w:sz w:val="18"/>
        </w:rPr>
        <w:t xml:space="preserve"> </w:t>
      </w:r>
      <w:r>
        <w:rPr>
          <w:iCs/>
          <w:i/>
          <w:sz w:val="18"/>
        </w:rPr>
        <w:t xml:space="preserve">Model AI Governance Framework for Agentic AI</w:t>
      </w:r>
      <w:r>
        <w:rPr>
          <w:sz w:val="18"/>
        </w:rPr>
        <w:t xml:space="preserve"> </w:t>
      </w:r>
      <w:r>
        <w:rPr>
          <w:sz w:val="18"/>
        </w:rPr>
        <w:t xml:space="preserve">(v1.0). 22 January 2026. https://www.imda.gov.sg/-/media/imda/files/about/emerging-tech-and-research/artificial-intelligence/mgf-for-agentic-ai.pdf</w:t>
      </w:r>
    </w:p>
    <w:p>
      <w:pPr>
        <w:pStyle w:val="BodyText"/>
        <w:spacing w:after="60"/>
      </w:pPr>
      <w:r>
        <w:rPr>
          <w:sz w:val="18"/>
        </w:rPr>
        <w:t xml:space="preserve">[117] Nikolov, S., Codecasa, D., Sjovall, A., Tabachnyk, M., Chandra, S., Taneja, S., Ziftci, C.</w:t>
      </w:r>
      <w:r>
        <w:rPr>
          <w:sz w:val="18"/>
        </w:rPr>
        <w:t xml:space="preserve"> </w:t>
      </w:r>
      <w:r>
        <w:rPr>
          <w:iCs/>
          <w:i/>
          <w:sz w:val="18"/>
        </w:rPr>
        <w:t xml:space="preserve">How is Google using AI for internal code migrations?</w:t>
      </w:r>
      <w:r>
        <w:rPr>
          <w:sz w:val="18"/>
        </w:rPr>
        <w:t xml:space="preserve"> </w:t>
      </w:r>
      <w:r>
        <w:rPr>
          <w:sz w:val="18"/>
        </w:rPr>
        <w:t xml:space="preserve">arXiv:2501.06972, January 2025. https://arxiv.org/abs/2501.06972</w:t>
      </w:r>
    </w:p>
    <w:p>
      <w:pPr>
        <w:pStyle w:val="BodyText"/>
        <w:spacing w:after="60"/>
      </w:pPr>
      <w:r>
        <w:rPr>
          <w:sz w:val="18"/>
        </w:rPr>
        <w:t xml:space="preserve">[118] MITRE.</w:t>
      </w:r>
      <w:r>
        <w:rPr>
          <w:sz w:val="18"/>
        </w:rPr>
        <w:t xml:space="preserve"> </w:t>
      </w:r>
      <w:r>
        <w:rPr>
          <w:iCs/>
          <w:i/>
          <w:sz w:val="18"/>
        </w:rPr>
        <w:t xml:space="preserve">MITRE AI Maturity Model and Organizational Assessment Tool Guide</w:t>
      </w:r>
      <w:r>
        <w:rPr>
          <w:sz w:val="18"/>
        </w:rPr>
        <w:t xml:space="preserve">. 3 November 2023. https://www.mitre.org/news-insights/publication/mitre-ai-maturity-model-and-organizational-assessment-tool-guide</w:t>
      </w:r>
    </w:p>
    <w:p>
      <w:pPr>
        <w:pStyle w:val="BodyText"/>
        <w:spacing w:after="60"/>
      </w:pPr>
      <w:r>
        <w:rPr>
          <w:sz w:val="18"/>
        </w:rPr>
        <w:t xml:space="preserve">[119] Microsoft WorkLab.</w:t>
      </w:r>
      <w:r>
        <w:rPr>
          <w:sz w:val="18"/>
        </w:rPr>
        <w:t xml:space="preserve"> </w:t>
      </w:r>
      <w:r>
        <w:rPr>
          <w:iCs/>
          <w:i/>
          <w:sz w:val="18"/>
        </w:rPr>
        <w:t xml:space="preserve">2025 Work Trend Index Annual Report: The Frontier Firm is born</w:t>
      </w:r>
      <w:r>
        <w:rPr>
          <w:sz w:val="18"/>
        </w:rPr>
        <w:t xml:space="preserve">. 23 April 2025. https://www.microsoft.com/en-us/worklab/work-trend-index/2025-the-year-the-frontier-firm-is-born</w:t>
      </w:r>
    </w:p>
    <w:p>
      <w:pPr>
        <w:pStyle w:val="BodyText"/>
        <w:spacing w:after="60"/>
      </w:pPr>
      <w:r>
        <w:rPr>
          <w:sz w:val="18"/>
        </w:rPr>
        <w:t xml:space="preserve">[120] National Institute of Standards and Technology.</w:t>
      </w:r>
      <w:r>
        <w:rPr>
          <w:sz w:val="18"/>
        </w:rPr>
        <w:t xml:space="preserve"> </w:t>
      </w:r>
      <w:r>
        <w:rPr>
          <w:iCs/>
          <w:i/>
          <w:sz w:val="18"/>
        </w:rPr>
        <w:t xml:space="preserve">Artificial Intelligence Risk Management Framework (AI RMF 1.0)</w:t>
      </w:r>
      <w:r>
        <w:rPr>
          <w:sz w:val="18"/>
        </w:rPr>
        <w:t xml:space="preserve">, NIST AI 100-1. January 2023. https://nvlpubs.nist.gov/nistpubs/ai/NIST.AI.100-1.pdf</w:t>
      </w:r>
    </w:p>
    <w:p>
      <w:pPr>
        <w:pStyle w:val="BodyText"/>
        <w:spacing w:after="60"/>
      </w:pPr>
      <w:r>
        <w:rPr>
          <w:sz w:val="18"/>
        </w:rPr>
        <w:t xml:space="preserve">[121] NIST.</w:t>
      </w:r>
      <w:r>
        <w:rPr>
          <w:sz w:val="18"/>
        </w:rPr>
        <w:t xml:space="preserve"> </w:t>
      </w:r>
      <w:r>
        <w:rPr>
          <w:iCs/>
          <w:i/>
          <w:sz w:val="18"/>
        </w:rPr>
        <w:t xml:space="preserve">Artificial Intelligence Risk Management Framework: Generative Artificial Intelligence Profile</w:t>
      </w:r>
      <w:r>
        <w:rPr>
          <w:sz w:val="18"/>
        </w:rPr>
        <w:t xml:space="preserve">, NIST AI 600-1. July 2024. https://nvlpubs.nist.gov/nistpubs/ai/NIST.AI.600-1.pdf</w:t>
      </w:r>
    </w:p>
    <w:p>
      <w:pPr>
        <w:pStyle w:val="BodyText"/>
        <w:spacing w:after="60"/>
      </w:pPr>
      <w:r>
        <w:rPr>
          <w:sz w:val="18"/>
        </w:rPr>
        <w:t xml:space="preserve">[122] ISO/IEC 42001:2023.</w:t>
      </w:r>
      <w:r>
        <w:rPr>
          <w:sz w:val="18"/>
        </w:rPr>
        <w:t xml:space="preserve"> </w:t>
      </w:r>
      <w:r>
        <w:rPr>
          <w:iCs/>
          <w:i/>
          <w:sz w:val="18"/>
        </w:rPr>
        <w:t xml:space="preserve">Information technology, Artificial intelligence, Management system</w:t>
      </w:r>
      <w:r>
        <w:rPr>
          <w:sz w:val="18"/>
        </w:rPr>
        <w:t xml:space="preserve">. International Organization for Standardization, December 2023. https://www.iso.org/standard/42001</w:t>
      </w:r>
    </w:p>
    <w:p>
      <w:pPr>
        <w:pStyle w:val="BodyText"/>
        <w:spacing w:after="60"/>
      </w:pPr>
      <w:r>
        <w:rPr>
          <w:sz w:val="18"/>
        </w:rPr>
        <w:t xml:space="preserve">[123] DORA.</w:t>
      </w:r>
      <w:r>
        <w:rPr>
          <w:sz w:val="18"/>
        </w:rPr>
        <w:t xml:space="preserve"> </w:t>
      </w:r>
      <w:r>
        <w:rPr>
          <w:iCs/>
          <w:i/>
          <w:sz w:val="18"/>
        </w:rPr>
        <w:t xml:space="preserve">DORA’s software delivery metrics: the four keys</w:t>
      </w:r>
      <w:r>
        <w:rPr>
          <w:sz w:val="18"/>
        </w:rPr>
        <w:t xml:space="preserve"> </w:t>
      </w:r>
      <w:r>
        <w:rPr>
          <w:sz w:val="18"/>
        </w:rPr>
        <w:t xml:space="preserve">(throughput and instability; five metrics). dora.dev, accessed September 2026. https://dora.dev/guides/dora-metrics-four-keys/</w:t>
      </w:r>
    </w:p>
    <w:p>
      <w:pPr>
        <w:pStyle w:val="BodyText"/>
        <w:spacing w:after="60"/>
      </w:pPr>
      <w:r>
        <w:rPr>
          <w:sz w:val="18"/>
        </w:rPr>
        <w:t xml:space="preserve">[124] Forsgren, N., Storey, M.-A., Maddila, C., Zimmermann, T., Houck, B., Butler, J.</w:t>
      </w:r>
      <w:r>
        <w:rPr>
          <w:sz w:val="18"/>
        </w:rPr>
        <w:t xml:space="preserve"> </w:t>
      </w:r>
      <w:r>
        <w:rPr>
          <w:iCs/>
          <w:i/>
          <w:sz w:val="18"/>
        </w:rPr>
        <w:t xml:space="preserve">The SPACE of Developer Productivity</w:t>
      </w:r>
      <w:r>
        <w:rPr>
          <w:sz w:val="18"/>
        </w:rPr>
        <w:t xml:space="preserve">. ACM Queue 19(1), March 2021. https://queue.acm.org/detail.cfm?id=3454124</w:t>
      </w:r>
    </w:p>
    <w:p>
      <w:pPr>
        <w:pStyle w:val="BodyText"/>
        <w:spacing w:after="60"/>
      </w:pPr>
      <w:r>
        <w:rPr>
          <w:sz w:val="18"/>
        </w:rPr>
        <w:t xml:space="preserve">[125] Noda, A., Tacho, L., Storey, M.-A., Greiler, M.</w:t>
      </w:r>
      <w:r>
        <w:rPr>
          <w:sz w:val="18"/>
        </w:rPr>
        <w:t xml:space="preserve"> </w:t>
      </w:r>
      <w:r>
        <w:rPr>
          <w:iCs/>
          <w:i/>
          <w:sz w:val="18"/>
        </w:rPr>
        <w:t xml:space="preserve">DX Core 4</w:t>
      </w:r>
      <w:r>
        <w:rPr>
          <w:sz w:val="18"/>
        </w:rPr>
        <w:t xml:space="preserve"> </w:t>
      </w:r>
      <w:r>
        <w:rPr>
          <w:sz w:val="18"/>
        </w:rPr>
        <w:t xml:space="preserve">(December 2024); Noda, A., Tacho, L.</w:t>
      </w:r>
      <w:r>
        <w:rPr>
          <w:sz w:val="18"/>
        </w:rPr>
        <w:t xml:space="preserve"> </w:t>
      </w:r>
      <w:r>
        <w:rPr>
          <w:iCs/>
          <w:i/>
          <w:sz w:val="18"/>
        </w:rPr>
        <w:t xml:space="preserve">The AI Measurement Framework</w:t>
      </w:r>
      <w:r>
        <w:rPr>
          <w:sz w:val="18"/>
        </w:rPr>
        <w:t xml:space="preserve"> </w:t>
      </w:r>
      <w:r>
        <w:rPr>
          <w:sz w:val="18"/>
        </w:rPr>
        <w:t xml:space="preserve">(2025). DX. https://getdx.com/research/measuring-developer-productivity-with-the-dx-core-4/ ; https://getdx.com/research/measuring-ai-code-assistants-and-agents/</w:t>
      </w:r>
    </w:p>
    <w:p>
      <w:pPr>
        <w:pStyle w:val="BodyText"/>
        <w:spacing w:after="60"/>
      </w:pPr>
      <w:r>
        <w:rPr>
          <w:sz w:val="18"/>
        </w:rPr>
        <w:t xml:space="preserve">[126] DORA.</w:t>
      </w:r>
      <w:r>
        <w:rPr>
          <w:sz w:val="18"/>
        </w:rPr>
        <w:t xml:space="preserve"> </w:t>
      </w:r>
      <w:r>
        <w:rPr>
          <w:iCs/>
          <w:i/>
          <w:sz w:val="18"/>
        </w:rPr>
        <w:t xml:space="preserve">AI-accessible internal data</w:t>
      </w:r>
      <w:r>
        <w:rPr>
          <w:sz w:val="18"/>
        </w:rPr>
        <w:t xml:space="preserve"> </w:t>
      </w:r>
      <w:r>
        <w:rPr>
          <w:sz w:val="18"/>
        </w:rPr>
        <w:t xml:space="preserve">(capability guide). Accessed September 2026. https://dora.dev/capabilities/ai-accessible-internal-data/</w:t>
      </w:r>
    </w:p>
    <w:p>
      <w:pPr>
        <w:pStyle w:val="BodyText"/>
        <w:spacing w:after="60"/>
      </w:pPr>
      <w:r>
        <w:rPr>
          <w:sz w:val="18"/>
        </w:rPr>
        <w:t xml:space="preserve">[127] Google Cloud Architecture Center.</w:t>
      </w:r>
      <w:r>
        <w:rPr>
          <w:sz w:val="18"/>
        </w:rPr>
        <w:t xml:space="preserve"> </w:t>
      </w:r>
      <w:r>
        <w:rPr>
          <w:iCs/>
          <w:i/>
          <w:sz w:val="18"/>
        </w:rPr>
        <w:t xml:space="preserve">MLOps: Continuous delivery and automation pipelines in machine learning</w:t>
      </w:r>
      <w:r>
        <w:rPr>
          <w:sz w:val="18"/>
        </w:rPr>
        <w:t xml:space="preserve"> </w:t>
      </w:r>
      <w:r>
        <w:rPr>
          <w:sz w:val="18"/>
        </w:rPr>
        <w:t xml:space="preserve">(levels 0-2). Updated 28 August 2024. https://docs.cloud.google.com/architecture/mlops-continuous-delivery-and-automation-pipelines-in-machine-learning</w:t>
      </w:r>
    </w:p>
    <w:p>
      <w:pPr>
        <w:pStyle w:val="BodyText"/>
        <w:spacing w:after="60"/>
      </w:pPr>
      <w:r>
        <w:rPr>
          <w:sz w:val="18"/>
        </w:rPr>
        <w:t xml:space="preserve">[128] Microsoft Learn.</w:t>
      </w:r>
      <w:r>
        <w:rPr>
          <w:sz w:val="18"/>
        </w:rPr>
        <w:t xml:space="preserve"> </w:t>
      </w:r>
      <w:r>
        <w:rPr>
          <w:iCs/>
          <w:i/>
          <w:sz w:val="18"/>
        </w:rPr>
        <w:t xml:space="preserve">Machine Learning operations maturity model</w:t>
      </w:r>
      <w:r>
        <w:rPr>
          <w:sz w:val="18"/>
        </w:rPr>
        <w:t xml:space="preserve"> </w:t>
      </w:r>
      <w:r>
        <w:rPr>
          <w:sz w:val="18"/>
        </w:rPr>
        <w:t xml:space="preserve">(levels 0-4). Updated 3 June 2026. https://learn.microsoft.com/en-us/azure/architecture/ai-ml/guide/mlops-maturity-model</w:t>
      </w:r>
    </w:p>
    <w:p>
      <w:pPr>
        <w:pStyle w:val="BodyText"/>
        <w:spacing w:after="60"/>
      </w:pPr>
      <w:r>
        <w:rPr>
          <w:sz w:val="18"/>
        </w:rPr>
        <w:t xml:space="preserve">[129] Merrill, M. A., Shaw, A. G., Carlini, N., Li, B. et al. </w:t>
      </w:r>
      <w:r>
        <w:rPr>
          <w:iCs/>
          <w:i/>
          <w:sz w:val="18"/>
        </w:rPr>
        <w:t xml:space="preserve">Terminal-Bench: Benchmarking Agents on Hard, Realistic Tasks in Command Line Interfaces</w:t>
      </w:r>
      <w:r>
        <w:rPr>
          <w:sz w:val="18"/>
        </w:rPr>
        <w:t xml:space="preserve">. arXiv:2601.11868, January 2026. https://arxiv.org/abs/2601.11868</w:t>
      </w:r>
    </w:p>
    <w:p>
      <w:pPr>
        <w:pStyle w:val="BodyText"/>
        <w:spacing w:after="60"/>
      </w:pPr>
      <w:r>
        <w:rPr>
          <w:sz w:val="18"/>
        </w:rPr>
        <w:t xml:space="preserve">[130] de Bruin, T., Rosemann, M., Freeze, R., Kulkarni, U.</w:t>
      </w:r>
      <w:r>
        <w:rPr>
          <w:sz w:val="18"/>
        </w:rPr>
        <w:t xml:space="preserve"> </w:t>
      </w:r>
      <w:r>
        <w:rPr>
          <w:iCs/>
          <w:i/>
          <w:sz w:val="18"/>
        </w:rPr>
        <w:t xml:space="preserve">Understanding the Main Phases of Developing a Maturity Assessment Model</w:t>
      </w:r>
      <w:r>
        <w:rPr>
          <w:sz w:val="18"/>
        </w:rPr>
        <w:t xml:space="preserve">. Proc. 16th Australasian Conference on Information Systems (ACIS 2005). https://aisel.aisnet.org/acis2005/109/</w:t>
      </w:r>
    </w:p>
    <w:p>
      <w:pPr>
        <w:pStyle w:val="BodyText"/>
        <w:spacing w:after="60"/>
      </w:pPr>
      <w:r>
        <w:rPr>
          <w:sz w:val="18"/>
        </w:rPr>
        <w:t xml:space="preserve">[131] Mettler, T.</w:t>
      </w:r>
      <w:r>
        <w:rPr>
          <w:sz w:val="18"/>
        </w:rPr>
        <w:t xml:space="preserve"> </w:t>
      </w:r>
      <w:r>
        <w:rPr>
          <w:iCs/>
          <w:i/>
          <w:sz w:val="18"/>
        </w:rPr>
        <w:t xml:space="preserve">Maturity assessment models: a design science research approach</w:t>
      </w:r>
      <w:r>
        <w:rPr>
          <w:sz w:val="18"/>
        </w:rPr>
        <w:t xml:space="preserve">. International Journal of Society Systems Science 3(1/2):81-98, 2011. https://www.inderscience.com/info/inarticle.php?artid=38934</w:t>
      </w:r>
    </w:p>
    <w:p>
      <w:pPr>
        <w:pStyle w:val="BodyText"/>
        <w:spacing w:after="60"/>
      </w:pPr>
      <w:r>
        <w:rPr>
          <w:sz w:val="18"/>
        </w:rPr>
        <w:t xml:space="preserve">[132] Mikalef, P., Gupta, M.</w:t>
      </w:r>
      <w:r>
        <w:rPr>
          <w:sz w:val="18"/>
        </w:rPr>
        <w:t xml:space="preserve"> </w:t>
      </w:r>
      <w:r>
        <w:rPr>
          <w:iCs/>
          <w:i/>
          <w:sz w:val="18"/>
        </w:rPr>
        <w:t xml:space="preserve">Artificial intelligence capability: Conceptualization, measurement calibration, and empirical study on its impact on organizational creativity and firm performance</w:t>
      </w:r>
      <w:r>
        <w:rPr>
          <w:sz w:val="18"/>
        </w:rPr>
        <w:t xml:space="preserve">. Information &amp; Management 58(3):103434, 2021. https://www.sciencedirect.com/science/article/pii/S0378720621000082</w:t>
      </w:r>
    </w:p>
    <w:p>
      <w:pPr>
        <w:pStyle w:val="BodyText"/>
        <w:spacing w:after="60"/>
      </w:pPr>
      <w:r>
        <w:rPr>
          <w:sz w:val="18"/>
        </w:rPr>
        <w:t xml:space="preserve">[133] Uren, V., Edwards, J. S.</w:t>
      </w:r>
      <w:r>
        <w:rPr>
          <w:sz w:val="18"/>
        </w:rPr>
        <w:t xml:space="preserve"> </w:t>
      </w:r>
      <w:r>
        <w:rPr>
          <w:iCs/>
          <w:i/>
          <w:sz w:val="18"/>
        </w:rPr>
        <w:t xml:space="preserve">Technology readiness and the organizational journey towards AI adoption: An empirical study</w:t>
      </w:r>
      <w:r>
        <w:rPr>
          <w:sz w:val="18"/>
        </w:rPr>
        <w:t xml:space="preserve">. International Journal of Information Management 68:102588, 2023. https://www.sciencedirect.com/science/article/pii/S0268401222001220</w:t>
      </w:r>
    </w:p>
    <w:p>
      <w:pPr>
        <w:pStyle w:val="BodyText"/>
        <w:spacing w:after="60"/>
      </w:pPr>
      <w:r>
        <w:rPr>
          <w:sz w:val="18"/>
        </w:rPr>
        <w:t xml:space="preserve">[134] Tehrani, A. N., Ray, S., Roy, S. K., Gruner, R. L., Appio, F. P.</w:t>
      </w:r>
      <w:r>
        <w:rPr>
          <w:sz w:val="18"/>
        </w:rPr>
        <w:t xml:space="preserve"> </w:t>
      </w:r>
      <w:r>
        <w:rPr>
          <w:iCs/>
          <w:i/>
          <w:sz w:val="18"/>
        </w:rPr>
        <w:t xml:space="preserve">Decoding AI readiness: An in-depth analysis of key dimensions in multinational corporations</w:t>
      </w:r>
      <w:r>
        <w:rPr>
          <w:sz w:val="18"/>
        </w:rPr>
        <w:t xml:space="preserve">. Technovation 131:102948, 2024. https://www.sciencedirect.com/science/article/abs/pii/S0166497223002596</w:t>
      </w:r>
    </w:p>
    <w:p>
      <w:pPr>
        <w:pStyle w:val="BodyText"/>
        <w:spacing w:after="60"/>
      </w:pPr>
      <w:r>
        <w:rPr>
          <w:sz w:val="18"/>
        </w:rPr>
        <w:t xml:space="preserve">[135] Mei, L. et al. </w:t>
      </w:r>
      <w:r>
        <w:rPr>
          <w:iCs/>
          <w:i/>
          <w:sz w:val="18"/>
        </w:rPr>
        <w:t xml:space="preserve">A Survey of Context Engineering for Large Language Models</w:t>
      </w:r>
      <w:r>
        <w:rPr>
          <w:sz w:val="18"/>
        </w:rPr>
        <w:t xml:space="preserve">. arXiv:2507.13334, July 2025. https://arxiv.org/abs/2507.13334</w:t>
      </w:r>
    </w:p>
    <w:p>
      <w:pPr>
        <w:pStyle w:val="BodyText"/>
        <w:spacing w:after="60"/>
      </w:pPr>
      <w:r>
        <w:rPr>
          <w:sz w:val="18"/>
        </w:rPr>
        <w:t xml:space="preserve">[136] Hassan, A. E., Li, H., Lin, D., Adams, B., Chen, T.-H., Kashiwa, Y., Qiu, D.</w:t>
      </w:r>
      <w:r>
        <w:rPr>
          <w:sz w:val="18"/>
        </w:rPr>
        <w:t xml:space="preserve"> </w:t>
      </w:r>
      <w:r>
        <w:rPr>
          <w:iCs/>
          <w:i/>
          <w:sz w:val="18"/>
        </w:rPr>
        <w:t xml:space="preserve">Agentic Software Engineering: Foundational Pillars and a Research Roadmap</w:t>
      </w:r>
      <w:r>
        <w:rPr>
          <w:sz w:val="18"/>
        </w:rPr>
        <w:t xml:space="preserve">. arXiv:2509.06216, September 2025 (v3 June 2026). https://arxiv.org/abs/2509.06216</w:t>
      </w:r>
    </w:p>
    <w:p>
      <w:pPr>
        <w:pStyle w:val="BodyText"/>
        <w:spacing w:after="60"/>
      </w:pPr>
      <w:r>
        <w:rPr>
          <w:sz w:val="18"/>
        </w:rPr>
        <w:t xml:space="preserve">[137] Hassan, A. E., Oliva, G. A., Lin, D., Chen, B., Jiang, Z. M.</w:t>
      </w:r>
      <w:r>
        <w:rPr>
          <w:sz w:val="18"/>
        </w:rPr>
        <w:t xml:space="preserve"> </w:t>
      </w:r>
      <w:r>
        <w:rPr>
          <w:iCs/>
          <w:i/>
          <w:sz w:val="18"/>
        </w:rPr>
        <w:t xml:space="preserve">Towards AI-Native Software Engineering (SE 3.0): A Vision and a Challenge Roadmap</w:t>
      </w:r>
      <w:r>
        <w:rPr>
          <w:sz w:val="18"/>
        </w:rPr>
        <w:t xml:space="preserve">. arXiv:2410.06107, 2024 (rev. January 2026). https://arxiv.org/abs/2410.06107</w:t>
      </w:r>
    </w:p>
    <w:p>
      <w:pPr>
        <w:pStyle w:val="BodyText"/>
        <w:spacing w:after="60"/>
      </w:pPr>
      <w:r>
        <w:rPr>
          <w:sz w:val="18"/>
        </w:rPr>
        <w:t xml:space="preserve">[138] Sarkar, A., Drosos, I.</w:t>
      </w:r>
      <w:r>
        <w:rPr>
          <w:sz w:val="18"/>
        </w:rPr>
        <w:t xml:space="preserve"> </w:t>
      </w:r>
      <w:r>
        <w:rPr>
          <w:iCs/>
          <w:i/>
          <w:sz w:val="18"/>
        </w:rPr>
        <w:t xml:space="preserve">Vibe coding: programming through conversation with artificial intelligence</w:t>
      </w:r>
      <w:r>
        <w:rPr>
          <w:sz w:val="18"/>
        </w:rPr>
        <w:t xml:space="preserve">. arXiv:2506.23253, 2025; Ge, Y., Mei, L. et al. </w:t>
      </w:r>
      <w:r>
        <w:rPr>
          <w:iCs/>
          <w:i/>
          <w:sz w:val="18"/>
        </w:rPr>
        <w:t xml:space="preserve">A Survey of Vibe Coding with Large Language Models</w:t>
      </w:r>
      <w:r>
        <w:rPr>
          <w:sz w:val="18"/>
        </w:rPr>
        <w:t xml:space="preserve">. arXiv:2510.12399, 2025. https://arxiv.org/abs/2506.23253</w:t>
      </w:r>
    </w:p>
    <w:p>
      <w:pPr>
        <w:pStyle w:val="BodyText"/>
        <w:spacing w:after="60"/>
      </w:pPr>
      <w:r>
        <w:rPr>
          <w:sz w:val="18"/>
        </w:rPr>
        <w:t xml:space="preserve">[139] Sadowski, C., Söderberg, E., Church, L., Sipko, M., Bacchelli, A.</w:t>
      </w:r>
      <w:r>
        <w:rPr>
          <w:sz w:val="18"/>
        </w:rPr>
        <w:t xml:space="preserve"> </w:t>
      </w:r>
      <w:r>
        <w:rPr>
          <w:iCs/>
          <w:i/>
          <w:sz w:val="18"/>
        </w:rPr>
        <w:t xml:space="preserve">Modern Code Review: A Case Study at Google</w:t>
      </w:r>
      <w:r>
        <w:rPr>
          <w:sz w:val="18"/>
        </w:rPr>
        <w:t xml:space="preserve">. Proc. ICSE-SEIP 2018. https://research.google/pubs/modern-code-review-a-case-study-at-google/</w:t>
      </w:r>
    </w:p>
    <w:p>
      <w:pPr>
        <w:pStyle w:val="BodyText"/>
        <w:spacing w:after="60"/>
      </w:pPr>
      <w:r>
        <w:rPr>
          <w:sz w:val="18"/>
        </w:rPr>
        <w:t xml:space="preserve">[140] Sadowski, C., van Gogh, J., Jaspan, C., Söderberg, E., Winter, C.</w:t>
      </w:r>
      <w:r>
        <w:rPr>
          <w:sz w:val="18"/>
        </w:rPr>
        <w:t xml:space="preserve"> </w:t>
      </w:r>
      <w:r>
        <w:rPr>
          <w:iCs/>
          <w:i/>
          <w:sz w:val="18"/>
        </w:rPr>
        <w:t xml:space="preserve">Tricorder: Building a Program Analysis Ecosystem</w:t>
      </w:r>
      <w:r>
        <w:rPr>
          <w:sz w:val="18"/>
        </w:rPr>
        <w:t xml:space="preserve">. Proc. ICSE 2015. https://research.google/pubs/tricorder-building-a-program-analysis-ecosystem/</w:t>
      </w:r>
    </w:p>
    <w:p>
      <w:pPr>
        <w:pStyle w:val="BodyText"/>
        <w:spacing w:after="60"/>
      </w:pPr>
      <w:r>
        <w:rPr>
          <w:sz w:val="18"/>
        </w:rPr>
        <w:t xml:space="preserve">[141] Memon, A., Nguyen, B., Nickell, E., Micco, J., Dhanda, S., Siemborski, R., Gao, Z.</w:t>
      </w:r>
      <w:r>
        <w:rPr>
          <w:sz w:val="18"/>
        </w:rPr>
        <w:t xml:space="preserve"> </w:t>
      </w:r>
      <w:r>
        <w:rPr>
          <w:iCs/>
          <w:i/>
          <w:sz w:val="18"/>
        </w:rPr>
        <w:t xml:space="preserve">Taming Google-Scale Continuous Testing</w:t>
      </w:r>
      <w:r>
        <w:rPr>
          <w:sz w:val="18"/>
        </w:rPr>
        <w:t xml:space="preserve">. Proc. ICSE-SEIP 2017. https://research.google/pubs/taming-google-scale-continuous-testing/</w:t>
      </w:r>
    </w:p>
    <w:p>
      <w:pPr>
        <w:pStyle w:val="BodyText"/>
        <w:spacing w:after="60"/>
      </w:pPr>
      <w:r>
        <w:rPr>
          <w:sz w:val="18"/>
        </w:rPr>
        <w:t xml:space="preserve">[142] Ivanković, M., Petrović, G., Just, R., Fraser, G.</w:t>
      </w:r>
      <w:r>
        <w:rPr>
          <w:sz w:val="18"/>
        </w:rPr>
        <w:t xml:space="preserve"> </w:t>
      </w:r>
      <w:r>
        <w:rPr>
          <w:iCs/>
          <w:i/>
          <w:sz w:val="18"/>
        </w:rPr>
        <w:t xml:space="preserve">Code Coverage at Google</w:t>
      </w:r>
      <w:r>
        <w:rPr>
          <w:sz w:val="18"/>
        </w:rPr>
        <w:t xml:space="preserve">. Proc. ESEC/FSE 2019. https://research.google/pubs/code-coverage-at-google/</w:t>
      </w:r>
    </w:p>
    <w:p>
      <w:pPr>
        <w:pStyle w:val="BodyText"/>
        <w:spacing w:after="60"/>
      </w:pPr>
      <w:r>
        <w:rPr>
          <w:sz w:val="18"/>
        </w:rPr>
        <w:t xml:space="preserve">[143] Petrović, G., Ivanković, M.</w:t>
      </w:r>
      <w:r>
        <w:rPr>
          <w:sz w:val="18"/>
        </w:rPr>
        <w:t xml:space="preserve"> </w:t>
      </w:r>
      <w:r>
        <w:rPr>
          <w:iCs/>
          <w:i/>
          <w:sz w:val="18"/>
        </w:rPr>
        <w:t xml:space="preserve">State of Mutation Testing at Google</w:t>
      </w:r>
      <w:r>
        <w:rPr>
          <w:sz w:val="18"/>
        </w:rPr>
        <w:t xml:space="preserve">. Proc. ICSE-SEIP 2018. https://research.google/pubs/state-of-mutation-testing-at-google/</w:t>
      </w:r>
    </w:p>
    <w:p>
      <w:pPr>
        <w:pStyle w:val="BodyText"/>
        <w:spacing w:after="60"/>
      </w:pPr>
      <w:r>
        <w:rPr>
          <w:sz w:val="18"/>
        </w:rPr>
        <w:t xml:space="preserve">[144] Frömmgen, A., Kharatyan, L.</w:t>
      </w:r>
      <w:r>
        <w:rPr>
          <w:sz w:val="18"/>
        </w:rPr>
        <w:t xml:space="preserve"> </w:t>
      </w:r>
      <w:r>
        <w:rPr>
          <w:iCs/>
          <w:i/>
          <w:sz w:val="18"/>
        </w:rPr>
        <w:t xml:space="preserve">Resolving Code Review Comments with ML</w:t>
      </w:r>
      <w:r>
        <w:rPr>
          <w:sz w:val="18"/>
        </w:rPr>
        <w:t xml:space="preserve">. Google Research blog, 23 May 2023. https://research.google/blog/resolving-code-review-comments-with-ml/</w:t>
      </w:r>
    </w:p>
    <w:p>
      <w:pPr>
        <w:pStyle w:val="BodyText"/>
        <w:spacing w:after="60"/>
      </w:pPr>
      <w:r>
        <w:rPr>
          <w:sz w:val="18"/>
        </w:rPr>
        <w:t xml:space="preserve">[145] Chandra, S., Tabachnyk, M. et al. </w:t>
      </w:r>
      <w:r>
        <w:rPr>
          <w:iCs/>
          <w:i/>
          <w:sz w:val="18"/>
        </w:rPr>
        <w:t xml:space="preserve">AI in Software Engineering at Google: Progress and the Path Ahead</w:t>
      </w:r>
      <w:r>
        <w:rPr>
          <w:sz w:val="18"/>
        </w:rPr>
        <w:t xml:space="preserve">. Google Research blog, 6 June 2024. https://research.google/blog/ai-in-software-engineering-at-google-progress-and-the-path-ahead/</w:t>
      </w:r>
    </w:p>
    <w:p>
      <w:pPr>
        <w:pStyle w:val="BodyText"/>
        <w:spacing w:after="60"/>
      </w:pPr>
      <w:r>
        <w:rPr>
          <w:sz w:val="18"/>
        </w:rPr>
        <w:t xml:space="preserve">[146] JPMorganChase.</w:t>
      </w:r>
      <w:r>
        <w:rPr>
          <w:sz w:val="18"/>
        </w:rPr>
        <w:t xml:space="preserve"> </w:t>
      </w:r>
      <w:r>
        <w:rPr>
          <w:iCs/>
          <w:i/>
          <w:sz w:val="18"/>
        </w:rPr>
        <w:t xml:space="preserve">Technology at JPMorganChase</w:t>
      </w:r>
      <w:r>
        <w:rPr>
          <w:sz w:val="18"/>
        </w:rPr>
        <w:t xml:space="preserve">. Accessed September 2026. https://www.jpmorganchase.com/about/technology</w:t>
      </w:r>
    </w:p>
    <w:p>
      <w:pPr>
        <w:pStyle w:val="BodyText"/>
        <w:spacing w:after="60"/>
      </w:pPr>
      <w:r>
        <w:rPr>
          <w:sz w:val="18"/>
        </w:rPr>
        <w:t xml:space="preserve">[147] Constellation Research.</w:t>
      </w:r>
      <w:r>
        <w:rPr>
          <w:sz w:val="18"/>
        </w:rPr>
        <w:t xml:space="preserve"> </w:t>
      </w:r>
      <w:r>
        <w:rPr>
          <w:iCs/>
          <w:i/>
          <w:sz w:val="18"/>
        </w:rPr>
        <w:t xml:space="preserve">JPMorgan Chase’s IT, AI bets: Where the returns are</w:t>
      </w:r>
      <w:r>
        <w:rPr>
          <w:sz w:val="18"/>
        </w:rPr>
        <w:t xml:space="preserve"> </w:t>
      </w:r>
      <w:r>
        <w:rPr>
          <w:sz w:val="18"/>
        </w:rPr>
        <w:t xml:space="preserve">(2025 Investor Day coverage). 1 June 2025. https://www.constellationr.com/insights/news/jpmorgan-chases-it-ai-bets-where-returns-are</w:t>
      </w:r>
    </w:p>
    <w:p>
      <w:pPr>
        <w:pStyle w:val="BodyText"/>
        <w:spacing w:after="60"/>
      </w:pPr>
      <w:r>
        <w:rPr>
          <w:sz w:val="18"/>
        </w:rPr>
        <w:t xml:space="preserve">[148] JPMorganChase.</w:t>
      </w:r>
      <w:r>
        <w:rPr>
          <w:sz w:val="18"/>
        </w:rPr>
        <w:t xml:space="preserve"> </w:t>
      </w:r>
      <w:r>
        <w:rPr>
          <w:iCs/>
          <w:i/>
          <w:sz w:val="18"/>
        </w:rPr>
        <w:t xml:space="preserve">2025 Investor Day: full transcript</w:t>
      </w:r>
      <w:r>
        <w:rPr>
          <w:sz w:val="18"/>
        </w:rPr>
        <w:t xml:space="preserve">. 19 May 2025. https://www.jpmorganchase.com/content/dam/jpmc/jpmorgan-chase-and-co/investor-relations/documents/events/2025/jpmc-2025-investor-day/full-transcript.pdf</w:t>
      </w:r>
    </w:p>
    <w:p>
      <w:pPr>
        <w:pStyle w:val="BodyText"/>
        <w:spacing w:after="60"/>
      </w:pPr>
      <w:r>
        <w:rPr>
          <w:sz w:val="18"/>
        </w:rPr>
        <w:t xml:space="preserve">[149] Anand, N.</w:t>
      </w:r>
      <w:r>
        <w:rPr>
          <w:sz w:val="18"/>
        </w:rPr>
        <w:t xml:space="preserve"> </w:t>
      </w:r>
      <w:r>
        <w:rPr>
          <w:iCs/>
          <w:i/>
          <w:sz w:val="18"/>
        </w:rPr>
        <w:t xml:space="preserve">JPMorgan engineers’ efficiency jumps as much as 20% from using coding assistant</w:t>
      </w:r>
      <w:r>
        <w:rPr>
          <w:sz w:val="18"/>
        </w:rPr>
        <w:t xml:space="preserve">. Reuters, 13 March 2025. https://finance.yahoo.com/news/jpmorgan-engineers-efficiency-jumps-much-190410471.html</w:t>
      </w:r>
    </w:p>
    <w:p>
      <w:pPr>
        <w:pStyle w:val="BodyText"/>
        <w:spacing w:after="60"/>
      </w:pPr>
      <w:r>
        <w:rPr>
          <w:sz w:val="18"/>
        </w:rPr>
        <w:t xml:space="preserve">[150] JPMorganChase.</w:t>
      </w:r>
      <w:r>
        <w:rPr>
          <w:sz w:val="18"/>
        </w:rPr>
        <w:t xml:space="preserve"> </w:t>
      </w:r>
      <w:r>
        <w:rPr>
          <w:iCs/>
          <w:i/>
          <w:sz w:val="18"/>
        </w:rPr>
        <w:t xml:space="preserve">GitHub organization (74 public repositories; Salt Design System, python-training, modular)</w:t>
      </w:r>
      <w:r>
        <w:rPr>
          <w:sz w:val="18"/>
        </w:rPr>
        <w:t xml:space="preserve">. Accessed September 2026. https://github.com/jpmorganchase</w:t>
      </w:r>
    </w:p>
    <w:p>
      <w:pPr>
        <w:pStyle w:val="BodyText"/>
        <w:spacing w:after="60"/>
      </w:pPr>
      <w:r>
        <w:rPr>
          <w:sz w:val="18"/>
        </w:rPr>
        <w:t xml:space="preserve">[151] McKinsey &amp; Company.</w:t>
      </w:r>
      <w:r>
        <w:rPr>
          <w:sz w:val="18"/>
        </w:rPr>
        <w:t xml:space="preserve"> </w:t>
      </w:r>
      <w:r>
        <w:rPr>
          <w:iCs/>
          <w:i/>
          <w:sz w:val="18"/>
        </w:rPr>
        <w:t xml:space="preserve">JPMorgan Chase’s Derek Waldron on building an AI-first bank culture</w:t>
      </w:r>
      <w:r>
        <w:rPr>
          <w:sz w:val="18"/>
        </w:rPr>
        <w:t xml:space="preserve">. 29 October 2025. https://www.mckinsey.com/industries/financial-services/our-insights/jpmorgan-chases-derek-waldron-on-building-an-ai-first-bank-culture</w:t>
      </w:r>
    </w:p>
    <w:p>
      <w:pPr>
        <w:pStyle w:val="BodyText"/>
        <w:spacing w:after="60"/>
      </w:pPr>
      <w:r>
        <w:rPr>
          <w:sz w:val="18"/>
        </w:rPr>
        <w:t xml:space="preserve">[152] HR Grapevine.</w:t>
      </w:r>
      <w:r>
        <w:rPr>
          <w:sz w:val="18"/>
        </w:rPr>
        <w:t xml:space="preserve"> </w:t>
      </w:r>
      <w:r>
        <w:rPr>
          <w:iCs/>
          <w:i/>
          <w:sz w:val="18"/>
        </w:rPr>
        <w:t xml:space="preserve">JPMorgan CEO Jamie Dimon says society must consider AI job impact; firm has</w:t>
      </w:r>
      <w:r>
        <w:rPr>
          <w:iCs/>
          <w:i/>
          <w:sz w:val="18"/>
        </w:rPr>
        <w:t xml:space="preserve"> </w:t>
      </w:r>
      <w:r>
        <w:rPr>
          <w:iCs/>
          <w:i/>
          <w:sz w:val="18"/>
        </w:rPr>
        <w:t xml:space="preserve">‘</w:t>
      </w:r>
      <w:r>
        <w:rPr>
          <w:iCs/>
          <w:i/>
          <w:sz w:val="18"/>
        </w:rPr>
        <w:t xml:space="preserve">huge redeployment plans</w:t>
      </w:r>
      <w:r>
        <w:rPr>
          <w:iCs/>
          <w:i/>
          <w:sz w:val="18"/>
        </w:rPr>
        <w:t xml:space="preserve">’</w:t>
      </w:r>
      <w:r>
        <w:rPr>
          <w:sz w:val="18"/>
        </w:rPr>
        <w:t xml:space="preserve"> </w:t>
      </w:r>
      <w:r>
        <w:rPr>
          <w:sz w:val="18"/>
        </w:rPr>
        <w:t xml:space="preserve">(Q4-2025 disclosures incl. software engineer efficiency improved 10%). 25 February 2026. https://www.hrgrapevine.com/us/content/article/2026-02-25-jpmorgan-ceo-jamie-dimon-says-society-must-consider-ai-job-impact</w:t>
      </w:r>
    </w:p>
    <w:p>
      <w:pPr>
        <w:pStyle w:val="BodyText"/>
        <w:spacing w:after="60"/>
      </w:pPr>
      <w:r>
        <w:rPr>
          <w:sz w:val="18"/>
        </w:rPr>
        <w:t xml:space="preserve">[153] Tekedia.</w:t>
      </w:r>
      <w:r>
        <w:rPr>
          <w:sz w:val="18"/>
        </w:rPr>
        <w:t xml:space="preserve"> </w:t>
      </w:r>
      <w:r>
        <w:rPr>
          <w:iCs/>
          <w:i/>
          <w:sz w:val="18"/>
        </w:rPr>
        <w:t xml:space="preserve">JPMorgan raises the bar for engineers, ties performance to AI adoption</w:t>
      </w:r>
      <w:r>
        <w:rPr>
          <w:sz w:val="18"/>
        </w:rPr>
        <w:t xml:space="preserve"> </w:t>
      </w:r>
      <w:r>
        <w:rPr>
          <w:sz w:val="18"/>
        </w:rPr>
        <w:t xml:space="preserve">(reporting Business Insider), 27 March 2026; AI News,</w:t>
      </w:r>
      <w:r>
        <w:rPr>
          <w:sz w:val="18"/>
        </w:rPr>
        <w:t xml:space="preserve"> </w:t>
      </w:r>
      <w:r>
        <w:rPr>
          <w:iCs/>
          <w:i/>
          <w:sz w:val="18"/>
        </w:rPr>
        <w:t xml:space="preserve">JPMorgan begins tracking how employees use AI at work</w:t>
      </w:r>
      <w:r>
        <w:rPr>
          <w:sz w:val="18"/>
        </w:rPr>
        <w:t xml:space="preserve">, 30 March 2026. https://www.tekedia.com/jpmorgan-raises-the-bar-for-engineers-ties-performance-to-ai-adoption/</w:t>
      </w:r>
    </w:p>
    <w:p>
      <w:pPr>
        <w:pStyle w:val="BodyText"/>
        <w:spacing w:after="60"/>
      </w:pPr>
      <w:r>
        <w:rPr>
          <w:sz w:val="18"/>
        </w:rPr>
        <w:t xml:space="preserve">[154] JPMorganChase.</w:t>
      </w:r>
      <w:r>
        <w:rPr>
          <w:sz w:val="18"/>
        </w:rPr>
        <w:t xml:space="preserve"> </w:t>
      </w:r>
      <w:r>
        <w:rPr>
          <w:iCs/>
          <w:i/>
          <w:sz w:val="18"/>
        </w:rPr>
        <w:t xml:space="preserve">Innovation for business impact: Key takeaways from JPMorganChase’s 11th Innovation Week</w:t>
      </w:r>
      <w:r>
        <w:rPr>
          <w:sz w:val="18"/>
        </w:rPr>
        <w:t xml:space="preserve">. 15 June 2026. https://www.jpmorganchase.com/about/technology/blog/key-takeaways-from-innovation-week-2026</w:t>
      </w:r>
    </w:p>
    <w:p>
      <w:pPr>
        <w:pStyle w:val="BodyText"/>
        <w:spacing w:after="60"/>
      </w:pPr>
      <w:r>
        <w:rPr>
          <w:sz w:val="18"/>
        </w:rPr>
        <w:t xml:space="preserve">[155] Dimon, J.</w:t>
      </w:r>
      <w:r>
        <w:rPr>
          <w:sz w:val="18"/>
        </w:rPr>
        <w:t xml:space="preserve"> </w:t>
      </w:r>
      <w:r>
        <w:rPr>
          <w:iCs/>
          <w:i/>
          <w:sz w:val="18"/>
        </w:rPr>
        <w:t xml:space="preserve">Letter to Shareholders, Annual Report 2025</w:t>
      </w:r>
      <w:r>
        <w:rPr>
          <w:sz w:val="18"/>
        </w:rPr>
        <w:t xml:space="preserve">. JPMorganChase, 6 April 2026. https://www.jpmorganchase.com/ir/annual-report/2025/ar-ceo-letters</w:t>
      </w:r>
    </w:p>
    <w:p>
      <w:pPr>
        <w:pStyle w:val="BodyText"/>
        <w:spacing w:after="60"/>
      </w:pPr>
      <w:r>
        <w:rPr>
          <w:sz w:val="18"/>
        </w:rPr>
        <w:t xml:space="preserve">[156] Evident Insights.</w:t>
      </w:r>
      <w:r>
        <w:rPr>
          <w:sz w:val="18"/>
        </w:rPr>
        <w:t xml:space="preserve"> </w:t>
      </w:r>
      <w:r>
        <w:rPr>
          <w:iCs/>
          <w:i/>
          <w:sz w:val="18"/>
        </w:rPr>
        <w:t xml:space="preserve">Evident AI Index, 4th edition</w:t>
      </w:r>
      <w:r>
        <w:rPr>
          <w:sz w:val="18"/>
        </w:rPr>
        <w:t xml:space="preserve"> </w:t>
      </w:r>
      <w:r>
        <w:rPr>
          <w:sz w:val="18"/>
        </w:rPr>
        <w:t xml:space="preserve">(50 largest banks; talent, innovation, leadership, transparency). October 2025. https://evidentinsights.com/ai-index/</w:t>
      </w:r>
    </w:p>
    <w:p>
      <w:pPr>
        <w:pStyle w:val="BodyText"/>
        <w:spacing w:after="60"/>
      </w:pPr>
      <w:r>
        <w:rPr>
          <w:sz w:val="18"/>
        </w:rPr>
        <w:t xml:space="preserve">[157] Gnanasambandam, C. et al. </w:t>
      </w:r>
      <w:r>
        <w:rPr>
          <w:iCs/>
          <w:i/>
          <w:sz w:val="18"/>
        </w:rPr>
        <w:t xml:space="preserve">Yes, you can measure software developer productivity</w:t>
      </w:r>
      <w:r>
        <w:rPr>
          <w:sz w:val="18"/>
        </w:rPr>
        <w:t xml:space="preserve">. McKinsey, 17 August 2023; Beck, K., Orosz, G.</w:t>
      </w:r>
      <w:r>
        <w:rPr>
          <w:sz w:val="18"/>
        </w:rPr>
        <w:t xml:space="preserve"> </w:t>
      </w:r>
      <w:r>
        <w:rPr>
          <w:iCs/>
          <w:i/>
          <w:sz w:val="18"/>
        </w:rPr>
        <w:t xml:space="preserve">Measuring developer productivity? A response to McKinsey</w:t>
      </w:r>
      <w:r>
        <w:rPr>
          <w:sz w:val="18"/>
        </w:rPr>
        <w:t xml:space="preserve">. The Pragmatic Engineer, 29 August 2023. https://www.mckinsey.com/industries/technology-media-and-telecommunications/our-insights/yes-you-can-measure-software-developer-productivity ; https://newsletter.pragmaticengineer.com/p/measuring-developer-productivity</w:t>
      </w:r>
    </w:p>
    <w:p>
      <w:pPr>
        <w:pStyle w:val="BodyText"/>
        <w:spacing w:after="60"/>
      </w:pPr>
      <w:r>
        <w:rPr>
          <w:sz w:val="18"/>
        </w:rPr>
        <w:t xml:space="preserve">[158] Fortune.</w:t>
      </w:r>
      <w:r>
        <w:rPr>
          <w:sz w:val="18"/>
        </w:rPr>
        <w:t xml:space="preserve"> </w:t>
      </w:r>
      <w:r>
        <w:rPr>
          <w:iCs/>
          <w:i/>
          <w:sz w:val="18"/>
        </w:rPr>
        <w:t xml:space="preserve">Goldman Sachs rolls out GS AI Assistant firmwide</w:t>
      </w:r>
      <w:r>
        <w:rPr>
          <w:sz w:val="18"/>
        </w:rPr>
        <w:t xml:space="preserve"> </w:t>
      </w:r>
      <w:r>
        <w:rPr>
          <w:sz w:val="18"/>
        </w:rPr>
        <w:t xml:space="preserve">(Argenti memo). 24 June 2025. https://fortune.com/2025/06/24/goldman-sachs-internal-ai-assistant</w:t>
      </w:r>
    </w:p>
    <w:p>
      <w:pPr>
        <w:pStyle w:val="BodyText"/>
        <w:spacing w:after="60"/>
      </w:pPr>
      <w:r>
        <w:rPr>
          <w:sz w:val="18"/>
        </w:rPr>
        <w:t xml:space="preserve">[159] Son, H.</w:t>
      </w:r>
      <w:r>
        <w:rPr>
          <w:sz w:val="18"/>
        </w:rPr>
        <w:t xml:space="preserve"> </w:t>
      </w:r>
      <w:r>
        <w:rPr>
          <w:iCs/>
          <w:i/>
          <w:sz w:val="18"/>
        </w:rPr>
        <w:t xml:space="preserve">Goldman Sachs is piloting its first autonomous coder in major AI milestone for Wall Street</w:t>
      </w:r>
      <w:r>
        <w:rPr>
          <w:sz w:val="18"/>
        </w:rPr>
        <w:t xml:space="preserve">. CNBC, 11 July 2025 (syndicated by NBC New York); see also TechCrunch, 11 July 2025. https://www.cnbc.com/2025/07/11/goldman-sachs-autonomous-coder-pilot-marks-major-ai-milestone.html</w:t>
      </w:r>
    </w:p>
    <w:p>
      <w:pPr>
        <w:pStyle w:val="BodyText"/>
        <w:spacing w:after="60"/>
      </w:pPr>
      <w:r>
        <w:rPr>
          <w:sz w:val="18"/>
        </w:rPr>
        <w:t xml:space="preserve">[160] Son, H.</w:t>
      </w:r>
      <w:r>
        <w:rPr>
          <w:sz w:val="18"/>
        </w:rPr>
        <w:t xml:space="preserve"> </w:t>
      </w:r>
      <w:r>
        <w:rPr>
          <w:iCs/>
          <w:i/>
          <w:sz w:val="18"/>
        </w:rPr>
        <w:t xml:space="preserve">Goldman Sachs taps Anthropic’s Claude to automate accounting, compliance roles</w:t>
      </w:r>
      <w:r>
        <w:rPr>
          <w:sz w:val="18"/>
        </w:rPr>
        <w:t xml:space="preserve">. CNBC, 6 February 2026 (syndicated by PYMNTS). https://www.cnbc.com/2026/02/06/anthropic-goldman-sachs-ai-model-accounting.html</w:t>
      </w:r>
    </w:p>
    <w:p>
      <w:pPr>
        <w:pStyle w:val="BodyText"/>
        <w:spacing w:after="60"/>
      </w:pPr>
      <w:r>
        <w:rPr>
          <w:sz w:val="18"/>
        </w:rPr>
        <w:t xml:space="preserve">[161] Marr, B.</w:t>
      </w:r>
      <w:r>
        <w:rPr>
          <w:sz w:val="18"/>
        </w:rPr>
        <w:t xml:space="preserve"> </w:t>
      </w:r>
      <w:r>
        <w:rPr>
          <w:iCs/>
          <w:i/>
          <w:sz w:val="18"/>
        </w:rPr>
        <w:t xml:space="preserve">How Goldman Sachs Is Using Agentic AI For Software Engineering At Scale</w:t>
      </w:r>
      <w:r>
        <w:rPr>
          <w:sz w:val="18"/>
        </w:rPr>
        <w:t xml:space="preserve">. Forbes, 6 August 2026 (secondary synthesis; author repost at https://bernardmarr.com/how-goldman-sachs-is-using-agentic-ai-for-software-engineering-at-scale/). https://www.forbes.com/sites/bernardmarr/2026/08/06/how-goldman-sachs-is-using-agentic-ai-for-software-engineering-at-scale/</w:t>
      </w:r>
    </w:p>
    <w:p>
      <w:pPr>
        <w:pStyle w:val="BodyText"/>
        <w:spacing w:after="60"/>
      </w:pPr>
      <w:r>
        <w:rPr>
          <w:sz w:val="18"/>
        </w:rPr>
        <w:t xml:space="preserve">[162] FINOS.</w:t>
      </w:r>
      <w:r>
        <w:rPr>
          <w:sz w:val="18"/>
        </w:rPr>
        <w:t xml:space="preserve"> </w:t>
      </w:r>
      <w:r>
        <w:rPr>
          <w:iCs/>
          <w:i/>
          <w:sz w:val="18"/>
        </w:rPr>
        <w:t xml:space="preserve">Goldman Sachs Open Sources its Data Modeling Platform through FINOS</w:t>
      </w:r>
      <w:r>
        <w:rPr>
          <w:sz w:val="18"/>
        </w:rPr>
        <w:t xml:space="preserve"> </w:t>
      </w:r>
      <w:r>
        <w:rPr>
          <w:sz w:val="18"/>
        </w:rPr>
        <w:t xml:space="preserve">(Legend). 19 October 2020. https://www.finos.org/press/goldman-sachs-open-sources-its-data-modeling-platform-through-finos</w:t>
      </w:r>
    </w:p>
    <w:p>
      <w:pPr>
        <w:pStyle w:val="BodyText"/>
        <w:spacing w:after="60"/>
      </w:pPr>
      <w:r>
        <w:rPr>
          <w:sz w:val="18"/>
        </w:rPr>
        <w:t xml:space="preserve">[163] Argenti, M.</w:t>
      </w:r>
      <w:r>
        <w:rPr>
          <w:sz w:val="18"/>
        </w:rPr>
        <w:t xml:space="preserve"> </w:t>
      </w:r>
      <w:r>
        <w:rPr>
          <w:iCs/>
          <w:i/>
          <w:sz w:val="18"/>
        </w:rPr>
        <w:t xml:space="preserve">Why Engineers Should Study Philosophy</w:t>
      </w:r>
      <w:r>
        <w:rPr>
          <w:sz w:val="18"/>
        </w:rPr>
        <w:t xml:space="preserve">. Harvard Business Review, 16 April 2024. https://hbr.org/2024/04/why-engineers-should-study-philosophy</w:t>
      </w:r>
    </w:p>
    <w:p>
      <w:pPr>
        <w:pStyle w:val="BodyText"/>
        <w:spacing w:after="60"/>
      </w:pPr>
      <w:r>
        <w:rPr>
          <w:sz w:val="18"/>
        </w:rPr>
        <w:t xml:space="preserve">[164] DBS Bank.</w:t>
      </w:r>
      <w:r>
        <w:rPr>
          <w:sz w:val="18"/>
        </w:rPr>
        <w:t xml:space="preserve"> </w:t>
      </w:r>
      <w:r>
        <w:rPr>
          <w:iCs/>
          <w:i/>
          <w:sz w:val="18"/>
        </w:rPr>
        <w:t xml:space="preserve">DBS’ AI-Powered Digital Transformation</w:t>
      </w:r>
      <w:r>
        <w:rPr>
          <w:sz w:val="18"/>
        </w:rPr>
        <w:t xml:space="preserve"> </w:t>
      </w:r>
      <w:r>
        <w:rPr>
          <w:sz w:val="18"/>
        </w:rPr>
        <w:t xml:space="preserve">(ALAN, ADA, PURE). https://www.dbs.com/artificial-intelligence-machine-learning/artificial-intelligence/dbs-ai-powered-digital-transformation.html</w:t>
      </w:r>
    </w:p>
    <w:p>
      <w:pPr>
        <w:pStyle w:val="BodyText"/>
        <w:spacing w:after="60"/>
      </w:pPr>
      <w:r>
        <w:rPr>
          <w:sz w:val="18"/>
        </w:rPr>
        <w:t xml:space="preserve">[165] DBS Bank.</w:t>
      </w:r>
      <w:r>
        <w:rPr>
          <w:sz w:val="18"/>
        </w:rPr>
        <w:t xml:space="preserve"> </w:t>
      </w:r>
      <w:r>
        <w:rPr>
          <w:iCs/>
          <w:i/>
          <w:sz w:val="18"/>
        </w:rPr>
        <w:t xml:space="preserve">Singapore Fintech Festival 2025: Powering DBS’ next phase of growth with AI</w:t>
      </w:r>
      <w:r>
        <w:rPr>
          <w:sz w:val="18"/>
        </w:rPr>
        <w:t xml:space="preserve">. 12 November 2025. https://www.dbs.com/artificial-intelligence-machine-learning/artificial-intelligence/singapore-finTech-festival-2025-powering-dbs-next-phase-of-growth-with-ai.html</w:t>
      </w:r>
    </w:p>
    <w:p>
      <w:pPr>
        <w:pStyle w:val="BodyText"/>
        <w:spacing w:after="60"/>
      </w:pPr>
      <w:r>
        <w:rPr>
          <w:sz w:val="18"/>
        </w:rPr>
        <w:t xml:space="preserve">[166] DBS Bank.</w:t>
      </w:r>
      <w:r>
        <w:rPr>
          <w:sz w:val="18"/>
        </w:rPr>
        <w:t xml:space="preserve"> </w:t>
      </w:r>
      <w:r>
        <w:rPr>
          <w:iCs/>
          <w:i/>
          <w:sz w:val="18"/>
        </w:rPr>
        <w:t xml:space="preserve">AI in banking: Transforming the way we work with AI</w:t>
      </w:r>
      <w:r>
        <w:rPr>
          <w:sz w:val="18"/>
        </w:rPr>
        <w:t xml:space="preserve"> </w:t>
      </w:r>
      <w:r>
        <w:rPr>
          <w:sz w:val="18"/>
        </w:rPr>
        <w:t xml:space="preserve">(Singapore Fintech Festival 2024). 5 November 2024. https://www.dbs.com/artificial-intelligence-machine-learning/artificial-intelligence/singapore-fintech-festival-ai-in-banking-finance.html</w:t>
      </w:r>
    </w:p>
    <w:p>
      <w:pPr>
        <w:pStyle w:val="BodyText"/>
        <w:spacing w:after="60"/>
      </w:pPr>
      <w:r>
        <w:rPr>
          <w:sz w:val="18"/>
        </w:rPr>
        <w:t xml:space="preserve">[167] Tan, A.</w:t>
      </w:r>
      <w:r>
        <w:rPr>
          <w:sz w:val="18"/>
        </w:rPr>
        <w:t xml:space="preserve"> </w:t>
      </w:r>
      <w:r>
        <w:rPr>
          <w:iCs/>
          <w:i/>
          <w:sz w:val="18"/>
        </w:rPr>
        <w:t xml:space="preserve">DBS rewires operating models for AI reasoning era</w:t>
      </w:r>
      <w:r>
        <w:rPr>
          <w:sz w:val="18"/>
        </w:rPr>
        <w:t xml:space="preserve">. Computer Weekly, 9 March 2026. https://www.computerweekly.com/news/366639844/DBS-rewires-operating-models-for-AI-reasoning-era</w:t>
      </w:r>
    </w:p>
    <w:p>
      <w:pPr>
        <w:pStyle w:val="BodyText"/>
        <w:spacing w:after="60"/>
      </w:pPr>
      <w:r>
        <w:rPr>
          <w:sz w:val="18"/>
        </w:rPr>
        <w:t xml:space="preserve">[168] American Banker.</w:t>
      </w:r>
      <w:r>
        <w:rPr>
          <w:sz w:val="18"/>
        </w:rPr>
        <w:t xml:space="preserve"> </w:t>
      </w:r>
      <w:r>
        <w:rPr>
          <w:iCs/>
          <w:i/>
          <w:sz w:val="18"/>
        </w:rPr>
        <w:t xml:space="preserve">Citi is rolling out agentic AI to its 40,000 developers</w:t>
      </w:r>
      <w:r>
        <w:rPr>
          <w:sz w:val="18"/>
        </w:rPr>
        <w:t xml:space="preserve">. 14 July 2025. https://www.americanbanker.com/news/citi-is-rolling-out-agentic-ai-to-its-40-000-developers</w:t>
      </w:r>
    </w:p>
    <w:p>
      <w:pPr>
        <w:pStyle w:val="BodyText"/>
        <w:spacing w:after="60"/>
      </w:pPr>
      <w:r>
        <w:rPr>
          <w:sz w:val="18"/>
        </w:rPr>
        <w:t xml:space="preserve">[169] Constellation Research.</w:t>
      </w:r>
      <w:r>
        <w:rPr>
          <w:sz w:val="18"/>
        </w:rPr>
        <w:t xml:space="preserve"> </w:t>
      </w:r>
      <w:r>
        <w:rPr>
          <w:iCs/>
          <w:i/>
          <w:sz w:val="18"/>
        </w:rPr>
        <w:t xml:space="preserve">Citigroup AI agent pilot underway for 5,000 workers</w:t>
      </w:r>
      <w:r>
        <w:rPr>
          <w:sz w:val="18"/>
        </w:rPr>
        <w:t xml:space="preserve">. 15 October 2025; Citigroup press release,</w:t>
      </w:r>
      <w:r>
        <w:rPr>
          <w:sz w:val="18"/>
        </w:rPr>
        <w:t xml:space="preserve"> </w:t>
      </w:r>
      <w:r>
        <w:rPr>
          <w:iCs/>
          <w:i/>
          <w:sz w:val="18"/>
        </w:rPr>
        <w:t xml:space="preserve">Citi unveils Citi Stylus Workspaces with agentic AI</w:t>
      </w:r>
      <w:r>
        <w:rPr>
          <w:sz w:val="18"/>
        </w:rPr>
        <w:t xml:space="preserve">, 22 September 2025. https://www.constellationr.com/insights/news/citigroup-ai-agent-pilot-underway-5000-workers</w:t>
      </w:r>
    </w:p>
    <w:p>
      <w:pPr>
        <w:pStyle w:val="BodyText"/>
        <w:spacing w:after="60"/>
      </w:pPr>
      <w:r>
        <w:rPr>
          <w:sz w:val="18"/>
        </w:rPr>
        <w:t xml:space="preserve">[170] OpenAI.</w:t>
      </w:r>
      <w:r>
        <w:rPr>
          <w:sz w:val="18"/>
        </w:rPr>
        <w:t xml:space="preserve"> </w:t>
      </w:r>
      <w:r>
        <w:rPr>
          <w:iCs/>
          <w:i/>
          <w:sz w:val="18"/>
        </w:rPr>
        <w:t xml:space="preserve">Morgan Stanley uses AI evals to shape the future of financial services</w:t>
      </w:r>
      <w:r>
        <w:rPr>
          <w:sz w:val="18"/>
        </w:rPr>
        <w:t xml:space="preserve">. Customer story, 2024. https://openai.com/index/morgan-stanley/</w:t>
      </w:r>
    </w:p>
    <w:p>
      <w:pPr>
        <w:pStyle w:val="BodyText"/>
        <w:spacing w:after="60"/>
      </w:pPr>
      <w:r>
        <w:rPr>
          <w:sz w:val="18"/>
        </w:rPr>
        <w:t xml:space="preserve">[171] Bousquette, I.</w:t>
      </w:r>
      <w:r>
        <w:rPr>
          <w:sz w:val="18"/>
        </w:rPr>
        <w:t xml:space="preserve"> </w:t>
      </w:r>
      <w:r>
        <w:rPr>
          <w:iCs/>
          <w:i/>
          <w:sz w:val="18"/>
        </w:rPr>
        <w:t xml:space="preserve">How Morgan Stanley Tackled One of Coding’s Toughest Problems</w:t>
      </w:r>
      <w:r>
        <w:rPr>
          <w:sz w:val="18"/>
        </w:rPr>
        <w:t xml:space="preserve">. Wall Street Journal, June 2025 (as summarised by Entrepreneur). https://www.entrepreneur.com/business-news/morgan-stanley-builds-ai-tool-that-fixes-major-coding-issue/492697</w:t>
      </w:r>
    </w:p>
    <w:p>
      <w:pPr>
        <w:pStyle w:val="BodyText"/>
        <w:spacing w:after="60"/>
      </w:pPr>
      <w:r>
        <w:rPr>
          <w:sz w:val="18"/>
        </w:rPr>
        <w:t xml:space="preserve">[172] Tom’s Hardware.</w:t>
      </w:r>
      <w:r>
        <w:rPr>
          <w:sz w:val="18"/>
        </w:rPr>
        <w:t xml:space="preserve"> </w:t>
      </w:r>
      <w:r>
        <w:rPr>
          <w:iCs/>
          <w:i/>
          <w:sz w:val="18"/>
        </w:rPr>
        <w:t xml:space="preserve">Shopify CEO: teams must prove AI can’t do a task before asking for new hires</w:t>
      </w:r>
      <w:r>
        <w:rPr>
          <w:sz w:val="18"/>
        </w:rPr>
        <w:t xml:space="preserve"> </w:t>
      </w:r>
      <w:r>
        <w:rPr>
          <w:sz w:val="18"/>
        </w:rPr>
        <w:t xml:space="preserve">(Lütke memo). 7 April 2025. https://www.tomshardware.com/tech-industry/artificial-intelligence/shopify-ceo-teams-must-prove-ai-cant-do-a-task-before-asking-for-new-hires-resources</w:t>
      </w:r>
    </w:p>
    <w:p>
      <w:pPr>
        <w:pStyle w:val="BodyText"/>
        <w:spacing w:after="60"/>
      </w:pPr>
      <w:r>
        <w:rPr>
          <w:sz w:val="18"/>
        </w:rPr>
        <w:t xml:space="preserve">[173] TechRadar,</w:t>
      </w:r>
      <w:r>
        <w:rPr>
          <w:sz w:val="18"/>
        </w:rPr>
        <w:t xml:space="preserve"> </w:t>
      </w:r>
      <w:r>
        <w:rPr>
          <w:iCs/>
          <w:i/>
          <w:sz w:val="18"/>
        </w:rPr>
        <w:t xml:space="preserve">Salesforce CEO says no plans to hire more engineers as AI is doing a great job</w:t>
      </w:r>
      <w:r>
        <w:rPr>
          <w:sz w:val="18"/>
        </w:rPr>
        <w:t xml:space="preserve">, 28 February 2025; Fortune,</w:t>
      </w:r>
      <w:r>
        <w:rPr>
          <w:sz w:val="18"/>
        </w:rPr>
        <w:t xml:space="preserve"> </w:t>
      </w:r>
      <w:r>
        <w:rPr>
          <w:iCs/>
          <w:i/>
          <w:sz w:val="18"/>
        </w:rPr>
        <w:t xml:space="preserve">Benioff on agents, jobs and customer service headcount</w:t>
      </w:r>
      <w:r>
        <w:rPr>
          <w:sz w:val="18"/>
        </w:rPr>
        <w:t xml:space="preserve">, 2 September 2025. https://www.techradar.com/pro/salesforce-ceo-says-no-plans-to-hire-more-engineers-as-ai-is-doing-a-great-job</w:t>
      </w:r>
    </w:p>
    <w:p>
      <w:pPr>
        <w:pStyle w:val="BodyText"/>
        <w:spacing w:after="60"/>
      </w:pPr>
      <w:r>
        <w:rPr>
          <w:sz w:val="18"/>
        </w:rPr>
        <w:t xml:space="preserve">[174] Fortune.</w:t>
      </w:r>
      <w:r>
        <w:rPr>
          <w:sz w:val="18"/>
        </w:rPr>
        <w:t xml:space="preserve"> </w:t>
      </w:r>
      <w:r>
        <w:rPr>
          <w:iCs/>
          <w:i/>
          <w:sz w:val="18"/>
        </w:rPr>
        <w:t xml:space="preserve">Klarna: humans return after AI customer-service push</w:t>
      </w:r>
      <w:r>
        <w:rPr>
          <w:sz w:val="18"/>
        </w:rPr>
        <w:t xml:space="preserve"> </w:t>
      </w:r>
      <w:r>
        <w:rPr>
          <w:sz w:val="18"/>
        </w:rPr>
        <w:t xml:space="preserve">(Siemiatkowski interview). 9 May 2025; CX Dive, 9 May 2025. https://www.fortune.com/2025/05/09/klarna-ai-humans-return-on-investment</w:t>
      </w:r>
    </w:p>
    <w:p>
      <w:pPr>
        <w:pStyle w:val="BodyText"/>
        <w:spacing w:after="60"/>
      </w:pPr>
      <w:r>
        <w:rPr>
          <w:sz w:val="18"/>
        </w:rPr>
        <w:t xml:space="preserve">[175] Monetary Authority of Singapore.</w:t>
      </w:r>
      <w:r>
        <w:rPr>
          <w:sz w:val="18"/>
        </w:rPr>
        <w:t xml:space="preserve"> </w:t>
      </w:r>
      <w:r>
        <w:rPr>
          <w:iCs/>
          <w:i/>
          <w:sz w:val="18"/>
        </w:rPr>
        <w:t xml:space="preserve">Technology Risk Management Guidelines</w:t>
      </w:r>
      <w:r>
        <w:rPr>
          <w:sz w:val="18"/>
        </w:rPr>
        <w:t xml:space="preserve">. 18 January 2021 (summary of revisions by PwC Singapore). https://www.pwc.com/sg/en/risk-assurance/assets/revisions-to-guidelines-on-technology-risk-management.pdf</w:t>
      </w:r>
    </w:p>
    <w:p>
      <w:pPr>
        <w:pStyle w:val="BodyText"/>
        <w:spacing w:after="60"/>
      </w:pPr>
      <w:r>
        <w:rPr>
          <w:sz w:val="18"/>
        </w:rPr>
        <w:t xml:space="preserve">[176] New York State Department of Financial Services.</w:t>
      </w:r>
      <w:r>
        <w:rPr>
          <w:sz w:val="18"/>
        </w:rPr>
        <w:t xml:space="preserve"> </w:t>
      </w:r>
      <w:r>
        <w:rPr>
          <w:iCs/>
          <w:i/>
          <w:sz w:val="18"/>
        </w:rPr>
        <w:t xml:space="preserve">23 NYCRR Part 500, Cybersecurity Requirements for Financial Services Companies</w:t>
      </w:r>
      <w:r>
        <w:rPr>
          <w:sz w:val="18"/>
        </w:rPr>
        <w:t xml:space="preserve"> </w:t>
      </w:r>
      <w:r>
        <w:rPr>
          <w:sz w:val="18"/>
        </w:rPr>
        <w:t xml:space="preserve">(second amendment, 1 November 2023), section 500.8 Application security. https://www.law.cornell.edu/regulations/new-york/23-NYCRR-500.8</w:t>
      </w:r>
    </w:p>
    <w:p>
      <w:pPr>
        <w:pStyle w:val="BodyText"/>
        <w:spacing w:after="60"/>
      </w:pPr>
      <w:r>
        <w:rPr>
          <w:sz w:val="18"/>
        </w:rPr>
        <w:t xml:space="preserve">[177] FFIEC.</w:t>
      </w:r>
      <w:r>
        <w:rPr>
          <w:sz w:val="18"/>
        </w:rPr>
        <w:t xml:space="preserve"> </w:t>
      </w:r>
      <w:r>
        <w:rPr>
          <w:iCs/>
          <w:i/>
          <w:sz w:val="18"/>
        </w:rPr>
        <w:t xml:space="preserve">Development, Acquisition, and Maintenance</w:t>
      </w:r>
      <w:r>
        <w:rPr>
          <w:sz w:val="18"/>
        </w:rPr>
        <w:t xml:space="preserve"> </w:t>
      </w:r>
      <w:r>
        <w:rPr>
          <w:sz w:val="18"/>
        </w:rPr>
        <w:t xml:space="preserve">booklet, IT Examination Handbook. August 2024 (press release 29 August 2024). https://www.ffiec.gov/news/press-releases/2024/pr-09-29</w:t>
      </w:r>
    </w:p>
    <w:p>
      <w:pPr>
        <w:pStyle w:val="BodyText"/>
        <w:spacing w:after="60"/>
      </w:pPr>
      <w:r>
        <w:rPr>
          <w:sz w:val="18"/>
        </w:rPr>
        <w:t xml:space="preserve">[178] NIST.</w:t>
      </w:r>
      <w:r>
        <w:rPr>
          <w:sz w:val="18"/>
        </w:rPr>
        <w:t xml:space="preserve"> </w:t>
      </w:r>
      <w:r>
        <w:rPr>
          <w:iCs/>
          <w:i/>
          <w:sz w:val="18"/>
        </w:rPr>
        <w:t xml:space="preserve">Secure Software Development Practices for Generative AI and Dual-Use Foundation Models: An SSDF Community Profile</w:t>
      </w:r>
      <w:r>
        <w:rPr>
          <w:sz w:val="18"/>
        </w:rPr>
        <w:t xml:space="preserve">, SP 800-218A. July 2024. https://csrc.nist.gov/pubs/sp/800/218/a/final</w:t>
      </w:r>
    </w:p>
    <w:p>
      <w:pPr>
        <w:pStyle w:val="BodyText"/>
        <w:spacing w:after="60"/>
      </w:pPr>
      <w:r>
        <w:rPr>
          <w:sz w:val="18"/>
        </w:rPr>
        <w:t xml:space="preserve">[179] UK NCSC, US CISA et al. </w:t>
      </w:r>
      <w:r>
        <w:rPr>
          <w:iCs/>
          <w:i/>
          <w:sz w:val="18"/>
        </w:rPr>
        <w:t xml:space="preserve">Guidelines for secure AI system development</w:t>
      </w:r>
      <w:r>
        <w:rPr>
          <w:sz w:val="18"/>
        </w:rPr>
        <w:t xml:space="preserve">. 27 November 2023. https://www.ncsc.gov.uk/collection/guidelines-secure-ai-system-development</w:t>
      </w:r>
    </w:p>
    <w:p>
      <w:pPr>
        <w:pStyle w:val="BodyText"/>
        <w:spacing w:after="60"/>
      </w:pPr>
      <w:r>
        <w:rPr>
          <w:sz w:val="18"/>
        </w:rPr>
        <w:t xml:space="preserve">[180] PCI Security Standards Council.</w:t>
      </w:r>
      <w:r>
        <w:rPr>
          <w:sz w:val="18"/>
        </w:rPr>
        <w:t xml:space="preserve"> </w:t>
      </w:r>
      <w:r>
        <w:rPr>
          <w:iCs/>
          <w:i/>
          <w:sz w:val="18"/>
        </w:rPr>
        <w:t xml:space="preserve">PCI DSS v4.0.1, Requirement 6: Develop and maintain secure systems and software</w:t>
      </w:r>
      <w:r>
        <w:rPr>
          <w:sz w:val="18"/>
        </w:rPr>
        <w:t xml:space="preserve"> </w:t>
      </w:r>
      <w:r>
        <w:rPr>
          <w:sz w:val="18"/>
        </w:rPr>
        <w:t xml:space="preserve">(as mapped in Microsoft Learn). https://learn.microsoft.com/en-us/entra/standards/pci-requirement-6</w:t>
      </w:r>
    </w:p>
    <w:p>
      <w:pPr>
        <w:pStyle w:val="BodyText"/>
        <w:spacing w:after="60"/>
      </w:pPr>
      <w:r>
        <w:rPr>
          <w:sz w:val="18"/>
        </w:rPr>
        <w:t xml:space="preserve">[181] Regulation (EU) 2024/2847 on horizontal cybersecurity requirements for products with digital elements (Cyber Resilience Act). 23 October 2024; in force 10 December 2024; reporting obligations from September 2026, full application December 2027. https://eur-lex.europa.eu/eli/reg/2024/2847/oj/eng</w:t>
      </w:r>
    </w:p>
    <w:p>
      <w:pPr>
        <w:pStyle w:val="BodyText"/>
        <w:spacing w:after="60"/>
      </w:pPr>
      <w:r>
        <w:rPr>
          <w:sz w:val="18"/>
        </w:rPr>
        <w:t xml:space="preserve">[182] OpenSSF.</w:t>
      </w:r>
      <w:r>
        <w:rPr>
          <w:sz w:val="18"/>
        </w:rPr>
        <w:t xml:space="preserve"> </w:t>
      </w:r>
      <w:r>
        <w:rPr>
          <w:iCs/>
          <w:i/>
          <w:sz w:val="18"/>
        </w:rPr>
        <w:t xml:space="preserve">SLSA v1.2 specification</w:t>
      </w:r>
      <w:r>
        <w:rPr>
          <w:sz w:val="18"/>
        </w:rPr>
        <w:t xml:space="preserve">; OWASP CycloneDX,</w:t>
      </w:r>
      <w:r>
        <w:rPr>
          <w:sz w:val="18"/>
        </w:rPr>
        <w:t xml:space="preserve"> </w:t>
      </w:r>
      <w:r>
        <w:rPr>
          <w:iCs/>
          <w:i/>
          <w:sz w:val="18"/>
        </w:rPr>
        <w:t xml:space="preserve">ML-BOM (ECMA-424)</w:t>
      </w:r>
      <w:r>
        <w:rPr>
          <w:sz w:val="18"/>
        </w:rPr>
        <w:t xml:space="preserve">. https://slsa.dev/spec/v1.2/ ; https://cyclonedx.org/capabilities/mlbom/</w:t>
      </w:r>
    </w:p>
    <w:p>
      <w:pPr>
        <w:pStyle w:val="BodyText"/>
        <w:spacing w:after="60"/>
      </w:pPr>
      <w:r>
        <w:rPr>
          <w:sz w:val="18"/>
        </w:rPr>
        <w:t xml:space="preserve">[183] Regulation (EU) 2022/2554 on digital operational resilience for the financial sector (DORA). Applicable 17 January 2025. https://eur-lex.europa.eu/eli/reg/2022/2554/oj/eng</w:t>
      </w:r>
    </w:p>
    <w:p>
      <w:pPr>
        <w:pStyle w:val="BodyText"/>
        <w:spacing w:after="60"/>
      </w:pPr>
      <w:r>
        <w:rPr>
          <w:sz w:val="18"/>
        </w:rPr>
        <w:t xml:space="preserve">[184] Monetary Authority of Singapore.</w:t>
      </w:r>
      <w:r>
        <w:rPr>
          <w:sz w:val="18"/>
        </w:rPr>
        <w:t xml:space="preserve"> </w:t>
      </w:r>
      <w:r>
        <w:rPr>
          <w:iCs/>
          <w:i/>
          <w:sz w:val="18"/>
        </w:rPr>
        <w:t xml:space="preserve">Artificial Intelligence Model Risk Management: Observations from a Thematic Review</w:t>
      </w:r>
      <w:r>
        <w:rPr>
          <w:sz w:val="18"/>
        </w:rPr>
        <w:t xml:space="preserve">. Information paper, 5 December 2024. https://www.mas.gov.sg/publications/monographs-or-information-paper/2024/artificial-intelligence-model-risk-management ; summary: https://www.clydeco.com/en/insights/2024/12/singapore-s-ai-model-risk-management-paper-key-ins</w:t>
      </w:r>
    </w:p>
    <w:p>
      <w:pPr>
        <w:pStyle w:val="BodyText"/>
        <w:spacing w:after="60"/>
      </w:pPr>
      <w:r>
        <w:rPr>
          <w:sz w:val="18"/>
        </w:rPr>
        <w:t xml:space="preserve">[185] MAS / Project MindForge consortium.</w:t>
      </w:r>
      <w:r>
        <w:rPr>
          <w:sz w:val="18"/>
        </w:rPr>
        <w:t xml:space="preserve"> </w:t>
      </w:r>
      <w:r>
        <w:rPr>
          <w:iCs/>
          <w:i/>
          <w:sz w:val="18"/>
        </w:rPr>
        <w:t xml:space="preserve">AI Risk Management Executive Handbook</w:t>
      </w:r>
      <w:r>
        <w:rPr>
          <w:sz w:val="18"/>
        </w:rPr>
        <w:t xml:space="preserve"> </w:t>
      </w:r>
      <w:r>
        <w:rPr>
          <w:sz w:val="18"/>
        </w:rPr>
        <w:t xml:space="preserve">(January 2026) and</w:t>
      </w:r>
      <w:r>
        <w:rPr>
          <w:sz w:val="18"/>
        </w:rPr>
        <w:t xml:space="preserve"> </w:t>
      </w:r>
      <w:r>
        <w:rPr>
          <w:iCs/>
          <w:i/>
          <w:sz w:val="18"/>
        </w:rPr>
        <w:t xml:space="preserve">Operationalisation Handbook</w:t>
      </w:r>
      <w:r>
        <w:rPr>
          <w:sz w:val="18"/>
        </w:rPr>
        <w:t xml:space="preserve"> </w:t>
      </w:r>
      <w:r>
        <w:rPr>
          <w:sz w:val="18"/>
        </w:rPr>
        <w:t xml:space="preserve">(20 March 2026). https://www.mas.gov.sg/-/media/mas-media-library/schemes-and-initiatives/ftig/project-mindforge/mindforge-ai-risk-management-operationalisation-handbook.pdf ; summary: https://financialregulation.linklaters.com/post/102m25l/singapore-mas-consortium-releases-comprehensive-ai-risk-management-handbook-for</w:t>
      </w:r>
    </w:p>
    <w:p>
      <w:pPr>
        <w:pStyle w:val="BodyText"/>
        <w:spacing w:after="60"/>
      </w:pPr>
      <w:r>
        <w:rPr>
          <w:sz w:val="18"/>
        </w:rPr>
        <w:t xml:space="preserve">[186] Regulation (EU) 2024/1689 of the European Parliament and of the Council (Artificial Intelligence Act). Official Journal, 12 July 2024. https://eur-lex.europa.eu/eli/reg/2024/1689/oj/eng</w:t>
      </w:r>
    </w:p>
    <w:p>
      <w:pPr>
        <w:pStyle w:val="BodyText"/>
        <w:spacing w:after="60"/>
      </w:pPr>
      <w:r>
        <w:rPr>
          <w:sz w:val="18"/>
        </w:rPr>
        <w:t xml:space="preserve">[187] OWASP GenAI Security Project.</w:t>
      </w:r>
      <w:r>
        <w:rPr>
          <w:sz w:val="18"/>
        </w:rPr>
        <w:t xml:space="preserve"> </w:t>
      </w:r>
      <w:r>
        <w:rPr>
          <w:iCs/>
          <w:i/>
          <w:sz w:val="18"/>
        </w:rPr>
        <w:t xml:space="preserve">OWASP Top 10 for LLM Applications 2025</w:t>
      </w:r>
      <w:r>
        <w:rPr>
          <w:sz w:val="18"/>
        </w:rPr>
        <w:t xml:space="preserve">. https://genai.owasp.org/llm-top-10/</w:t>
      </w:r>
    </w:p>
    <w:p>
      <w:pPr>
        <w:pStyle w:val="BodyText"/>
        <w:spacing w:after="60"/>
      </w:pPr>
      <w:r>
        <w:rPr>
          <w:sz w:val="18"/>
        </w:rPr>
        <w:t xml:space="preserve">[188] NIST Center for AI Standards and Innovation.</w:t>
      </w:r>
      <w:r>
        <w:rPr>
          <w:sz w:val="18"/>
        </w:rPr>
        <w:t xml:space="preserve"> </w:t>
      </w:r>
      <w:r>
        <w:rPr>
          <w:iCs/>
          <w:i/>
          <w:sz w:val="18"/>
        </w:rPr>
        <w:t xml:space="preserve">AI Agent Standards Initiative</w:t>
      </w:r>
      <w:r>
        <w:rPr>
          <w:sz w:val="18"/>
        </w:rPr>
        <w:t xml:space="preserve"> </w:t>
      </w:r>
      <w:r>
        <w:rPr>
          <w:sz w:val="18"/>
        </w:rPr>
        <w:t xml:space="preserve">(announced 17 February 2026; RFI on AI agent security; NCCoE agent identity and authorization concept paper). https://www.nist.gov/artificial-intelligence/ai-agent-standards-initiative</w:t>
      </w:r>
    </w:p>
    <w:p>
      <w:pPr>
        <w:pStyle w:val="BodyText"/>
        <w:spacing w:after="60"/>
      </w:pPr>
      <w:r>
        <w:rPr>
          <w:sz w:val="18"/>
        </w:rPr>
        <w:t xml:space="preserve">[189] NSA AI Security Center, CISA, FBI et al. </w:t>
      </w:r>
      <w:r>
        <w:rPr>
          <w:iCs/>
          <w:i/>
          <w:sz w:val="18"/>
        </w:rPr>
        <w:t xml:space="preserve">AI Data Security: Best Practices for Securing Data Used to Train and Operate AI Systems</w:t>
      </w:r>
      <w:r>
        <w:rPr>
          <w:sz w:val="18"/>
        </w:rPr>
        <w:t xml:space="preserve">. May 2025. https://media.defense.gov/2025/May/22/2003720601/-1/-1/0/CSI_AI_DATA_SECURITY.PDF</w:t>
      </w:r>
    </w:p>
    <w:p>
      <w:pPr>
        <w:pStyle w:val="BodyText"/>
        <w:spacing w:after="60"/>
      </w:pPr>
      <w:r>
        <w:rPr>
          <w:sz w:val="18"/>
        </w:rPr>
        <w:t xml:space="preserve">[190] United States Copyright Office.</w:t>
      </w:r>
      <w:r>
        <w:rPr>
          <w:sz w:val="18"/>
        </w:rPr>
        <w:t xml:space="preserve"> </w:t>
      </w:r>
      <w:r>
        <w:rPr>
          <w:iCs/>
          <w:i/>
          <w:sz w:val="18"/>
        </w:rPr>
        <w:t xml:space="preserve">Copyright and Artificial Intelligence, Part 2: Copyrightability</w:t>
      </w:r>
      <w:r>
        <w:rPr>
          <w:sz w:val="18"/>
        </w:rPr>
        <w:t xml:space="preserve">. January 2025. https://www.copyright.gov/ai/Copyright-and-Artificial-Intelligence-Part-2-Copyrightability-Report.pdf</w:t>
      </w:r>
    </w:p>
    <w:p>
      <w:pPr>
        <w:pStyle w:val="BodyText"/>
        <w:spacing w:after="60"/>
      </w:pPr>
      <w:r>
        <w:rPr>
          <w:sz w:val="18"/>
        </w:rPr>
        <w:t xml:space="preserve">[191] Joseph Saveri Law Firm / Butterick, M.</w:t>
      </w:r>
      <w:r>
        <w:rPr>
          <w:sz w:val="18"/>
        </w:rPr>
        <w:t xml:space="preserve"> </w:t>
      </w:r>
      <w:r>
        <w:rPr>
          <w:iCs/>
          <w:i/>
          <w:sz w:val="18"/>
        </w:rPr>
        <w:t xml:space="preserve">GitHub Copilot litigation (Doe v. GitHub): case updates</w:t>
      </w:r>
      <w:r>
        <w:rPr>
          <w:sz w:val="18"/>
        </w:rPr>
        <w:t xml:space="preserve">. Status as of 9 April 2025. https://githubcopilotlitigation.com/case-updates.html</w:t>
      </w:r>
    </w:p>
    <w:p>
      <w:pPr>
        <w:pStyle w:val="BodyText"/>
        <w:spacing w:after="60"/>
      </w:pPr>
      <w:r>
        <w:rPr>
          <w:sz w:val="18"/>
        </w:rPr>
        <w:t xml:space="preserve">[192] Bank of England, Prudential Regulation Authority.</w:t>
      </w:r>
      <w:r>
        <w:rPr>
          <w:sz w:val="18"/>
        </w:rPr>
        <w:t xml:space="preserve"> </w:t>
      </w:r>
      <w:r>
        <w:rPr>
          <w:iCs/>
          <w:i/>
          <w:sz w:val="18"/>
        </w:rPr>
        <w:t xml:space="preserve">SS1/23: Model risk management principles for banks</w:t>
      </w:r>
      <w:r>
        <w:rPr>
          <w:sz w:val="18"/>
        </w:rPr>
        <w:t xml:space="preserve">. May 2023 (effective 17 May 2024; updated April 2026). https://www.bankofengland.co.uk/prudential-regulation/publication/2023/may/model-risk-management-principles-for-banks-ss</w:t>
      </w:r>
    </w:p>
    <w:p>
      <w:pPr>
        <w:pStyle w:val="BodyText"/>
        <w:spacing w:after="60"/>
      </w:pPr>
      <w:r>
        <w:rPr>
          <w:sz w:val="18"/>
        </w:rPr>
        <w:t xml:space="preserve">[193] Anthropic.</w:t>
      </w:r>
      <w:r>
        <w:rPr>
          <w:sz w:val="18"/>
        </w:rPr>
        <w:t xml:space="preserve"> </w:t>
      </w:r>
      <w:r>
        <w:rPr>
          <w:iCs/>
          <w:i/>
          <w:sz w:val="18"/>
        </w:rPr>
        <w:t xml:space="preserve">Claude Code sandboxing</w:t>
      </w:r>
      <w:r>
        <w:rPr>
          <w:sz w:val="18"/>
        </w:rPr>
        <w:t xml:space="preserve"> </w:t>
      </w:r>
      <w:r>
        <w:rPr>
          <w:sz w:val="18"/>
        </w:rPr>
        <w:t xml:space="preserve">(20 October 2025) and Hughes, J. et al.,</w:t>
      </w:r>
      <w:r>
        <w:rPr>
          <w:sz w:val="18"/>
        </w:rPr>
        <w:t xml:space="preserve"> </w:t>
      </w:r>
      <w:r>
        <w:rPr>
          <w:iCs/>
          <w:i/>
          <w:sz w:val="18"/>
        </w:rPr>
        <w:t xml:space="preserve">Claude Code auto mode</w:t>
      </w:r>
      <w:r>
        <w:rPr>
          <w:sz w:val="18"/>
        </w:rPr>
        <w:t xml:space="preserve"> </w:t>
      </w:r>
      <w:r>
        <w:rPr>
          <w:sz w:val="18"/>
        </w:rPr>
        <w:t xml:space="preserve">(25 March 2026). https://www.anthropic.com/engineering/claude-code-sandboxing ; https://www.anthropic.com/engineering/claude-code-auto-mode</w:t>
      </w:r>
    </w:p>
    <w:p>
      <w:pPr>
        <w:pStyle w:val="BodyText"/>
        <w:spacing w:after="60"/>
      </w:pPr>
      <w:r>
        <w:rPr>
          <w:sz w:val="18"/>
        </w:rPr>
        <w:t xml:space="preserve">[194] GitHub Docs.</w:t>
      </w:r>
      <w:r>
        <w:rPr>
          <w:sz w:val="18"/>
        </w:rPr>
        <w:t xml:space="preserve"> </w:t>
      </w:r>
      <w:r>
        <w:rPr>
          <w:iCs/>
          <w:i/>
          <w:sz w:val="18"/>
        </w:rPr>
        <w:t xml:space="preserve">Responsible use of Copilot Autofix for code scanning</w:t>
      </w:r>
      <w:r>
        <w:rPr>
          <w:sz w:val="18"/>
        </w:rPr>
        <w:t xml:space="preserve">. Accessed September 2026. https://docs.github.com/en/code-security/code-scanning/managing-code-scanning-alerts/responsible-use-autofix-code-scanning</w:t>
      </w:r>
    </w:p>
    <w:p>
      <w:pPr>
        <w:pStyle w:val="BodyText"/>
        <w:spacing w:after="60"/>
      </w:pPr>
      <w:r>
        <w:rPr>
          <w:sz w:val="18"/>
        </w:rPr>
        <w:t xml:space="preserve">[195] GitHub Docs.</w:t>
      </w:r>
      <w:r>
        <w:rPr>
          <w:sz w:val="18"/>
        </w:rPr>
        <w:t xml:space="preserve"> </w:t>
      </w:r>
      <w:r>
        <w:rPr>
          <w:iCs/>
          <w:i/>
          <w:sz w:val="18"/>
        </w:rPr>
        <w:t xml:space="preserve">REST API endpoints for Copilot metrics</w:t>
      </w:r>
      <w:r>
        <w:rPr>
          <w:sz w:val="18"/>
        </w:rPr>
        <w:t xml:space="preserve"> </w:t>
      </w:r>
      <w:r>
        <w:rPr>
          <w:sz w:val="18"/>
        </w:rPr>
        <w:t xml:space="preserve">(endpoints retired 2 April 2026; replaced by Copilot usage metrics). Accessed September 2026. https://docs.github.com/en/rest/copilot/copilot-metrics</w:t>
      </w:r>
    </w:p>
    <w:p>
      <w:pPr>
        <w:pStyle w:val="BodyText"/>
        <w:spacing w:after="60"/>
      </w:pPr>
      <w:r>
        <w:rPr>
          <w:sz w:val="18"/>
        </w:rPr>
        <w:t xml:space="preserve">[196] Anthropic.</w:t>
      </w:r>
      <w:r>
        <w:rPr>
          <w:sz w:val="18"/>
        </w:rPr>
        <w:t xml:space="preserve"> </w:t>
      </w:r>
      <w:r>
        <w:rPr>
          <w:iCs/>
          <w:i/>
          <w:sz w:val="18"/>
        </w:rPr>
        <w:t xml:space="preserve">Claude Code analytics</w:t>
      </w:r>
      <w:r>
        <w:rPr>
          <w:sz w:val="18"/>
        </w:rPr>
        <w:t xml:space="preserve"> </w:t>
      </w:r>
      <w:r>
        <w:rPr>
          <w:sz w:val="18"/>
        </w:rPr>
        <w:t xml:space="preserve">(usage, spend, contribution metrics, Analytics API). Documentation, accessed September 2026. https://code.claude.com/docs/en/analytics</w:t>
      </w:r>
    </w:p>
    <w:p>
      <w:pPr>
        <w:pStyle w:val="BodyText"/>
        <w:spacing w:after="60"/>
      </w:pPr>
      <w:r>
        <w:rPr>
          <w:sz w:val="18"/>
        </w:rPr>
        <w:t xml:space="preserve">[197] Anthropic.</w:t>
      </w:r>
      <w:r>
        <w:rPr>
          <w:sz w:val="18"/>
        </w:rPr>
        <w:t xml:space="preserve"> </w:t>
      </w:r>
      <w:r>
        <w:rPr>
          <w:iCs/>
          <w:i/>
          <w:sz w:val="18"/>
        </w:rPr>
        <w:t xml:space="preserve">How AI Is Transforming Work at Anthropic</w:t>
      </w:r>
      <w:r>
        <w:rPr>
          <w:sz w:val="18"/>
        </w:rPr>
        <w:t xml:space="preserve">. 2 December 2025. https://www.anthropic.com/research/how-ai-is-transforming-work-at-anthropic</w:t>
      </w:r>
    </w:p>
    <w:p>
      <w:pPr>
        <w:pStyle w:val="BodyText"/>
        <w:spacing w:after="60"/>
      </w:pPr>
      <w:r>
        <w:rPr>
          <w:sz w:val="18"/>
        </w:rPr>
        <w:t xml:space="preserve">[198] Brynjolfsson, E., Li, D., Raymond, L.</w:t>
      </w:r>
      <w:r>
        <w:rPr>
          <w:sz w:val="18"/>
        </w:rPr>
        <w:t xml:space="preserve"> </w:t>
      </w:r>
      <w:r>
        <w:rPr>
          <w:iCs/>
          <w:i/>
          <w:sz w:val="18"/>
        </w:rPr>
        <w:t xml:space="preserve">Generative AI at Work</w:t>
      </w:r>
      <w:r>
        <w:rPr>
          <w:sz w:val="18"/>
        </w:rPr>
        <w:t xml:space="preserve">. Quarterly Journal of Economics 140(2):889-942, 2025. https://academic.oup.com/qje/article/140/2/889/7990658</w:t>
      </w:r>
    </w:p>
    <w:p>
      <w:pPr>
        <w:pStyle w:val="BodyText"/>
        <w:spacing w:after="60"/>
      </w:pPr>
      <w:r>
        <w:rPr>
          <w:sz w:val="18"/>
        </w:rPr>
        <w:t xml:space="preserve">[199] DORA / Google Cloud.</w:t>
      </w:r>
      <w:r>
        <w:rPr>
          <w:sz w:val="18"/>
        </w:rPr>
        <w:t xml:space="preserve"> </w:t>
      </w:r>
      <w:r>
        <w:rPr>
          <w:iCs/>
          <w:i/>
          <w:sz w:val="18"/>
        </w:rPr>
        <w:t xml:space="preserve">The ROI of AI-Assisted Software Development</w:t>
      </w:r>
      <w:r>
        <w:rPr>
          <w:sz w:val="18"/>
        </w:rPr>
        <w:t xml:space="preserve">. April-May 2026 (figures as summarised by InfoQ, 11 May 2026). https://dora.dev/ai/roi/report/ ; https://www.infoq.com/news/2026/05/dora-roi-ai-assisted-dev-report/</w:t>
      </w:r>
    </w:p>
    <w:p>
      <w:pPr>
        <w:pStyle w:val="BodyText"/>
        <w:spacing w:after="60"/>
      </w:pPr>
      <w:r>
        <w:rPr>
          <w:sz w:val="18"/>
        </w:rPr>
        <w:t xml:space="preserve">[200] ISACA.</w:t>
      </w:r>
      <w:r>
        <w:rPr>
          <w:sz w:val="18"/>
        </w:rPr>
        <w:t xml:space="preserve"> </w:t>
      </w:r>
      <w:r>
        <w:rPr>
          <w:iCs/>
          <w:i/>
          <w:sz w:val="18"/>
        </w:rPr>
        <w:t xml:space="preserve">Artificial Intelligence Audit Toolkit</w:t>
      </w:r>
      <w:r>
        <w:rPr>
          <w:sz w:val="18"/>
        </w:rPr>
        <w:t xml:space="preserve"> </w:t>
      </w:r>
      <w:r>
        <w:rPr>
          <w:sz w:val="18"/>
        </w:rPr>
        <w:t xml:space="preserve">and</w:t>
      </w:r>
      <w:r>
        <w:rPr>
          <w:sz w:val="18"/>
        </w:rPr>
        <w:t xml:space="preserve"> </w:t>
      </w:r>
      <w:r>
        <w:rPr>
          <w:iCs/>
          <w:i/>
          <w:sz w:val="18"/>
        </w:rPr>
        <w:t xml:space="preserve">Advanced in AI Audit (AAIA)</w:t>
      </w:r>
      <w:r>
        <w:rPr>
          <w:sz w:val="18"/>
        </w:rPr>
        <w:t xml:space="preserve">. https://www.isaca.org/resources/artificial-intelligence</w:t>
      </w:r>
    </w:p>
    <w:p>
      <w:pPr>
        <w:pStyle w:val="BodyText"/>
        <w:spacing w:after="60"/>
      </w:pPr>
      <w:r>
        <w:rPr>
          <w:sz w:val="18"/>
        </w:rPr>
        <w:t xml:space="preserve">[201] Anthropic.</w:t>
      </w:r>
      <w:r>
        <w:rPr>
          <w:sz w:val="18"/>
        </w:rPr>
        <w:t xml:space="preserve"> </w:t>
      </w:r>
      <w:r>
        <w:rPr>
          <w:iCs/>
          <w:i/>
          <w:sz w:val="18"/>
        </w:rPr>
        <w:t xml:space="preserve">Introducing the Model Context Protocol</w:t>
      </w:r>
      <w:r>
        <w:rPr>
          <w:sz w:val="18"/>
        </w:rPr>
        <w:t xml:space="preserve">. 25 November 2024; MCP specification 2026-07-28 and roadmap (August 2026), Model Context Protocol project. https://www.anthropic.com/news/model-context-protocol ; https://blog.modelcontextprotocol.io/posts/2026-07-28/ ; https://blog.modelcontextprotocol.io/posts/mcp-roadmap/</w:t>
      </w:r>
    </w:p>
    <w:p>
      <w:pPr>
        <w:pStyle w:val="BodyText"/>
        <w:spacing w:after="60"/>
      </w:pPr>
      <w:r>
        <w:rPr>
          <w:sz w:val="18"/>
        </w:rPr>
        <w:t xml:space="preserve">[202] Dakan, R., Feller, J.</w:t>
      </w:r>
      <w:r>
        <w:rPr>
          <w:sz w:val="18"/>
        </w:rPr>
        <w:t xml:space="preserve"> </w:t>
      </w:r>
      <w:r>
        <w:rPr>
          <w:iCs/>
          <w:i/>
          <w:sz w:val="18"/>
        </w:rPr>
        <w:t xml:space="preserve">The AI Fluency Framework (Delegation, Description, Discernment, Diligence)</w:t>
      </w:r>
      <w:r>
        <w:rPr>
          <w:sz w:val="18"/>
        </w:rPr>
        <w:t xml:space="preserve">; Anthropic Academy course</w:t>
      </w:r>
      <w:r>
        <w:rPr>
          <w:sz w:val="18"/>
        </w:rPr>
        <w:t xml:space="preserve"> </w:t>
      </w:r>
      <w:r>
        <w:rPr>
          <w:iCs/>
          <w:i/>
          <w:sz w:val="18"/>
        </w:rPr>
        <w:t xml:space="preserve">AI Fluency: Framework and Foundations</w:t>
      </w:r>
      <w:r>
        <w:rPr>
          <w:sz w:val="18"/>
        </w:rPr>
        <w:t xml:space="preserve">. https://academy.claude.com/courses/ai-fluency-framework-foundations</w:t>
      </w:r>
    </w:p>
    <w:p>
      <w:pPr>
        <w:pStyle w:val="BodyText"/>
        <w:spacing w:after="60"/>
      </w:pPr>
      <w:r>
        <w:rPr>
          <w:sz w:val="18"/>
        </w:rPr>
        <w:t xml:space="preserve">[203] Banking Dive.</w:t>
      </w:r>
      <w:r>
        <w:rPr>
          <w:sz w:val="18"/>
        </w:rPr>
        <w:t xml:space="preserve"> </w:t>
      </w:r>
      <w:r>
        <w:rPr>
          <w:iCs/>
          <w:i/>
          <w:sz w:val="18"/>
        </w:rPr>
        <w:t xml:space="preserve">Goldman Sachs</w:t>
      </w:r>
      <w:r>
        <w:rPr>
          <w:iCs/>
          <w:i/>
          <w:sz w:val="18"/>
        </w:rPr>
        <w:t xml:space="preserve"> </w:t>
      </w:r>
      <w:r>
        <w:rPr>
          <w:iCs/>
          <w:i/>
          <w:sz w:val="18"/>
        </w:rPr>
        <w:t xml:space="preserve">‘</w:t>
      </w:r>
      <w:r>
        <w:rPr>
          <w:iCs/>
          <w:i/>
          <w:sz w:val="18"/>
        </w:rPr>
        <w:t xml:space="preserve">OneGS 3.0</w:t>
      </w:r>
      <w:r>
        <w:rPr>
          <w:iCs/>
          <w:i/>
          <w:sz w:val="18"/>
        </w:rPr>
        <w:t xml:space="preserve">’</w:t>
      </w:r>
      <w:r>
        <w:rPr>
          <w:iCs/>
          <w:i/>
          <w:sz w:val="18"/>
        </w:rPr>
        <w:t xml:space="preserve"> </w:t>
      </w:r>
      <w:r>
        <w:rPr>
          <w:iCs/>
          <w:i/>
          <w:sz w:val="18"/>
        </w:rPr>
        <w:t xml:space="preserve">memo: limited cuts as AI reshapes operating model</w:t>
      </w:r>
      <w:r>
        <w:rPr>
          <w:sz w:val="18"/>
        </w:rPr>
        <w:t xml:space="preserve">. 14 October 2025. https://www.bankingdive.com/news/goldman-sachs-limited-cuts-ai-acquisition-industry-ventures-965-million-solomon-q3-earnings/802869/</w:t>
      </w:r>
    </w:p>
    <w:p>
      <w:pPr>
        <w:pStyle w:val="BodyText"/>
        <w:spacing w:after="60"/>
      </w:pPr>
      <w:r>
        <w:rPr>
          <w:sz w:val="18"/>
        </w:rPr>
        <w:t xml:space="preserve">[204] US Securities and Exchange Commission, Division of Examinations.</w:t>
      </w:r>
      <w:r>
        <w:rPr>
          <w:sz w:val="18"/>
        </w:rPr>
        <w:t xml:space="preserve"> </w:t>
      </w:r>
      <w:r>
        <w:rPr>
          <w:iCs/>
          <w:i/>
          <w:sz w:val="18"/>
        </w:rPr>
        <w:t xml:space="preserve">Fiscal Year 2026 Examination Priorities</w:t>
      </w:r>
      <w:r>
        <w:rPr>
          <w:sz w:val="18"/>
        </w:rPr>
        <w:t xml:space="preserve"> </w:t>
      </w:r>
      <w:r>
        <w:rPr>
          <w:sz w:val="18"/>
        </w:rPr>
        <w:t xml:space="preserve">(AI washing; governance of AI use), 17 November 2025, as summarised by Goodwin, December 2025, https://www.goodwinlaw.com/en/insights/publications/2025/12/alerts-privateequity-pif-2026-sec-exam-priorities-for-registered-investment-advisers ; SEC press release 2025-103,</w:t>
      </w:r>
      <w:r>
        <w:rPr>
          <w:sz w:val="18"/>
        </w:rPr>
        <w:t xml:space="preserve"> </w:t>
      </w:r>
      <w:r>
        <w:rPr>
          <w:iCs/>
          <w:i/>
          <w:sz w:val="18"/>
        </w:rPr>
        <w:t xml:space="preserve">SEC creates task force to tap artificial intelligence</w:t>
      </w:r>
      <w:r>
        <w:rPr>
          <w:sz w:val="18"/>
        </w:rPr>
        <w:t xml:space="preserve">, 1 August 2025, https://www.sec.gov/newsroom/press-releases/2025-103-sec-creates-task-force-tap-artificial-intelligence-enhanced-innovation-efficiency-across-agency</w:t>
      </w:r>
    </w:p>
    <w:p>
      <w:pPr>
        <w:pStyle w:val="BodyText"/>
        <w:spacing w:after="60"/>
      </w:pPr>
      <w:r>
        <w:rPr>
          <w:sz w:val="18"/>
        </w:rPr>
        <w:t xml:space="preserve">[205] European Commission.</w:t>
      </w:r>
      <w:r>
        <w:rPr>
          <w:sz w:val="18"/>
        </w:rPr>
        <w:t xml:space="preserve"> </w:t>
      </w:r>
      <w:r>
        <w:rPr>
          <w:iCs/>
          <w:i/>
          <w:sz w:val="18"/>
        </w:rPr>
        <w:t xml:space="preserve">Draft guidelines on the classification of high-risk AI systems (Article 6)</w:t>
      </w:r>
      <w:r>
        <w:rPr>
          <w:sz w:val="18"/>
        </w:rPr>
        <w:t xml:space="preserve">. Consultation, 19 May 2026. https://digital-strategy.ec.europa.eu/en/news/commission-seeks-feedback-draft-guidelines-classification-high-risk-artificial-intelligence-systems</w:t>
      </w:r>
    </w:p>
    <w:bookmarkEnd w:id="56"/>
    <w:sectPr>
      <w:footerReference w:type="default" r:id="rId9"/>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1"/>
        <w:sz w:val="16"/>
      </w:rPr>
      <w:t>AI-Ready Repositories · Working paper v2.0 · September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eastAsia="Calibri" w:cs="Calibri"/>
      <w:sz w:val="21"/>
    </w:rPr>
  </w:style>
  <w:style w:styleId="BodyText" w:type="paragraph">
    <w:name w:val="Body Text"/>
    <w:basedOn w:val="Normal"/>
    <w:link w:val="BodyTextChar"/>
    <w:pPr>
      <w:spacing w:after="120" w:before="180" w:line="276" w:lineRule="auto"/>
    </w:pPr>
    <w:qFormat/>
    <w:rPr>
      <w:rFonts w:ascii="Calibri" w:hAnsi="Calibri" w:eastAsia="Calibri" w:cs="Calibri"/>
      <w:sz w:val="21"/>
    </w:rPr>
  </w:style>
  <w:style w:customStyle="1" w:styleId="FirstParagraph" w:type="paragraph">
    <w:name w:val="First Paragraph"/>
    <w:basedOn w:val="BodyText"/>
    <w:next w:val="BodyText"/>
    <w:qFormat/>
    <w:pPr>
      <w:spacing w:after="120" w:line="276" w:lineRule="auto"/>
    </w:pPr>
    <w:rPr>
      <w:rFonts w:ascii="Calibri" w:hAnsi="Calibri" w:eastAsia="Calibri" w:cs="Calibri"/>
      <w:sz w:val="21"/>
    </w:rPr>
  </w:style>
  <w:style w:customStyle="1" w:styleId="Compact" w:type="paragraph">
    <w:name w:val="Compact"/>
    <w:basedOn w:val="BodyText"/>
    <w:qFormat/>
    <w:pPr>
      <w:spacing w:after="120" w:before="36" w:line="276" w:lineRule="auto"/>
    </w:pPr>
    <w:rPr>
      <w:rFonts w:ascii="Calibri" w:hAnsi="Calibri" w:eastAsia="Calibri" w:cs="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eastAsia="Georgia" w:cs="Georgia"/>
      <w:b/>
      <w:bCs/>
      <w:color w:val="18232C"/>
      <w:sz w:val="48"/>
      <w:szCs w:val="36"/>
    </w:rPr>
  </w:style>
  <w:style w:styleId="Subtitle" w:type="paragraph">
    <w:name w:val="Subtitle"/>
    <w:basedOn w:val="Title"/>
    <w:next w:val="BodyText"/>
    <w:qFormat/>
    <w:pPr>
      <w:keepNext/>
      <w:keepLines/>
      <w:spacing w:after="240" w:before="240"/>
      <w:jc w:val="center"/>
    </w:pPr>
    <w:rPr>
      <w:rFonts w:ascii="Georgia" w:hAnsi="Georgia" w:eastAsia="Georgia" w:cs="Georgia"/>
      <w:b w:val="0"/>
      <w:i/>
      <w:color w:val="4A5762"/>
      <w:sz w:val="26"/>
      <w:szCs w:val="30"/>
    </w:rPr>
  </w:style>
  <w:style w:customStyle="1" w:styleId="Author" w:type="paragraph">
    <w:name w:val="Author"/>
    <w:next w:val="BodyText"/>
    <w:qFormat/>
    <w:pPr>
      <w:keepNext/>
      <w:keepLines/>
      <w:jc w:val="center"/>
    </w:pPr>
    <w:rPr>
      <w:rFonts w:ascii="Calibri" w:hAnsi="Calibri" w:eastAsia="Calibri" w:cs="Calibri"/>
      <w:b w:val="0"/>
      <w:color w:val="4A5762"/>
      <w:sz w:val="19"/>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120" w:before="100" w:line="276" w:lineRule="auto"/>
    </w:pPr>
    <w:rPr>
      <w:rFonts w:ascii="Calibri" w:hAnsi="Calibri" w:eastAsia="Calibri" w:cs="Calibri"/>
      <w:sz w:val="21"/>
      <w:szCs w:val="20"/>
    </w:rPr>
  </w:style>
  <w:style w:styleId="Bibliography" w:type="paragraph">
    <w:name w:val="Bibliography"/>
    <w:basedOn w:val="Normal"/>
    <w:next w:val="Bibliography"/>
    <w:qFormat/>
    <w:pPr>
      <w:spacing w:after="120" w:line="276" w:lineRule="auto"/>
    </w:pPr>
    <w:rPr>
      <w:rFonts w:ascii="Calibri" w:hAnsi="Calibri" w:eastAsia="Calibri" w:cs="Calibri"/>
      <w:sz w:val="21"/>
    </w:rPr>
  </w:style>
  <w:style w:styleId="Heading1" w:type="paragraph">
    <w:name w:val="Heading 1"/>
    <w:basedOn w:val="Normal"/>
    <w:next w:val="BodyText"/>
    <w:uiPriority w:val="9"/>
    <w:qFormat/>
    <w:pPr>
      <w:keepNext/>
      <w:keepLines/>
      <w:spacing w:after="120" w:before="360"/>
      <w:outlineLvl w:val="0"/>
    </w:pPr>
    <w:rPr>
      <w:rFonts w:asciiTheme="majorHAnsi" w:cstheme="majorBidi" w:eastAsiaTheme="majorEastAsia" w:hAnsiTheme="majorHAnsi" w:ascii="Georgia" w:hAnsi="Georgia" w:eastAsia="Georgia" w:cs="Georgia"/>
      <w:b/>
      <w:bCs/>
      <w:color w:val="0E6B6E"/>
      <w:sz w:val="3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Georgia" w:hAnsi="Georgia" w:eastAsia="Georgia" w:cs="Georgia"/>
      <w:b/>
      <w:bCs/>
      <w:color w:val="18232C"/>
      <w:sz w:val="28"/>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Georgia" w:hAnsi="Georgia" w:eastAsia="Georgia" w:cs="Georgia"/>
      <w:b/>
      <w:bCs/>
      <w:color w:val="18232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eastAsia="Georgia" w:cs="Georgia"/>
      <w:b w:val="0"/>
      <w:i/>
      <w:color w:val="18232C"/>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AI-Ready Repositories</dc:title>
  <dc:creator>Working paper, version 2.0. September 2026. Written from the standpoint of an AI/ML researcher and Distinguished Engineer in a large technology organization operating under regulatory and compliance obligations. All sources are public.</dc:creator>
  <cp:keywords/>
  <dcterms:created xsi:type="dcterms:W3CDTF">2026-09-16T04:41:45Z</dcterms:created>
  <dcterms:modified xsi:type="dcterms:W3CDTF">2026-09-16T04:41:45Z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Assessing AI maturity, effectiveness and readiness from the codebase up, with deep case studies of Google and JPMorgan Chase and a roadmap for regulated financial institutions</vt:lpwstr>
  </property>
</Properties>
</file>