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765C" w14:textId="77777777" w:rsidR="00D808DC" w:rsidRPr="007A4786" w:rsidRDefault="00000000">
      <w:pPr>
        <w:pStyle w:val="Title"/>
        <w:spacing w:after="60"/>
        <w:rPr>
          <w:rFonts w:asciiTheme="minorHAnsi" w:hAnsiTheme="minorHAnsi"/>
        </w:rPr>
      </w:pPr>
      <w:r w:rsidRPr="007A4786">
        <w:rPr>
          <w:rFonts w:asciiTheme="minorHAnsi" w:hAnsiTheme="minorHAnsi"/>
        </w:rPr>
        <w:t>Assumptions &amp; Next Steps</w:t>
      </w:r>
    </w:p>
    <w:p w14:paraId="214993C5" w14:textId="77777777" w:rsidR="00D808DC" w:rsidRPr="007A4786" w:rsidRDefault="00000000">
      <w:pPr>
        <w:spacing w:after="140"/>
        <w:rPr>
          <w:rFonts w:asciiTheme="minorHAnsi" w:hAnsiTheme="minorHAnsi"/>
        </w:rPr>
      </w:pPr>
      <w:r w:rsidRPr="007A4786">
        <w:rPr>
          <w:rFonts w:asciiTheme="minorHAnsi" w:hAnsiTheme="minorHAnsi"/>
          <w:i/>
          <w:iCs/>
          <w:color w:val="555555"/>
          <w:sz w:val="22"/>
          <w:szCs w:val="22"/>
        </w:rPr>
        <w:t xml:space="preserve">Companion </w:t>
      </w:r>
      <w:proofErr w:type="gramStart"/>
      <w:r w:rsidRPr="007A4786">
        <w:rPr>
          <w:rFonts w:asciiTheme="minorHAnsi" w:hAnsiTheme="minorHAnsi"/>
          <w:i/>
          <w:iCs/>
          <w:color w:val="555555"/>
          <w:sz w:val="22"/>
          <w:szCs w:val="22"/>
        </w:rPr>
        <w:t>note</w:t>
      </w:r>
      <w:proofErr w:type="gramEnd"/>
      <w:r w:rsidRPr="007A4786">
        <w:rPr>
          <w:rFonts w:asciiTheme="minorHAnsi" w:hAnsiTheme="minorHAnsi"/>
          <w:i/>
          <w:iCs/>
          <w:color w:val="555555"/>
          <w:sz w:val="22"/>
          <w:szCs w:val="22"/>
        </w:rPr>
        <w:t xml:space="preserve"> to the inventory right-sizing summary</w:t>
      </w:r>
    </w:p>
    <w:p w14:paraId="1EB6B938" w14:textId="77777777" w:rsidR="00D808DC" w:rsidRPr="007A4786" w:rsidRDefault="00D808DC">
      <w:pPr>
        <w:pBdr>
          <w:bottom w:val="single" w:sz="6" w:space="1" w:color="AAAAAA"/>
        </w:pBdr>
        <w:spacing w:after="200"/>
        <w:rPr>
          <w:rFonts w:asciiTheme="minorHAnsi" w:hAnsiTheme="minorHAnsi"/>
        </w:rPr>
      </w:pPr>
    </w:p>
    <w:p w14:paraId="62EC6C36" w14:textId="42A57720" w:rsidR="00D808DC" w:rsidRPr="007A4786" w:rsidRDefault="00000000">
      <w:pPr>
        <w:pStyle w:val="Heading1"/>
        <w:spacing w:before="280" w:after="120"/>
        <w:rPr>
          <w:rFonts w:asciiTheme="minorHAnsi" w:hAnsiTheme="minorHAnsi"/>
        </w:rPr>
      </w:pPr>
      <w:r w:rsidRPr="007A4786">
        <w:rPr>
          <w:rFonts w:asciiTheme="minorHAnsi" w:hAnsiTheme="minorHAnsi"/>
        </w:rPr>
        <w:t xml:space="preserve">Assumptions </w:t>
      </w:r>
      <w:r w:rsidR="007A4786" w:rsidRPr="007A4786">
        <w:rPr>
          <w:rFonts w:asciiTheme="minorHAnsi" w:hAnsiTheme="minorHAnsi"/>
        </w:rPr>
        <w:t xml:space="preserve">that </w:t>
      </w:r>
      <w:proofErr w:type="gramStart"/>
      <w:r w:rsidR="007A4786" w:rsidRPr="007A4786">
        <w:rPr>
          <w:rFonts w:asciiTheme="minorHAnsi" w:hAnsiTheme="minorHAnsi"/>
        </w:rPr>
        <w:t>was</w:t>
      </w:r>
      <w:proofErr w:type="gramEnd"/>
      <w:r w:rsidRPr="007A4786">
        <w:rPr>
          <w:rFonts w:asciiTheme="minorHAnsi" w:hAnsiTheme="minorHAnsi"/>
        </w:rPr>
        <w:t xml:space="preserve"> made</w:t>
      </w:r>
    </w:p>
    <w:p w14:paraId="23004FC7" w14:textId="258722FF" w:rsidR="00D808DC" w:rsidRPr="007A4786" w:rsidRDefault="00000000">
      <w:pPr>
        <w:spacing w:after="140"/>
        <w:rPr>
          <w:rFonts w:asciiTheme="minorHAnsi" w:hAnsiTheme="minorHAnsi"/>
        </w:rPr>
      </w:pPr>
      <w:r w:rsidRPr="007A4786">
        <w:rPr>
          <w:rFonts w:asciiTheme="minorHAnsi" w:hAnsiTheme="minorHAnsi"/>
        </w:rPr>
        <w:t>None of these are wrong, exactly</w:t>
      </w:r>
      <w:r w:rsidR="007A4786" w:rsidRPr="007A4786">
        <w:rPr>
          <w:rFonts w:asciiTheme="minorHAnsi" w:hAnsiTheme="minorHAnsi"/>
        </w:rPr>
        <w:t>,</w:t>
      </w:r>
      <w:r w:rsidRPr="007A4786">
        <w:rPr>
          <w:rFonts w:asciiTheme="minorHAnsi" w:hAnsiTheme="minorHAnsi"/>
        </w:rPr>
        <w:t xml:space="preserve"> they're calls we had to make to get to a number, and each one is worth a second look before this goes into production.</w:t>
      </w:r>
    </w:p>
    <w:p w14:paraId="5E0137F1"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The reorder point (lead-time demand + safety stock) is used as a floor, not the average amount you'd actually hold day to day. The true average would also include roughly half of a standard order quantity, and sizing that order quantity wasn't part of this scope — so every dollar figure here is a conservative minimum, not a full target.</w:t>
      </w:r>
    </w:p>
    <w:p w14:paraId="6FCC10A9"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Lead time and supplier for each part are taken from the most recent record in the two years of history, not a historical average. A part that recently switched suppliers or saw its lead time change is priced on the new terms, which is the right call going forward but means the two years of history aren't fully apples-to-apples.</w:t>
      </w:r>
    </w:p>
    <w:p w14:paraId="02A803C2"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The 98% / 95% / 90% service-level split by value tier is a starting assumption on our part, not a finding from the data. It's a reasonable default, but the actual numbers should come from whoever owns stockout cost and risk tolerance.</w:t>
      </w:r>
    </w:p>
    <w:p w14:paraId="02A4CD5F"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Forecast errors are treated as roughly bell-curve shaped for the steady and moderately variable parts — standard practice, but an approximation. The bursty, spiky parts are handled differently for exactly this reason: a bell-curve assumption would size their buffer wrong.</w:t>
      </w:r>
    </w:p>
    <w:p w14:paraId="07676938"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Two years of weekly history is enough to see that the seasonal pattern is real — the same weeks run high or low in both years, almost identically — but not enough to fit a separate 52-week seasonal curve for each part on its own. We fit one shared seasonal curve across all 200 parts instead, which is a reasonable workaround but will get more precise once a third year of data is available.</w:t>
      </w:r>
    </w:p>
    <w:p w14:paraId="253C3A32"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On-hand quantities reflect a single snapshot in time, not an average. A part that looks “below its floor” could simply be mid-cycle and due for its next routine order — not necessarily a failure. The 17 parts at zero stock, and the sheer number of parts sitting well below floor, go beyond what normal order timing would explain, but some of the borderline cases in that 154-part group are probably just parts that haven't been reordered yet, not parts in real trouble.</w:t>
      </w:r>
    </w:p>
    <w:p w14:paraId="12914C81" w14:textId="77777777" w:rsidR="00D808DC" w:rsidRPr="007A4786" w:rsidRDefault="00000000">
      <w:pPr>
        <w:pStyle w:val="Heading1"/>
        <w:spacing w:before="280" w:after="120"/>
        <w:rPr>
          <w:rFonts w:asciiTheme="minorHAnsi" w:hAnsiTheme="minorHAnsi"/>
        </w:rPr>
      </w:pPr>
      <w:r w:rsidRPr="007A4786">
        <w:rPr>
          <w:rFonts w:asciiTheme="minorHAnsi" w:hAnsiTheme="minorHAnsi"/>
        </w:rPr>
        <w:t>Data issues found and handled</w:t>
      </w:r>
    </w:p>
    <w:p w14:paraId="6B30A4F0"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Dates in the original export needed to be reinterpreted — caught early by testing a few different formats against the raw data rather than assuming.</w:t>
      </w:r>
    </w:p>
    <w:p w14:paraId="44346E3E"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One column in the raw data (a 4-week-forward average) was effectively giving away the answer and was excluded from every model.</w:t>
      </w:r>
    </w:p>
    <w:p w14:paraId="2A761F76"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A handful of records had negative on-hand quantities or unstable unit costs; both were cleaned using each part's own history rather than dropped.</w:t>
      </w:r>
    </w:p>
    <w:p w14:paraId="10A1AAAB"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Small gaps in the weekly demand history were filled in per part rather than left blank or zeroed out, which would have understated demand.</w:t>
      </w:r>
    </w:p>
    <w:p w14:paraId="251D0976" w14:textId="77777777" w:rsidR="00D808DC" w:rsidRPr="007A4786" w:rsidRDefault="00000000">
      <w:pPr>
        <w:pStyle w:val="Heading1"/>
        <w:spacing w:before="280" w:after="120"/>
        <w:rPr>
          <w:rFonts w:asciiTheme="minorHAnsi" w:hAnsiTheme="minorHAnsi"/>
        </w:rPr>
      </w:pPr>
      <w:r w:rsidRPr="007A4786">
        <w:rPr>
          <w:rFonts w:asciiTheme="minorHAnsi" w:hAnsiTheme="minorHAnsi"/>
        </w:rPr>
        <w:t>What we'd want to check next</w:t>
      </w:r>
    </w:p>
    <w:p w14:paraId="6600B534"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Build an actual order-quantity policy (an EOQ-style calculation) so we can state what average inventory should look like across a full order cycle, not just the reorder trigger.</w:t>
      </w:r>
    </w:p>
    <w:p w14:paraId="443474B7"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lastRenderedPageBreak/>
        <w:t>Revisit lead times on the worst offenders. A few parts carry lead times long enough that no reasonable amount of safety stock closes the gap cheaply — shortening the lead time helps more than buffering around it.</w:t>
      </w:r>
    </w:p>
    <w:p w14:paraId="2B6E6EBE"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Re-run this analysis once a third year of history is available. That unlocks a seasonal curve fit per part instead of the one shared curve used here, which should sharpen the forecasts further.</w:t>
      </w:r>
    </w:p>
    <w:p w14:paraId="469B35D5"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Confirm the 90% / 95% / 98% service-level targets with whoever owns stockout risk — they were our working assumption, not a business-approved standard.</w:t>
      </w:r>
    </w:p>
    <w:p w14:paraId="4B6CF8CE" w14:textId="77777777" w:rsidR="00D808DC" w:rsidRPr="007A4786" w:rsidRDefault="00000000">
      <w:pPr>
        <w:pStyle w:val="ListParagraph"/>
        <w:numPr>
          <w:ilvl w:val="0"/>
          <w:numId w:val="1"/>
        </w:numPr>
        <w:spacing w:after="80"/>
        <w:rPr>
          <w:rFonts w:asciiTheme="minorHAnsi" w:hAnsiTheme="minorHAnsi"/>
        </w:rPr>
      </w:pPr>
      <w:r w:rsidRPr="007A4786">
        <w:rPr>
          <w:rFonts w:asciiTheme="minorHAnsi" w:hAnsiTheme="minorHAnsi"/>
        </w:rPr>
        <w:t>Before acting on the “below reorder point” list, cross-check it against what's already on order or in transit. The current snapshot doesn't see incoming stock, so some of those 154 parts may already be on their way to being fixed.</w:t>
      </w:r>
    </w:p>
    <w:sectPr w:rsidR="00D808DC" w:rsidRPr="007A478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A648D"/>
    <w:multiLevelType w:val="hybridMultilevel"/>
    <w:tmpl w:val="729E9002"/>
    <w:lvl w:ilvl="0" w:tplc="357ADBD8">
      <w:start w:val="1"/>
      <w:numFmt w:val="bullet"/>
      <w:lvlText w:val="●"/>
      <w:lvlJc w:val="left"/>
      <w:pPr>
        <w:ind w:left="720" w:hanging="360"/>
      </w:pPr>
    </w:lvl>
    <w:lvl w:ilvl="1" w:tplc="89A4F028">
      <w:start w:val="1"/>
      <w:numFmt w:val="bullet"/>
      <w:lvlText w:val="○"/>
      <w:lvlJc w:val="left"/>
      <w:pPr>
        <w:ind w:left="1440" w:hanging="360"/>
      </w:pPr>
    </w:lvl>
    <w:lvl w:ilvl="2" w:tplc="DAE2B624">
      <w:start w:val="1"/>
      <w:numFmt w:val="bullet"/>
      <w:lvlText w:val="■"/>
      <w:lvlJc w:val="left"/>
      <w:pPr>
        <w:ind w:left="2160" w:hanging="360"/>
      </w:pPr>
    </w:lvl>
    <w:lvl w:ilvl="3" w:tplc="F6E68B4A">
      <w:start w:val="1"/>
      <w:numFmt w:val="bullet"/>
      <w:lvlText w:val="●"/>
      <w:lvlJc w:val="left"/>
      <w:pPr>
        <w:ind w:left="2880" w:hanging="360"/>
      </w:pPr>
    </w:lvl>
    <w:lvl w:ilvl="4" w:tplc="35C051D8">
      <w:start w:val="1"/>
      <w:numFmt w:val="bullet"/>
      <w:lvlText w:val="○"/>
      <w:lvlJc w:val="left"/>
      <w:pPr>
        <w:ind w:left="3600" w:hanging="360"/>
      </w:pPr>
    </w:lvl>
    <w:lvl w:ilvl="5" w:tplc="572E0754">
      <w:start w:val="1"/>
      <w:numFmt w:val="bullet"/>
      <w:lvlText w:val="■"/>
      <w:lvlJc w:val="left"/>
      <w:pPr>
        <w:ind w:left="4320" w:hanging="360"/>
      </w:pPr>
    </w:lvl>
    <w:lvl w:ilvl="6" w:tplc="8386522A">
      <w:start w:val="1"/>
      <w:numFmt w:val="bullet"/>
      <w:lvlText w:val="●"/>
      <w:lvlJc w:val="left"/>
      <w:pPr>
        <w:ind w:left="5040" w:hanging="360"/>
      </w:pPr>
    </w:lvl>
    <w:lvl w:ilvl="7" w:tplc="976213F0">
      <w:start w:val="1"/>
      <w:numFmt w:val="bullet"/>
      <w:lvlText w:val="●"/>
      <w:lvlJc w:val="left"/>
      <w:pPr>
        <w:ind w:left="5760" w:hanging="360"/>
      </w:pPr>
    </w:lvl>
    <w:lvl w:ilvl="8" w:tplc="53F677F2">
      <w:start w:val="1"/>
      <w:numFmt w:val="bullet"/>
      <w:lvlText w:val="●"/>
      <w:lvlJc w:val="left"/>
      <w:pPr>
        <w:ind w:left="6480" w:hanging="360"/>
      </w:pPr>
    </w:lvl>
  </w:abstractNum>
  <w:num w:numId="1" w16cid:durableId="12374031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8DC"/>
    <w:rsid w:val="007A4786"/>
    <w:rsid w:val="00D808DC"/>
    <w:rsid w:val="00EA0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BC810"/>
  <w15:docId w15:val="{0DEA307E-CBC1-41AE-A408-BAD71A48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580</Words>
  <Characters>3306</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Deepthi A</cp:lastModifiedBy>
  <cp:revision>2</cp:revision>
  <dcterms:created xsi:type="dcterms:W3CDTF">2026-09-22T07:28:00Z</dcterms:created>
  <dcterms:modified xsi:type="dcterms:W3CDTF">2026-09-22T08:20:00Z</dcterms:modified>
</cp:coreProperties>
</file>