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36"/>
          <w:szCs w:val="36"/>
        </w:rPr>
        <w:t xml:space="preserve">Master Dashboard — Metric Formulas</w:t>
      </w:r>
    </w:p>
    <w:p>
      <w:pPr>
        <w:pBdr>
          <w:bottom w:val="single" w:color="1F3A5F" w:sz="12" w:space="6"/>
        </w:pBdr>
        <w:spacing w:after="240"/>
      </w:pPr>
      <w:r>
        <w:rPr>
          <w:color w:val="777777"/>
          <w:sz w:val="20"/>
          <w:szCs w:val="20"/>
        </w:rPr>
        <w:t xml:space="preserve">VS Corp Retail Analytics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28"/>
          <w:szCs w:val="28"/>
        </w:rPr>
        <w:t xml:space="preserve">The two money columns</w:t>
      </w:r>
    </w:p>
    <w:p>
      <w:pPr>
        <w:spacing w:after="120"/>
      </w:pPr>
      <w:r>
        <w:rPr>
          <w:sz w:val="20"/>
          <w:szCs w:val="20"/>
        </w:rPr>
        <w:t xml:space="preserve">These are not interchangeable. Most confusion on the dashboard comes from mixing them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DB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Column</w:t>
            </w:r>
          </w:p>
        </w:tc>
        <w:tc>
          <w:tcPr>
            <w:tcW w:type="dxa" w:w="7860"/>
            <w:shd w:fill="DB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MRP</w:t>
            </w:r>
          </w:p>
        </w:tc>
        <w:tc>
          <w:tcPr>
            <w:tcW w:type="dxa" w:w="78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Ticket price × quantity. What it would have sold for at full price.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RSV</w:t>
            </w:r>
          </w:p>
        </w:tc>
        <w:tc>
          <w:tcPr>
            <w:tcW w:type="dxa" w:w="78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Retail Sales Value — what actually came in. Net of discount and returns.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0"/>
          <w:szCs w:val="20"/>
        </w:rPr>
        <w:t xml:space="preserve">MD % is the gap between them.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28"/>
          <w:szCs w:val="28"/>
        </w:rPr>
        <w:t xml:space="preserve">Retail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DB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Metric</w:t>
            </w:r>
          </w:p>
        </w:tc>
        <w:tc>
          <w:tcPr>
            <w:tcW w:type="dxa" w:w="3400"/>
            <w:shd w:fill="DB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Formula</w:t>
            </w:r>
          </w:p>
        </w:tc>
        <w:tc>
          <w:tcPr>
            <w:tcW w:type="dxa" w:w="4460"/>
            <w:shd w:fill="DB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 %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(MRP − RSV) / MRP × 100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Markdown depth — how far below ticket price you actually sold.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ATV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RSV / bills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Average transaction value. Rupees per bill.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UPT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qty / bills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Units per transaction.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ASP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RSV / qty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Average selling price per unit.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FUPT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footwear qty / bills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Footwear units per transaction.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SSR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socks qty / shoes qty × 100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Socks attach rate against closed shoes only.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SFR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socks qty / footwear qty × 100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Socks attach rate against all footwear.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AFR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apparel qty / footwear qty × 100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Apparel attach rate against footwear.</w:t>
            </w:r>
          </w:p>
        </w:tc>
      </w:tr>
    </w:tbl>
    <w:p>
      <w:pPr>
        <w:pBdr>
          <w:left w:val="single" w:color="B45309" w:sz="18" w:space="12"/>
        </w:pBdr>
        <w:spacing w:after="160" w:before="120"/>
        <w:ind w:left="180"/>
      </w:pPr>
      <w:r>
        <w:rPr>
          <w:b/>
          <w:bCs/>
          <w:color w:val="B45309"/>
          <w:sz w:val="20"/>
          <w:szCs w:val="20"/>
        </w:rPr>
        <w:t xml:space="preserve">SSR vs SFR  </w:t>
      </w:r>
      <w:r>
        <w:rPr>
          <w:sz w:val="20"/>
          <w:szCs w:val="20"/>
        </w:rPr>
        <w:t xml:space="preserve">These are not duplicates. SSR divides by closed shoes only; SFR divides by all footwear, including sandals, slides, slippers and clogs. A sandal-heavy store will show a much lower SFR than SSR.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28"/>
          <w:szCs w:val="28"/>
        </w:rPr>
        <w:t xml:space="preserve">Trend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DB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Metric</w:t>
            </w:r>
          </w:p>
        </w:tc>
        <w:tc>
          <w:tcPr>
            <w:tcW w:type="dxa" w:w="3400"/>
            <w:shd w:fill="DB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Formula</w:t>
            </w:r>
          </w:p>
        </w:tc>
        <w:tc>
          <w:tcPr>
            <w:tcW w:type="dxa" w:w="4460"/>
            <w:shd w:fill="DB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RSV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RSV for the day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Daily revenue.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AVG / DAY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RSV per day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series, read as a per-day average.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Qty Sold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qty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Units sold that day.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Bills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bills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Distinct bill count.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 %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(MRP − RSV) / MRP × 100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Markdown depth, per day.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ATV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RSV / bills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Average transaction value, per day.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SSR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socks qty / shoes qty × 100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Socks attach rate, per day.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5F"/>
          <w:sz w:val="28"/>
          <w:szCs w:val="28"/>
        </w:rPr>
        <w:t xml:space="preserve">Category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DB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Metric</w:t>
            </w:r>
          </w:p>
        </w:tc>
        <w:tc>
          <w:tcPr>
            <w:tcW w:type="dxa" w:w="3400"/>
            <w:shd w:fill="DB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Formula</w:t>
            </w:r>
          </w:p>
        </w:tc>
        <w:tc>
          <w:tcPr>
            <w:tcW w:type="dxa" w:w="4460"/>
            <w:shd w:fill="DB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Contr %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F3D2E"/>
                <w:sz w:val="18"/>
                <w:szCs w:val="18"/>
              </w:rPr>
              <w:t xml:space="preserve">category RSV / total RSV × 100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This category's share of total sales value.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5F"/>
          <w:sz w:val="28"/>
          <w:szCs w:val="28"/>
        </w:rPr>
        <w:t xml:space="preserve">Growth</w:t>
      </w:r>
    </w:p>
    <w:p>
      <w:pPr>
        <w:pBdr>
          <w:top w:val="single" w:color="DDDDDD" w:sz="6" w:space="8"/>
          <w:bottom w:val="single" w:color="DDDDDD" w:sz="6" w:space="8"/>
          <w:left w:val="single" w:color="DDDDDD" w:sz="6" w:space="8"/>
          <w:right w:val="single" w:color="DDDDDD" w:sz="6" w:space="8"/>
        </w:pBdr>
        <w:shd w:fill="F5F7FA" w:val="clear"/>
        <w:spacing w:after="120"/>
      </w:pPr>
      <w:r>
        <w:rPr>
          <w:rFonts w:ascii="Consolas" w:cs="Consolas" w:eastAsia="Consolas" w:hAnsi="Consolas"/>
          <w:color w:val="0F3D2E"/>
          <w:sz w:val="18"/>
          <w:szCs w:val="18"/>
        </w:rPr>
        <w:t xml:space="preserve">growth = prev &gt; 0  ?  (cur / prev − 1) × 100  :  null</w:t>
      </w:r>
    </w:p>
    <w:p>
      <w:pPr>
        <w:spacing w:after="120"/>
      </w:pPr>
      <w:r>
        <w:rPr>
          <w:sz w:val="20"/>
          <w:szCs w:val="20"/>
        </w:rPr>
        <w:t xml:space="preserve">Shown as “—” when there is no prior figure. A new store’s first period has no meaningful growth, and printing +100% or ∞ would be worse than printing nothing.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28"/>
          <w:szCs w:val="28"/>
        </w:rPr>
        <w:t xml:space="preserve">Comparison periods</w:t>
      </w:r>
    </w:p>
    <w:p>
      <w:pPr>
        <w:spacing w:after="120"/>
      </w:pPr>
      <w:r>
        <w:rPr>
          <w:sz w:val="20"/>
          <w:szCs w:val="20"/>
        </w:rPr>
        <w:t xml:space="preserve">L2L (default): the selected range shifted back exactly one calendar year.</w:t>
      </w:r>
    </w:p>
    <w:p>
      <w:pPr>
        <w:spacing w:after="120"/>
      </w:pPr>
      <w:r>
        <w:rPr>
          <w:sz w:val="20"/>
          <w:szCs w:val="20"/>
        </w:rPr>
        <w:t xml:space="preserve">Compare: two periods the user picks explicitly (month or ISO week).</w:t>
      </w:r>
    </w:p>
    <w:p>
      <w:pPr>
        <w:spacing w:after="120"/>
      </w:pPr>
      <w:r>
        <w:rPr>
          <w:sz w:val="20"/>
          <w:szCs w:val="20"/>
        </w:rPr>
        <w:t xml:space="preserve">Either way the current and previous figures are returned on the same row, so growth is computed without a second query.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28"/>
          <w:szCs w:val="28"/>
        </w:rPr>
        <w:t xml:space="preserve">The rule behind every total</w:t>
      </w:r>
    </w:p>
    <w:p>
      <w:pPr>
        <w:spacing w:after="140" w:before="60"/>
      </w:pPr>
      <w:r>
        <w:rPr>
          <w:b/>
          <w:bCs/>
          <w:color w:val="1F3A5F"/>
          <w:sz w:val="21"/>
          <w:szCs w:val="21"/>
        </w:rPr>
        <w:t xml:space="preserve">Ratios are never summed or averaged. They are recomputed from summed inputs at every level.</w:t>
      </w:r>
    </w:p>
    <w:p>
      <w:pPr>
        <w:spacing w:after="120"/>
      </w:pPr>
      <w:r>
        <w:rPr>
          <w:sz w:val="20"/>
          <w:szCs w:val="20"/>
        </w:rPr>
        <w:t xml:space="preserve">A cluster’s ATV is Σ RSV ÷ Σ bills — not the average of its stores’ ATVs. Averaging the ratios would weight a store that wrote 20 bills the same as one that wrote 2,000.</w:t>
      </w:r>
    </w:p>
    <w:p>
      <w:pPr>
        <w:spacing w:after="120"/>
      </w:pPr>
      <w:r>
        <w:rPr>
          <w:sz w:val="20"/>
          <w:szCs w:val="20"/>
        </w:rPr>
        <w:t xml:space="preserve">Every division uses a safe ratio that returns 0 when the denominator is 0 or less — never Infinity, never NaN.</w:t>
      </w:r>
    </w:p>
    <w:p>
      <w:pPr>
        <w:pBdr>
          <w:left w:val="single" w:color="B45309" w:sz="18" w:space="12"/>
        </w:pBdr>
        <w:spacing w:after="160" w:before="120"/>
        <w:ind w:left="180"/>
      </w:pPr>
      <w:r>
        <w:rPr>
          <w:b/>
          <w:bCs/>
          <w:color w:val="B45309"/>
          <w:sz w:val="20"/>
          <w:szCs w:val="20"/>
        </w:rPr>
        <w:t xml:space="preserve">Not on this page  </w:t>
      </w:r>
      <w:r>
        <w:rPr>
          <w:sz w:val="20"/>
          <w:szCs w:val="20"/>
        </w:rPr>
        <w:t xml:space="preserve">Conv % (bills ÷ walkins × 100) belongs to the KPI Dashboard report, not the Master Dashboard — this page does not pull footfall data.</w:t>
      </w:r>
    </w:p>
    <w:p>
      <w:pPr>
        <w:pBdr>
          <w:left w:val="single" w:color="B45309" w:sz="18" w:space="12"/>
        </w:pBdr>
        <w:spacing w:after="160" w:before="120"/>
        <w:ind w:left="180"/>
      </w:pPr>
      <w:r>
        <w:rPr>
          <w:b/>
          <w:bCs/>
          <w:color w:val="B45309"/>
          <w:sz w:val="20"/>
          <w:szCs w:val="20"/>
        </w:rPr>
        <w:t xml:space="preserve">A note on naming  </w:t>
      </w:r>
      <w:r>
        <w:rPr>
          <w:sz w:val="20"/>
          <w:szCs w:val="20"/>
        </w:rPr>
        <w:t xml:space="preserve">The dashboard displays RSV everywhere. In the source code the same figure is held in a field named “nsv”, from the gold column selling_amount. Same number, older internal name — if you read the code, nsv is what the screen calls RSV.</w:t>
      </w:r>
    </w:p>
    <w:p>
      <w:pPr>
        <w:pBdr>
          <w:top w:val="single" w:color="CCCCCC" w:sz="6" w:space="8"/>
        </w:pBdr>
        <w:spacing w:before="400"/>
      </w:pPr>
      <w:r>
        <w:rPr>
          <w:rFonts w:ascii="Consolas" w:cs="Consolas" w:eastAsia="Consolas" w:hAnsi="Consolas"/>
          <w:color w:val="999999"/>
          <w:sz w:val="17"/>
          <w:szCs w:val="17"/>
        </w:rPr>
        <w:t xml:space="preserve">Source: app/(dashboard)/reports/master-dashboard/page.tsx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2026-09-04T08:05:06.656Z</dcterms:created>
  <dcterms:modified xsi:type="dcterms:W3CDTF">2026-09-04T08:05:06.658Z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