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240"/>
        <w:rPr>
          <w:rFonts w:hint="eastAsia" w:ascii="Etasr" w:hAnsi="Etasr"/>
          <w:b/>
          <w:sz w:val="36"/>
          <w:szCs w:val="36"/>
        </w:rPr>
      </w:pPr>
      <w:r>
        <w:rPr>
          <w:rFonts w:ascii="Etasr" w:hAnsi="Etasr"/>
          <w:b/>
          <w:sz w:val="36"/>
          <w:szCs w:val="36"/>
        </w:rPr>
        <w:t>Thyroid Ultrasound Image Classification Using</w:t>
      </w:r>
    </w:p>
    <w:p>
      <w:pPr>
        <w:autoSpaceDE w:val="0"/>
        <w:autoSpaceDN w:val="0"/>
        <w:adjustRightInd w:val="0"/>
        <w:spacing w:before="240"/>
        <w:rPr>
          <w:rFonts w:hint="eastAsia" w:ascii="Etasr" w:hAnsi="Etasr"/>
          <w:b/>
          <w:sz w:val="36"/>
          <w:szCs w:val="36"/>
        </w:rPr>
      </w:pPr>
      <w:r>
        <w:rPr>
          <w:rFonts w:ascii="Etasr" w:hAnsi="Etasr"/>
          <w:b/>
          <w:sz w:val="36"/>
          <w:szCs w:val="36"/>
        </w:rPr>
        <w:t>A Deep Learning Approach</w:t>
      </w:r>
    </w:p>
    <w:p>
      <w:pPr>
        <w:pStyle w:val="34"/>
      </w:pPr>
    </w:p>
    <w:p>
      <w:pPr>
        <w:pStyle w:val="17"/>
        <w:ind w:left="0"/>
        <w:jc w:val="both"/>
        <w:rPr>
          <w:rFonts w:hint="eastAsia" w:ascii="ETASR Author" w:hAnsi="ETASR Author"/>
          <w:b w:val="0"/>
          <w:sz w:val="20"/>
          <w:szCs w:val="20"/>
        </w:rPr>
      </w:pPr>
      <w:r>
        <w:rPr>
          <w:b w:val="0"/>
          <w:sz w:val="20"/>
          <w:szCs w:val="20"/>
        </w:rPr>
        <w:t xml:space="preserve">                       </w:t>
      </w:r>
      <w:r>
        <w:rPr>
          <w:rFonts w:ascii="ETASR Author" w:hAnsi="ETASR Author"/>
          <w:b w:val="0"/>
          <w:sz w:val="20"/>
          <w:szCs w:val="20"/>
        </w:rPr>
        <w:t>Saai Deepthi Reddy Kancharla</w:t>
      </w:r>
    </w:p>
    <w:p>
      <w:pPr>
        <w:pStyle w:val="20"/>
        <w:ind w:left="0"/>
        <w:rPr>
          <w:rFonts w:hint="eastAsia" w:ascii="ETASR Affiliation" w:hAnsi="ETASR Affiliation"/>
          <w:sz w:val="20"/>
        </w:rPr>
      </w:pPr>
      <w:r>
        <w:rPr>
          <w:rFonts w:ascii="ETASR Affiliation" w:hAnsi="ETASR Affiliation"/>
          <w:sz w:val="20"/>
        </w:rPr>
        <w:t xml:space="preserve">                          Institute of Aeronautical Engineering, Hyderabad</w:t>
      </w:r>
    </w:p>
    <w:p>
      <w:pPr>
        <w:pStyle w:val="20"/>
        <w:rPr>
          <w:rFonts w:hint="eastAsia" w:ascii="ETASR Affiliation" w:hAnsi="ETASR Affiliation"/>
        </w:rPr>
      </w:pPr>
      <w:r>
        <w:rPr>
          <w:rFonts w:ascii="ETASR Affiliation" w:hAnsi="ETASR Affiliation"/>
          <w:sz w:val="20"/>
        </w:rPr>
        <w:t>saideepthikancharla@gmail.com</w:t>
      </w:r>
    </w:p>
    <w:p>
      <w:pPr>
        <w:pStyle w:val="20"/>
      </w:pPr>
    </w:p>
    <w:p>
      <w:pPr>
        <w:pStyle w:val="20"/>
        <w:ind w:left="0"/>
        <w:rPr>
          <w:rFonts w:hint="eastAsia" w:ascii="ETASR Author" w:hAnsi="ETASR Author"/>
          <w:sz w:val="20"/>
        </w:rPr>
      </w:pPr>
      <w:r>
        <w:rPr>
          <w:sz w:val="20"/>
        </w:rPr>
        <w:t xml:space="preserve">         </w:t>
      </w:r>
      <w:r>
        <w:rPr>
          <w:sz w:val="20"/>
        </w:rPr>
        <w:tab/>
      </w:r>
      <w:r>
        <w:rPr>
          <w:sz w:val="20"/>
        </w:rPr>
        <w:t xml:space="preserve">        </w:t>
      </w:r>
      <w:r>
        <w:rPr>
          <w:rFonts w:ascii="ETASR Author" w:hAnsi="ETASR Author"/>
          <w:sz w:val="20"/>
        </w:rPr>
        <w:t>Siva Ramakrishna J</w:t>
      </w:r>
    </w:p>
    <w:p>
      <w:pPr>
        <w:pStyle w:val="20"/>
        <w:ind w:left="0"/>
        <w:rPr>
          <w:rFonts w:hint="eastAsia" w:ascii="ETASR Affiliation" w:hAnsi="ETASR Affiliation"/>
          <w:sz w:val="20"/>
        </w:rPr>
      </w:pPr>
      <w:r>
        <w:rPr>
          <w:sz w:val="20"/>
        </w:rPr>
        <w:t xml:space="preserve">  </w:t>
      </w:r>
      <w:r>
        <w:rPr>
          <w:sz w:val="20"/>
        </w:rPr>
        <w:tab/>
      </w:r>
      <w:r>
        <w:rPr>
          <w:sz w:val="20"/>
        </w:rPr>
        <w:t xml:space="preserve">        </w:t>
      </w:r>
      <w:r>
        <w:rPr>
          <w:rFonts w:ascii="ETASR Affiliation" w:hAnsi="ETASR Affiliation"/>
          <w:sz w:val="20"/>
        </w:rPr>
        <w:t>Institute of Aeronautical Engineering, Hyderabad</w:t>
      </w:r>
    </w:p>
    <w:p>
      <w:pPr>
        <w:pStyle w:val="20"/>
        <w:rPr>
          <w:rFonts w:hint="eastAsia" w:ascii="ETASR Affiliation" w:hAnsi="ETASR Affiliation"/>
        </w:rPr>
      </w:pPr>
      <w:r>
        <w:rPr>
          <w:rFonts w:ascii="ETASR Affiliation" w:hAnsi="ETASR Affiliation"/>
          <w:sz w:val="20"/>
        </w:rPr>
        <w:t>j.sivaramakrishna@iare.ac.in</w:t>
      </w:r>
    </w:p>
    <w:p>
      <w:pPr>
        <w:pStyle w:val="20"/>
      </w:pPr>
    </w:p>
    <w:p>
      <w:pPr>
        <w:pStyle w:val="17"/>
        <w:ind w:left="0"/>
        <w:jc w:val="both"/>
        <w:rPr>
          <w:rFonts w:hint="eastAsia" w:ascii="ETASR Author" w:hAnsi="ETASR Author"/>
          <w:b w:val="0"/>
          <w:sz w:val="20"/>
          <w:szCs w:val="20"/>
        </w:rPr>
      </w:pPr>
      <w:r>
        <w:rPr>
          <w:b w:val="0"/>
          <w:sz w:val="20"/>
          <w:szCs w:val="20"/>
        </w:rPr>
        <w:tab/>
      </w:r>
      <w:r>
        <w:rPr>
          <w:b w:val="0"/>
          <w:sz w:val="20"/>
          <w:szCs w:val="20"/>
        </w:rPr>
        <w:t xml:space="preserve">        </w:t>
      </w:r>
      <w:r>
        <w:rPr>
          <w:rFonts w:ascii="ETASR Author" w:hAnsi="ETASR Author"/>
          <w:b w:val="0"/>
          <w:sz w:val="20"/>
          <w:szCs w:val="20"/>
        </w:rPr>
        <w:t>Riazuddin Mohammed</w:t>
      </w:r>
    </w:p>
    <w:p>
      <w:pPr>
        <w:pStyle w:val="20"/>
        <w:ind w:left="0"/>
        <w:rPr>
          <w:rFonts w:hint="eastAsia" w:ascii="ETASR Affiliation" w:hAnsi="ETASR Affiliation"/>
          <w:sz w:val="20"/>
        </w:rPr>
      </w:pPr>
      <w:r>
        <w:rPr>
          <w:sz w:val="20"/>
        </w:rPr>
        <w:tab/>
      </w:r>
      <w:r>
        <w:rPr>
          <w:sz w:val="20"/>
        </w:rPr>
        <w:t xml:space="preserve">        </w:t>
      </w:r>
      <w:r>
        <w:rPr>
          <w:rFonts w:ascii="ETASR Affiliation" w:hAnsi="ETASR Affiliation"/>
          <w:sz w:val="20"/>
        </w:rPr>
        <w:t>Institute of Aeronautical Engineering, Hyderabad</w:t>
      </w:r>
    </w:p>
    <w:p>
      <w:pPr>
        <w:pStyle w:val="20"/>
        <w:rPr>
          <w:rFonts w:hint="eastAsia" w:ascii="ETASR Affiliation" w:hAnsi="ETASR Affiliation"/>
          <w:sz w:val="20"/>
        </w:rPr>
      </w:pPr>
      <w:r>
        <w:rPr>
          <w:rFonts w:ascii="ETASR Affiliation" w:hAnsi="ETASR Affiliation"/>
          <w:sz w:val="20"/>
        </w:rPr>
        <w:t>riazmd0725@gmail.com</w:t>
      </w:r>
    </w:p>
    <w:p>
      <w:pPr>
        <w:pStyle w:val="20"/>
      </w:pPr>
    </w:p>
    <w:p>
      <w:pPr>
        <w:pStyle w:val="17"/>
        <w:ind w:left="0"/>
        <w:jc w:val="both"/>
        <w:rPr>
          <w:rFonts w:hint="eastAsia" w:ascii="ETASR Author" w:hAnsi="ETASR Author"/>
          <w:b w:val="0"/>
          <w:sz w:val="20"/>
          <w:szCs w:val="20"/>
        </w:rPr>
      </w:pPr>
      <w:r>
        <w:rPr>
          <w:b w:val="0"/>
          <w:sz w:val="20"/>
          <w:szCs w:val="20"/>
        </w:rPr>
        <w:t xml:space="preserve">                      </w:t>
      </w:r>
      <w:r>
        <w:rPr>
          <w:rFonts w:ascii="ETASR Author" w:hAnsi="ETASR Author"/>
          <w:b w:val="0"/>
          <w:sz w:val="20"/>
          <w:szCs w:val="20"/>
        </w:rPr>
        <w:t>Ruchitha J</w:t>
      </w:r>
    </w:p>
    <w:p>
      <w:pPr>
        <w:pStyle w:val="20"/>
        <w:ind w:left="0"/>
        <w:rPr>
          <w:rFonts w:hint="eastAsia" w:ascii="ETASR Affiliation" w:hAnsi="ETASR Affiliation"/>
          <w:sz w:val="20"/>
        </w:rPr>
      </w:pPr>
      <w:r>
        <w:rPr>
          <w:sz w:val="20"/>
        </w:rPr>
        <w:t xml:space="preserve">                      </w:t>
      </w:r>
      <w:r>
        <w:rPr>
          <w:rFonts w:ascii="ETASR Affiliation" w:hAnsi="ETASR Affiliation"/>
          <w:sz w:val="20"/>
        </w:rPr>
        <w:t>Institute of Aeronautical Engineering, Hyderabad</w:t>
      </w:r>
    </w:p>
    <w:p>
      <w:pPr>
        <w:pStyle w:val="20"/>
        <w:ind w:left="0"/>
        <w:rPr>
          <w:rFonts w:hint="eastAsia" w:ascii="ETASR Affiliation" w:hAnsi="ETASR Affiliation"/>
          <w:sz w:val="20"/>
        </w:rPr>
      </w:pPr>
      <w:r>
        <w:rPr>
          <w:rFonts w:ascii="ETASR Affiliation" w:hAnsi="ETASR Affiliation"/>
          <w:sz w:val="20"/>
        </w:rPr>
        <w:t xml:space="preserve">                         ruchiimudhiraj@gmail.com</w:t>
      </w:r>
    </w:p>
    <w:p>
      <w:pPr>
        <w:pStyle w:val="20"/>
      </w:pPr>
    </w:p>
    <w:p>
      <w:pPr>
        <w:pStyle w:val="20"/>
        <w:rPr>
          <w:vertAlign w:val="superscript"/>
        </w:rPr>
      </w:pPr>
    </w:p>
    <w:p>
      <w:pPr>
        <w:pStyle w:val="20"/>
        <w:rPr>
          <w:vertAlign w:val="superscript"/>
        </w:rPr>
        <w:sectPr>
          <w:headerReference r:id="rId3" w:type="default"/>
          <w:footerReference r:id="rId4" w:type="default"/>
          <w:type w:val="continuous"/>
          <w:pgSz w:w="12240" w:h="15840"/>
          <w:pgMar w:top="1080" w:right="893" w:bottom="1440" w:left="893" w:header="720" w:footer="720" w:gutter="0"/>
          <w:pgNumType w:start="123456"/>
          <w:cols w:space="720" w:num="1"/>
          <w:docGrid w:linePitch="360" w:charSpace="0"/>
        </w:sectPr>
      </w:pPr>
    </w:p>
    <w:p>
      <w:pPr>
        <w:pStyle w:val="57"/>
      </w:pPr>
      <w:r>
        <w:t xml:space="preserve">Received: 1 January 202X | Revised: 2 February 202X | Accepted: 3 March 202X    ("ETASR dates" style) </w:t>
      </w:r>
    </w:p>
    <w:p>
      <w:pPr>
        <w:pStyle w:val="34"/>
      </w:pPr>
    </w:p>
    <w:p>
      <w:pPr>
        <w:pStyle w:val="34"/>
        <w:sectPr>
          <w:type w:val="continuous"/>
          <w:pgSz w:w="12240" w:h="15840"/>
          <w:pgMar w:top="1080" w:right="893" w:bottom="1440" w:left="893" w:header="720" w:footer="720" w:gutter="0"/>
          <w:cols w:space="720" w:num="1"/>
          <w:docGrid w:linePitch="360" w:charSpace="0"/>
        </w:sectPr>
      </w:pPr>
    </w:p>
    <w:p>
      <w:pPr>
        <w:pStyle w:val="26"/>
      </w:pPr>
      <w:r>
        <w:t>Abstract</w:t>
      </w:r>
    </w:p>
    <w:p>
      <w:pPr>
        <w:pStyle w:val="23"/>
        <w:rPr>
          <w:i w:val="0"/>
          <w:iCs w:val="0"/>
        </w:rPr>
      </w:pPr>
      <w:r>
        <w:rPr>
          <w:i w:val="0"/>
          <w:iCs w:val="0"/>
        </w:rPr>
        <w:t xml:space="preserve">Today, the majority of thyroid nodule diagnoses are made through clinical techniques, which demand a significant amount of personnel &amp; medical equipment. In order to diagnose thyroid ultrasonography nodules automatically, this paper presents a method that combines image texture information &amp; convolutional neural networks. The key actions consist of: By gathering both positive &amp; negative samples, normalizing the pictures, &amp; segmenting the nodule area, the ultrasonography thyroid nodule dataset is first created. Second, a texture features model is created through the extraction of texture features, feature selection, &amp; data dimensionality reduction; Thirdly, a deep neural network is employed to obtain a feature representation of the nodule in photos by transfer learning; Then, a new nodule feature model called Feature Fusion Network is created by fusing the texture &amp; convolutional neural network feature models; Finally, a deep neural network diagnosis model that can adjust to the characteristics of thyroid nodules is created using the Feature Fusion Network to train &amp; improve performance over a single network. 1874 groups of clinical ultrasonography thyroid nodules are gathered in order to test this technique. The Precision &amp; Recall-based Harmonic Average F-score is utilized as a measurement tool. According to experimental findings, the Feature Fusion Network can identify benign from malignant thyroid nodules with an F-score of 92.52%. This work performs better than convolutional neural networks &amp; conventional machine learning techniques. </w:t>
      </w:r>
    </w:p>
    <w:p>
      <w:pPr>
        <w:pStyle w:val="23"/>
        <w:jc w:val="left"/>
        <w:sectPr>
          <w:type w:val="continuous"/>
          <w:pgSz w:w="12240" w:h="15840"/>
          <w:pgMar w:top="1080" w:right="893" w:bottom="1440" w:left="893" w:header="720" w:footer="720" w:gutter="0"/>
          <w:cols w:space="360" w:num="1"/>
          <w:rtlGutter w:val="1"/>
          <w:docGrid w:linePitch="360" w:charSpace="0"/>
        </w:sectPr>
      </w:pPr>
      <w:r>
        <w:t>Keywords-</w:t>
      </w:r>
      <w:r>
        <w:rPr>
          <w:sz w:val="20"/>
        </w:rPr>
        <w:t xml:space="preserve"> </w:t>
      </w:r>
      <w:r>
        <w:t>Machine learning methods, convolutional neural network.</w:t>
      </w:r>
    </w:p>
    <w:p>
      <w:pPr>
        <w:pStyle w:val="18"/>
      </w:pPr>
      <w:r>
        <w:t xml:space="preserve">Introduction </w:t>
      </w:r>
    </w:p>
    <w:p>
      <w:pPr>
        <w:autoSpaceDE w:val="0"/>
        <w:autoSpaceDN w:val="0"/>
        <w:adjustRightInd w:val="0"/>
        <w:spacing w:before="240" w:line="360" w:lineRule="auto"/>
        <w:jc w:val="both"/>
        <w:rPr>
          <w:rFonts w:hint="eastAsia" w:ascii="ETASR body text" w:hAnsi="ETASR body text"/>
        </w:rPr>
      </w:pPr>
      <w:r>
        <w:rPr>
          <w:rFonts w:ascii="ETASR body text" w:hAnsi="ETASR body text"/>
        </w:rPr>
        <w:t xml:space="preserve">Thyroid nodules are becoming more common worldwide as a result of rising human life strain. It has grown to be among the most serious illnesses &amp; is endangering human health [1]. Therefore, it is crucial to diagnose thyroid nodules as soon as possible [2]. The most common aspiration biopsy, CT scan, ultrasound, &amp; pathological examinations used to diagnose thyroid nodules. Nuclear scanning, which is necessary for a CT exam but expensive &amp; dangerous to patients, is required. Despite being more widely used &amp; accurate methods, needle biopsy &amp; pathological examination cause significant stress to thyroid tissue. Additionally, the lengthy nature of their diagnosis will require extra medical resources. The most popular imaging technique used nowadays to diagnose thyroid disorders is ultrasound. Its benefits include speed, affordability, non-invasiveness, repeatability, &amp; simplicity. Normally, clinicians can decide harmless &amp; threatening circumstances in view of their clinical mastery, which is exceptionally individualized &amp; defenseless to predisposition. Accordingly, it has become all the more desperately important to have the option to successfully &amp; quickly distinguish &amp; analyze the pathology of ultrasonography thyroid knobs. Man-made brainpower innovation has continuously become more common in medication during the beyond couple of years, especially in the fields of imaging [3]-[5] &amp; signal [6]. One critical area of current review is the way to fabricate a PC helped robotized thyroid determination framework utilizing data from ultrasound pictures [7], [8]. Utilization of elements extraction designing &amp; classifiers for characterization to support clinical diagnostics is a predominant practice. For example, Zheng et al [9]  utilization of LR (Calculated Relapse) to kill factors that affected recognizing harmless &amp; destructive thyroid was effective. This regression models can classify photos in a pathological manner. In order to diagnose thyroid nodules, Liu [10] collected local texture data from the region of interest &amp; used the KNN (K-Nearest Neighbor) method. To aid medical professionals in detection using classifiers based on genetic planning, [11] Choi &amp; Choi developed thresholds &amp; 3D connected region labelling techniques. These technologies establish precise computer diagnosis techniques &amp; are based on computer theoretical systems. However, it depends on how complete the information about the feature textures is &amp; how well the classifier is chosen. </w:t>
      </w:r>
    </w:p>
    <w:p>
      <w:pPr>
        <w:autoSpaceDE w:val="0"/>
        <w:autoSpaceDN w:val="0"/>
        <w:adjustRightInd w:val="0"/>
        <w:spacing w:before="240" w:line="360" w:lineRule="auto"/>
        <w:jc w:val="both"/>
        <w:rPr>
          <w:rFonts w:hint="eastAsia" w:ascii="ETASR body text" w:hAnsi="ETASR body text"/>
        </w:rPr>
      </w:pPr>
      <w:r>
        <w:rPr>
          <w:rFonts w:ascii="ETASR body text" w:hAnsi="ETASR body text"/>
        </w:rPr>
        <w:drawing>
          <wp:inline distT="0" distB="0" distL="0" distR="0">
            <wp:extent cx="2747010" cy="876300"/>
            <wp:effectExtent l="19050" t="0" r="0" b="0"/>
            <wp:docPr id="6" name="Picture 1" descr="Thyroid nodules classification and diagnosis in ultrasound images using  fine‐tuning deep convolutional neural network - Moussa - 2020 -  International Journal of Imaging Systems and Technology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Thyroid nodules classification and diagnosis in ultrasound images using  fine‐tuning deep convolutional neural network - Moussa - 2020 -  International Journal of Imaging Systems and Technology - Wiley Online  Library"/>
                    <pic:cNvPicPr>
                      <a:picLocks noChangeAspect="1" noChangeArrowheads="1"/>
                    </pic:cNvPicPr>
                  </pic:nvPicPr>
                  <pic:blipFill>
                    <a:blip r:embed="rId6" cstate="print"/>
                    <a:srcRect/>
                    <a:stretch>
                      <a:fillRect/>
                    </a:stretch>
                  </pic:blipFill>
                  <pic:spPr>
                    <a:xfrm>
                      <a:off x="0" y="0"/>
                      <a:ext cx="2747010" cy="876513"/>
                    </a:xfrm>
                    <a:prstGeom prst="rect">
                      <a:avLst/>
                    </a:prstGeom>
                    <a:noFill/>
                    <a:ln w="9525">
                      <a:noFill/>
                      <a:miter lim="800000"/>
                      <a:headEnd/>
                      <a:tailEnd/>
                    </a:ln>
                  </pic:spPr>
                </pic:pic>
              </a:graphicData>
            </a:graphic>
          </wp:inline>
        </w:drawing>
      </w:r>
    </w:p>
    <w:p>
      <w:pPr>
        <w:autoSpaceDE w:val="0"/>
        <w:autoSpaceDN w:val="0"/>
        <w:adjustRightInd w:val="0"/>
        <w:spacing w:before="240" w:line="360" w:lineRule="auto"/>
        <w:jc w:val="both"/>
        <w:rPr>
          <w:rFonts w:hint="eastAsia" w:ascii="ETASR figure caption" w:hAnsi="ETASR figure caption"/>
        </w:rPr>
      </w:pPr>
      <w:r>
        <w:rPr>
          <w:rFonts w:ascii="ETASR figure caption" w:hAnsi="ETASR figure caption"/>
        </w:rPr>
        <w:tab/>
      </w:r>
      <w:r>
        <w:rPr>
          <w:rFonts w:ascii="ETASR figure caption" w:hAnsi="ETASR figure caption"/>
        </w:rPr>
        <w:tab/>
      </w:r>
      <w:r>
        <w:rPr>
          <w:rFonts w:ascii="ETASR figure caption" w:hAnsi="ETASR figure caption"/>
        </w:rPr>
        <w:t>Fig 1. Example figure</w:t>
      </w:r>
    </w:p>
    <w:p>
      <w:pPr>
        <w:pStyle w:val="2"/>
      </w:pPr>
      <w:r>
        <w:t>LITERATURE REVIEW</w:t>
      </w:r>
    </w:p>
    <w:p>
      <w:pPr>
        <w:spacing w:before="240" w:line="360" w:lineRule="auto"/>
        <w:jc w:val="both"/>
        <w:rPr>
          <w:rFonts w:hint="eastAsia" w:ascii="ETASR body text" w:hAnsi="ETASR body text"/>
        </w:rPr>
      </w:pPr>
      <w:r>
        <w:rPr>
          <w:rFonts w:ascii="ETASR body text" w:hAnsi="ETASR body text"/>
        </w:rPr>
        <w:t xml:space="preserve">In this section, we evaluate the relevant literature for earlier investigations on thyroid categorization in this section. As a recommended method, the categorization of ultrasound images has been the subject of several of these investigations.  </w:t>
      </w:r>
    </w:p>
    <w:p>
      <w:pPr>
        <w:spacing w:before="240" w:line="360" w:lineRule="auto"/>
        <w:jc w:val="both"/>
        <w:rPr>
          <w:rFonts w:hint="eastAsia" w:ascii="ETASR body text" w:hAnsi="ETASR body text"/>
        </w:rPr>
      </w:pPr>
      <w:r>
        <w:rPr>
          <w:rFonts w:ascii="ETASR body text" w:hAnsi="ETASR body text"/>
        </w:rPr>
        <w:t xml:space="preserve">Thyroid malignant growth is supposed to surpass different tumors as the fourth most normal all around the world as the recurrence of the illness rises. The age-normalized occurrence pace of thyroid disease expanded by 20% around the world between 1990 &amp; 2013. The upgraded conclusion of early cancers, the more noteworthy predominance of modifiable individual gamble factors (such heftiness), &amp; the expanded openness to natural gamble factors have all been ensnared in this worldwide expansion in occurrence (for instance, iodine levels). In this survey, we explore laid out &amp; new hypotheses for how ecological openings &amp; modifiable gamble variables might be adding to the worldwide ascent in thyroid disease rate. In certain locales of the world, over screening &amp; the expanded determination of illnesses that may not be clinically significant may play a commitment, but rather in different districts, expanding openness dangers may really be adding to an ascent in frequency. Public &amp; overall vault information ought to be utilized in the ongoing time of tweaked medication to distinguish populaces that are bound to foster thyroid malignant growth. [1].   </w:t>
      </w:r>
    </w:p>
    <w:p>
      <w:pPr>
        <w:spacing w:before="240" w:line="360" w:lineRule="auto"/>
        <w:jc w:val="both"/>
        <w:rPr>
          <w:rFonts w:hint="eastAsia" w:ascii="ETASR body text" w:hAnsi="ETASR body text"/>
        </w:rPr>
      </w:pPr>
      <w:r>
        <w:rPr>
          <w:rFonts w:ascii="ETASR body text" w:hAnsi="ETASR body text"/>
        </w:rPr>
        <w:t>A previous research described that although early determination for hypothyroid knob type is critical, the symptomatic viability of traditional diagnostics is a troublesome issue. Here, we sought to identify the ideal combination of variables to improve the demonstration precision for separating safe from harmful thyroid knobs prior to medical intervention. 345 thyroidectomy references from 2008 to 2012 were remembered for an imminent exploration. With a proportion of 7:3, the example size was isolated into preparing &amp; testing gatherings. The previous was applied to gauge, variable determination, &amp; figure blend a straight style. To arrive at the meager ideal mix of parts, Smooth Clipped Absolute Deviation strategic relapse(SCAD) was used. Notwithstanding knob &amp; curve greatest widths, their volumes were thought about as significant measures for threat expectation (a sum of 16 variables). The SCAD strategy, nonetheless, anticipated that the coefficients of 8 components were zero &amp; taken out them from the model. Subsequently, a meager model was made to integrate the impacts of 8 boundaries to recognize dangerous &amp; harmless thyroid knobs. For our assessed model, we had the option to decide the ROC bend's ideal endpoint (p=0.44), &amp; the region under the bend (AUC) was determined to be 77% (95% CI: 68%-85%). For this model, the relative responsiveness, explicitness, positive prescient worth, &amp; negative prescient worth were 70%, 72%, 71%, &amp; 76%. The discoveries of the measurable demonstrating approaches were viewed as valuable in the early conclusion of thyroid knob type, expanding by 10% &amp; having a higher exactness rate when contrasted with the consequences of FNA testing (SCAD &amp; ANN strategies). Also, the component positioning given by these methods is helpful in the clinical setting. [2]</w:t>
      </w:r>
    </w:p>
    <w:p>
      <w:pPr>
        <w:spacing w:before="240" w:line="360" w:lineRule="auto"/>
        <w:jc w:val="both"/>
        <w:rPr>
          <w:rFonts w:hint="eastAsia" w:ascii="ETASR body text" w:hAnsi="ETASR body text"/>
        </w:rPr>
      </w:pPr>
      <w:r>
        <w:rPr>
          <w:rFonts w:ascii="ETASR body text" w:hAnsi="ETASR body text"/>
        </w:rPr>
        <w:t xml:space="preserve">  It was proposed that malignant growth imaging assessments are fundamentally performed physically by specialists, requiring an elevated degree of the specialists' expert skill, clinical experience, &amp; concentration. Radiologists, nonetheless, are confronting a rising number of troubles because of the developing volume of clinical imaging information. An answer for the programmed examination of clinical pictures can be found with the discovery of digestive system cancer  (DSC) in light of man-made brainpower (artificial intelligence), which can likewise assist specialists with making high-accuracy, savvy malignant growth analyze. locales covered the essential target of this study is to make sense of the vital philosophies for the simulated intelligence-based location of DSC &amp; to act as a helpful asset for scientists. Mean whereas, it features the main points of contention with current procedures &amp; offers better course for future review. Master investigation: The methods of AI &amp; profound realizing, which lessen the inward data of pictures that is hard for people to uncover, can all the more likely achieve the programmed grouping, acknowledgment, &amp; division of DSC. The use of simulated intelligence to help imaging specialists in the conclusion of DSC can rapidly &amp; really distinguish malignant growth &amp; decrease how much time it takes for clinicians to make a finding. These can act as the foundation for more exact clinical determination, treatment arranging, &amp; quantitative DSC assessment.[3]    </w:t>
      </w:r>
    </w:p>
    <w:p>
      <w:pPr>
        <w:spacing w:before="240" w:line="360" w:lineRule="auto"/>
        <w:jc w:val="both"/>
        <w:rPr>
          <w:rFonts w:hint="eastAsia" w:ascii="ETASR body text" w:hAnsi="ETASR body text"/>
        </w:rPr>
      </w:pPr>
      <w:r>
        <w:rPr>
          <w:rFonts w:ascii="ETASR body text" w:hAnsi="ETASR body text"/>
        </w:rPr>
        <w:t xml:space="preserve">A theory using B mode ultrasound information a non-division radiological technique for grouping harmless &amp; threatening thyroid malignant growths. With this methodology, the advantages of morphological information from ultrasonography &amp; convolutional brain networks were consolidated for programmed highlight extraction &amp; exact order. Rather than the traditional element extraction strategy, this technique extricated includes straightforwardly from the informational collection without the prerequisite for human methodology or division. For the end goal of preparing, 861 photographs of harmless knobs &amp; 740 photos of malignant knobs were assembled. A profound convolution brain network called VGG-16 was worked to evaluate test information, which included 100 photographs of dangerous knobs &amp; 109 pictures of harmless knobs. The classifier was prepared &amp; tried utilizing a nine-crease cross approval. The examination uncovered that the strategy's exactness, responsiveness, &amp; particularity were all 86.12%, 87%, &amp; 85.32% individually. The exactness, awareness, &amp; explicitness of this PC supported approach were comparable to those revealed by an accomplished radiologist utilizing the thyroid imaging reporting &amp; data system (ACR TI-RADS) (precision: 87.56%, responsiveness: 92%, &amp; particularity: 83.49%). The technique's robotization benefit showed potential for use in PC helped thyroid disease diagnostics.[4]  </w:t>
      </w:r>
    </w:p>
    <w:p>
      <w:pPr>
        <w:spacing w:before="240" w:line="360" w:lineRule="auto"/>
        <w:jc w:val="both"/>
        <w:rPr>
          <w:rFonts w:hint="eastAsia" w:ascii="ETASR body text" w:hAnsi="ETASR body text"/>
        </w:rPr>
      </w:pPr>
      <w:r>
        <w:rPr>
          <w:rFonts w:ascii="ETASR body text" w:hAnsi="ETASR body text"/>
        </w:rPr>
        <w:t>In a research, photographs of 2450 harmless thyroid knobs &amp; 2557 threatening thyroid knobs were assembled &amp; classified, &amp; a profound learning framework called the YOLOv2 brain network was utilized to fabricate an independent picture acknowledgment &amp; demonstrative framework. The framework's adequacy in diagnosing thyroid knobs was surveyed, &amp; the utilization of computerized reasoning in clinical settings was investigated. Techniques 276 patients' ultrasound pictures were reflectively picked. The pictures were consequently distinguished &amp; analyzed utilizing the laid out man-made reasoning framework, &amp; the radiologists' determinations depended on the Thyroid Imaging Detailing &amp; Information Framework. The authoritative determination was made in view of obsessive examination. The injury district was effectively perceived by the man-made brainpower conclusion framework with a ROC bend region, the outcome was more prominent than that of the radiologists (0.859). This outcome recommends a more serious level of symptomatic accuracy (p = 0.0434). The computerized reasoning determination framework's exhibition didn't   significantly contrast from that of the radiologists (p &gt; 0.05) regarding responsiveness, positive prescient worth, negative prescient worth, &amp; exactness for the ID of threatening thyroid knobs. The explicitness of the simulated intelligence conclusion framework was more noteworthy (89.91% versus 77.98%, p = 0.026). Ends the man-made reasoning framework performs much the same way to experienced radiologists with regards to responsiveness &amp; exactness for the conclusion of harmful thyroid knobs &amp; performs better for the determination of harmless thyroid knobs. This computerized reasoning determination framework can help radiologists adequately in the finding of harmless &amp; threatening thyroid knobs as an adjunctive device.[5].</w:t>
      </w:r>
    </w:p>
    <w:p>
      <w:pPr>
        <w:pStyle w:val="2"/>
      </w:pPr>
      <w:r>
        <w:t xml:space="preserve"> METHODOLOGY</w:t>
      </w:r>
    </w:p>
    <w:p>
      <w:pPr>
        <w:widowControl w:val="0"/>
        <w:autoSpaceDE w:val="0"/>
        <w:autoSpaceDN w:val="0"/>
        <w:spacing w:line="360" w:lineRule="auto"/>
        <w:jc w:val="both"/>
        <w:rPr>
          <w:rFonts w:hint="eastAsia" w:ascii="ETASR body text" w:hAnsi="ETASR body text"/>
        </w:rPr>
      </w:pPr>
      <w:r>
        <w:rPr>
          <w:rFonts w:ascii="ETASR body text" w:hAnsi="ETASR body text"/>
        </w:rPr>
        <w:t>Convolutional neural networks are being studied by certain researchers to detect thyroid ultrasonography nodules as deep learning technology advances. For instance, S-Detect technology was developed by Moran [12] based on the Google Network. To enhance diagnostic performance, they worked together with clinical sonographers to make a combined diagnosis. In order to learn 3D features, Xie [13] divided nodules into 9 perspectives. To represent appearance, voxel, &amp; shape specificity, they constructed a multi-view knowledge-based collaborative model for each view &amp; fed three images into the ResNet-50 network for training. In conclusion, convolutional neural networks typically do not require a lot of pre-processing steps &amp; have the advantages of being convenient &amp; straightforward. However, because there was insufficient prior theoretical underpinning, it was heavily dependent on the feature completeness of the training data. In this situation, the purpose &amp; specifics of the feature training are typically undisclosed. There is still an urgent need to figure out how to increase diagnosis accuracy.</w:t>
      </w:r>
    </w:p>
    <w:p>
      <w:pPr>
        <w:widowControl w:val="0"/>
        <w:autoSpaceDE w:val="0"/>
        <w:autoSpaceDN w:val="0"/>
        <w:spacing w:line="360" w:lineRule="auto"/>
        <w:jc w:val="both"/>
        <w:rPr>
          <w:rFonts w:hint="eastAsia" w:ascii="ETASR Heading 1" w:hAnsi="ETASR Heading 1"/>
          <w:b/>
        </w:rPr>
      </w:pPr>
      <w:r>
        <w:rPr>
          <w:rFonts w:ascii="ETASR Heading 1" w:hAnsi="ETASR Heading 1"/>
          <w:b/>
        </w:rPr>
        <w:t>Disadvantages:</w:t>
      </w:r>
    </w:p>
    <w:p>
      <w:pPr>
        <w:spacing w:line="360" w:lineRule="auto"/>
        <w:jc w:val="both"/>
        <w:rPr>
          <w:rFonts w:hint="eastAsia" w:ascii="ETASR body text" w:hAnsi="ETASR body text"/>
        </w:rPr>
      </w:pPr>
      <w:r>
        <w:rPr>
          <w:rFonts w:ascii="ETASR body text" w:hAnsi="ETASR body text"/>
        </w:rPr>
        <w:t>1. However, due to a lack of adequate previous theoretical underpinning, it is highly dependent on the feature completeness of training data.</w:t>
      </w:r>
    </w:p>
    <w:p>
      <w:pPr>
        <w:spacing w:line="360" w:lineRule="auto"/>
        <w:jc w:val="both"/>
        <w:rPr>
          <w:rFonts w:hint="eastAsia" w:ascii="ETASR body text" w:hAnsi="ETASR body text"/>
        </w:rPr>
      </w:pPr>
      <w:r>
        <w:rPr>
          <w:rFonts w:ascii="ETASR body text" w:hAnsi="ETASR body text"/>
        </w:rPr>
        <w:t>2. In this situation, the purpose &amp; specifics of the feature training are typically undisclosed.</w:t>
      </w:r>
    </w:p>
    <w:p>
      <w:pPr>
        <w:spacing w:line="360" w:lineRule="auto"/>
        <w:jc w:val="both"/>
        <w:rPr>
          <w:rFonts w:hint="eastAsia" w:ascii="ETASR body text" w:hAnsi="ETASR body text"/>
        </w:rPr>
      </w:pPr>
      <w:r>
        <w:rPr>
          <w:rFonts w:ascii="ETASR body text" w:hAnsi="ETASR body text"/>
        </w:rPr>
        <w:t>3. There is still an urgent need to find ways to increase diagnosis accuracy.</w:t>
      </w:r>
    </w:p>
    <w:p>
      <w:pPr>
        <w:spacing w:line="360" w:lineRule="auto"/>
        <w:jc w:val="both"/>
        <w:rPr>
          <w:rFonts w:hint="eastAsia" w:ascii="ETASR body text" w:hAnsi="ETASR body text"/>
        </w:rPr>
      </w:pPr>
      <w:r>
        <w:rPr>
          <w:rFonts w:ascii="ETASR body text" w:hAnsi="ETASR body text"/>
        </w:rPr>
        <w:t>This study proposes an automated method for thyroid ultrasound nodule identification that uses convolutional neural networks &amp; picture texture information. The essential actions include: The ultrasonography thyroid nodule dataset is initially constructed by collecting both positive &amp; negative samples, normalizing the images, then segmenting the nodule region. Second, texture features are extracted, features are chosen, &amp; data dimensionality is reduced to generate a texture features model; Thirdly, transfer learning is used to create a feature representation of the nodule in pictures using a deep neural network; The texture &amp; convolutional neural network feature models are then combined to generate a new nodular feature model called Feature Fusion Network; To train the network, a deep neural network diagnosis model with fusion features is used.</w:t>
      </w:r>
    </w:p>
    <w:p>
      <w:pPr>
        <w:spacing w:line="360" w:lineRule="auto"/>
        <w:jc w:val="both"/>
        <w:rPr>
          <w:rFonts w:hint="eastAsia" w:ascii="ETASR Heading 1" w:hAnsi="ETASR Heading 1"/>
          <w:b/>
          <w:bCs/>
        </w:rPr>
      </w:pPr>
      <w:r>
        <w:rPr>
          <w:rFonts w:ascii="ETASR Heading 1" w:hAnsi="ETASR Heading 1"/>
          <w:b/>
          <w:bCs/>
        </w:rPr>
        <w:t>Advantages:</w:t>
      </w:r>
    </w:p>
    <w:p>
      <w:pPr>
        <w:spacing w:line="360" w:lineRule="auto"/>
        <w:jc w:val="both"/>
        <w:rPr>
          <w:rFonts w:hint="eastAsia" w:ascii="ETASR body text" w:hAnsi="ETASR body text"/>
          <w:b/>
          <w:bCs/>
        </w:rPr>
      </w:pPr>
      <w:r>
        <w:rPr>
          <w:rFonts w:ascii="ETASR body text" w:hAnsi="ETASR body text"/>
        </w:rPr>
        <w:t>This approach performs better than convolutional neural networks &amp; conventional machine learning techniques.</w:t>
      </w:r>
    </w:p>
    <w:p>
      <w:pPr>
        <w:spacing w:line="360" w:lineRule="auto"/>
        <w:jc w:val="both"/>
        <w:rPr>
          <w:rFonts w:hint="eastAsia" w:ascii="ETASR body text" w:hAnsi="ETASR body text"/>
        </w:rPr>
      </w:pPr>
      <w:r>
        <w:rPr>
          <w:color w:val="000000"/>
          <w:sz w:val="24"/>
          <w:szCs w:val="24"/>
          <w:lang w:val="en-IN" w:eastAsia="en-IN"/>
        </w:rPr>
        <w:drawing>
          <wp:inline distT="0" distB="0" distL="0" distR="0">
            <wp:extent cx="3206750" cy="1853565"/>
            <wp:effectExtent l="0" t="0" r="6350" b="635"/>
            <wp:docPr id="14085677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7718" name="Picture 2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6750" cy="1853565"/>
                    </a:xfrm>
                    <a:prstGeom prst="rect">
                      <a:avLst/>
                    </a:prstGeom>
                  </pic:spPr>
                </pic:pic>
              </a:graphicData>
            </a:graphic>
          </wp:inline>
        </w:drawing>
      </w:r>
    </w:p>
    <w:p>
      <w:pPr>
        <w:spacing w:line="360" w:lineRule="auto"/>
        <w:jc w:val="both"/>
        <w:rPr>
          <w:rFonts w:hint="eastAsia" w:ascii="ETASR figure caption" w:hAnsi="ETASR figure caption"/>
        </w:rPr>
      </w:pPr>
      <w:r>
        <w:rPr>
          <w:rFonts w:ascii="ETASR figure caption" w:hAnsi="ETASR figure caption"/>
        </w:rPr>
        <w:tab/>
      </w:r>
      <w:r>
        <w:rPr>
          <w:rFonts w:ascii="ETASR figure caption" w:hAnsi="ETASR figure caption"/>
        </w:rPr>
        <w:tab/>
      </w:r>
      <w:r>
        <w:rPr>
          <w:rFonts w:ascii="ETASR figure caption" w:hAnsi="ETASR figure caption"/>
        </w:rPr>
        <w:t>Fig 2. System architecture</w:t>
      </w:r>
    </w:p>
    <w:p>
      <w:pPr>
        <w:spacing w:line="360" w:lineRule="auto"/>
        <w:jc w:val="both"/>
        <w:rPr>
          <w:rFonts w:hint="eastAsia" w:ascii="ETASR body text" w:hAnsi="ETASR body text"/>
          <w:b/>
        </w:rPr>
      </w:pPr>
    </w:p>
    <w:p>
      <w:pPr>
        <w:spacing w:line="360" w:lineRule="auto"/>
        <w:jc w:val="both"/>
        <w:rPr>
          <w:rFonts w:hint="eastAsia" w:ascii="ETASR body text" w:hAnsi="ETASR body text"/>
          <w:b/>
        </w:rPr>
      </w:pPr>
      <w:r>
        <w:rPr>
          <w:rFonts w:ascii="ETASR body text" w:hAnsi="ETASR body text"/>
          <w:b/>
        </w:rPr>
        <w:t>MODULES:</w:t>
      </w:r>
    </w:p>
    <w:p>
      <w:pPr>
        <w:spacing w:line="360" w:lineRule="auto"/>
        <w:jc w:val="both"/>
        <w:rPr>
          <w:rFonts w:hint="eastAsia" w:ascii="ETASR body text" w:hAnsi="ETASR body text"/>
          <w:b/>
        </w:rPr>
      </w:pPr>
      <w:r>
        <w:rPr>
          <w:rFonts w:ascii="ETASR body text" w:hAnsi="ETASR body text"/>
        </w:rPr>
        <w:t>To implement aforementioned project we have designed following modules</w:t>
      </w:r>
    </w:p>
    <w:p>
      <w:pPr>
        <w:pStyle w:val="68"/>
        <w:numPr>
          <w:ilvl w:val="0"/>
          <w:numId w:val="8"/>
        </w:numPr>
        <w:spacing w:line="360" w:lineRule="auto"/>
        <w:jc w:val="both"/>
        <w:rPr>
          <w:rFonts w:ascii="ETASR body text" w:hAnsi="ETASR body text"/>
          <w:b/>
        </w:rPr>
      </w:pPr>
      <w:r>
        <w:rPr>
          <w:rFonts w:ascii="ETASR body text" w:hAnsi="ETASR body text"/>
          <w:bCs/>
        </w:rPr>
        <w:t>Data exploration: using this module we will load data into system</w:t>
      </w:r>
      <w:r>
        <w:rPr>
          <w:rFonts w:ascii="ETASR body text" w:hAnsi="ETASR body text"/>
          <w:bCs/>
        </w:rPr>
        <w:tab/>
      </w:r>
    </w:p>
    <w:p>
      <w:pPr>
        <w:pStyle w:val="68"/>
        <w:numPr>
          <w:ilvl w:val="0"/>
          <w:numId w:val="8"/>
        </w:numPr>
        <w:spacing w:line="360" w:lineRule="auto"/>
        <w:jc w:val="both"/>
        <w:rPr>
          <w:rFonts w:ascii="ETASR body text" w:hAnsi="ETASR body text"/>
          <w:b/>
        </w:rPr>
      </w:pPr>
      <w:r>
        <w:rPr>
          <w:rFonts w:ascii="ETASR body text" w:hAnsi="ETASR body text"/>
          <w:bCs/>
        </w:rPr>
        <w:t>Processing: Using the module we will read data for processing</w:t>
      </w:r>
    </w:p>
    <w:p>
      <w:pPr>
        <w:pStyle w:val="68"/>
        <w:numPr>
          <w:ilvl w:val="0"/>
          <w:numId w:val="8"/>
        </w:numPr>
        <w:spacing w:line="360" w:lineRule="auto"/>
        <w:jc w:val="both"/>
        <w:rPr>
          <w:rFonts w:ascii="ETASR body text" w:hAnsi="ETASR body text"/>
          <w:b/>
        </w:rPr>
      </w:pPr>
      <w:r>
        <w:rPr>
          <w:rFonts w:ascii="ETASR body text" w:hAnsi="ETASR body text"/>
          <w:bCs/>
        </w:rPr>
        <w:t>Splitting data into train &amp; test: using this module data will be divided into train &amp; test</w:t>
      </w:r>
    </w:p>
    <w:p>
      <w:pPr>
        <w:pStyle w:val="68"/>
        <w:numPr>
          <w:ilvl w:val="0"/>
          <w:numId w:val="8"/>
        </w:numPr>
        <w:spacing w:line="360" w:lineRule="auto"/>
        <w:jc w:val="both"/>
        <w:rPr>
          <w:rFonts w:ascii="ETASR body text" w:hAnsi="ETASR body text"/>
          <w:b/>
        </w:rPr>
      </w:pPr>
      <w:r>
        <w:rPr>
          <w:rFonts w:ascii="ETASR body text" w:hAnsi="ETASR body text"/>
          <w:bCs/>
        </w:rPr>
        <w:t xml:space="preserve">Model generation: </w:t>
      </w:r>
      <w:r>
        <w:rPr>
          <w:rFonts w:ascii="ETASR body text" w:hAnsi="ETASR body text"/>
        </w:rPr>
        <w:t>Building the models</w:t>
      </w:r>
    </w:p>
    <w:p>
      <w:pPr>
        <w:pStyle w:val="68"/>
        <w:numPr>
          <w:ilvl w:val="0"/>
          <w:numId w:val="8"/>
        </w:numPr>
        <w:spacing w:line="360" w:lineRule="auto"/>
        <w:jc w:val="both"/>
        <w:rPr>
          <w:rFonts w:ascii="ETASR body text" w:hAnsi="ETASR body text"/>
          <w:b/>
        </w:rPr>
      </w:pPr>
      <w:r>
        <w:rPr>
          <w:rFonts w:ascii="ETASR body text" w:hAnsi="ETASR body text"/>
          <w:bCs/>
        </w:rPr>
        <w:t>User signup &amp; login: Using this module will get registration &amp; login</w:t>
      </w:r>
    </w:p>
    <w:p>
      <w:pPr>
        <w:pStyle w:val="68"/>
        <w:numPr>
          <w:ilvl w:val="0"/>
          <w:numId w:val="8"/>
        </w:numPr>
        <w:spacing w:line="360" w:lineRule="auto"/>
        <w:jc w:val="both"/>
        <w:rPr>
          <w:rFonts w:ascii="ETASR body text" w:hAnsi="ETASR body text"/>
          <w:b/>
        </w:rPr>
      </w:pPr>
      <w:r>
        <w:rPr>
          <w:rFonts w:ascii="ETASR body text" w:hAnsi="ETASR body text"/>
          <w:bCs/>
        </w:rPr>
        <w:t>User input: Using this module will give input for prediction</w:t>
      </w:r>
    </w:p>
    <w:p>
      <w:pPr>
        <w:pStyle w:val="68"/>
        <w:numPr>
          <w:ilvl w:val="0"/>
          <w:numId w:val="8"/>
        </w:numPr>
        <w:spacing w:line="360" w:lineRule="auto"/>
        <w:jc w:val="both"/>
        <w:rPr>
          <w:rFonts w:ascii="ETASR body text" w:hAnsi="ETASR body text"/>
          <w:b/>
        </w:rPr>
      </w:pPr>
      <w:r>
        <w:rPr>
          <w:rFonts w:ascii="ETASR body text" w:hAnsi="ETASR body text"/>
          <w:bCs/>
        </w:rPr>
        <w:t xml:space="preserve">Prediction: final predicted displayed </w:t>
      </w:r>
    </w:p>
    <w:p>
      <w:pPr>
        <w:pStyle w:val="2"/>
      </w:pPr>
      <w:r>
        <w:t xml:space="preserve"> IMPLEMENTATION</w:t>
      </w:r>
    </w:p>
    <w:p>
      <w:pPr>
        <w:spacing w:before="240" w:line="360" w:lineRule="auto"/>
        <w:jc w:val="both"/>
        <w:rPr>
          <w:rFonts w:hint="eastAsia" w:ascii="ETASR Heading 1" w:hAnsi="ETASR Heading 1"/>
          <w:b/>
        </w:rPr>
      </w:pPr>
      <w:r>
        <w:rPr>
          <w:rFonts w:ascii="ETASR Heading 1" w:hAnsi="ETASR Heading 1"/>
          <w:b/>
        </w:rPr>
        <w:t xml:space="preserve">Feature Fusion ResNet: </w:t>
      </w:r>
    </w:p>
    <w:p>
      <w:pPr>
        <w:spacing w:line="360" w:lineRule="auto"/>
        <w:jc w:val="both"/>
        <w:rPr>
          <w:rFonts w:hint="eastAsia" w:ascii="ETASR body text" w:hAnsi="ETASR body text"/>
        </w:rPr>
      </w:pPr>
      <w:r>
        <w:rPr>
          <w:rFonts w:ascii="ETASR body text" w:hAnsi="ETASR body text"/>
        </w:rPr>
        <w:t>For the proposed model to use however many elements as plausible for the ensuing characterization, highlight combination alludes to the combination of component vectors of preparing pictures recovered from shared weight network layer with include vectors comprising of other mathematical information. The "character alternate route association" laid out by ResNet's counterfeit brain network permits the model to exclude at least one layers. With this strategy, preparing the organization on a large number of levels might be managed without compromising execution.</w:t>
      </w:r>
    </w:p>
    <w:p>
      <w:pPr>
        <w:spacing w:line="360" w:lineRule="auto"/>
        <w:jc w:val="both"/>
        <w:rPr>
          <w:rFonts w:hint="eastAsia" w:ascii="ETASR body text" w:hAnsi="ETASR body text"/>
          <w:b/>
        </w:rPr>
      </w:pPr>
    </w:p>
    <w:p>
      <w:pPr>
        <w:spacing w:line="360" w:lineRule="auto"/>
        <w:jc w:val="both"/>
        <w:rPr>
          <w:rFonts w:hint="eastAsia" w:ascii="ETASR Heading 1" w:hAnsi="ETASR Heading 1"/>
          <w:b/>
        </w:rPr>
      </w:pPr>
      <w:r>
        <w:rPr>
          <w:rFonts w:ascii="ETASR Heading 1" w:hAnsi="ETASR Heading 1"/>
          <w:b/>
        </w:rPr>
        <w:t xml:space="preserve">Feature Fusion VGG16: </w:t>
      </w:r>
    </w:p>
    <w:p>
      <w:pPr>
        <w:spacing w:line="360" w:lineRule="auto"/>
        <w:jc w:val="both"/>
        <w:rPr>
          <w:rFonts w:hint="eastAsia" w:ascii="ETASR body text" w:hAnsi="ETASR body text"/>
        </w:rPr>
      </w:pPr>
      <w:r>
        <w:rPr>
          <w:rFonts w:ascii="ETASR body text" w:hAnsi="ETASR body text"/>
        </w:rPr>
        <w:t>A convolutional neural network with 16 layers is called VGG-16. The ImageNet data set contains a pretrained form of the organization that has been prepared on in excess of 1,000,000 photographs. The prepared organization can distinguish photographs in 1000 different item classifications, including various creatures, a console, a mouse, &amp; more.</w:t>
      </w:r>
    </w:p>
    <w:p>
      <w:pPr>
        <w:spacing w:line="360" w:lineRule="auto"/>
        <w:jc w:val="both"/>
        <w:rPr>
          <w:rFonts w:hint="eastAsia" w:ascii="ETASR Heading 1" w:hAnsi="ETASR Heading 1"/>
          <w:b/>
        </w:rPr>
      </w:pPr>
      <w:r>
        <w:rPr>
          <w:rFonts w:ascii="ETASR Heading 1" w:hAnsi="ETASR Heading 1"/>
          <w:b/>
        </w:rPr>
        <w:t xml:space="preserve">VGG16 with Feed Forward Network Transfer Learning: </w:t>
      </w:r>
    </w:p>
    <w:p>
      <w:pPr>
        <w:spacing w:line="360" w:lineRule="auto"/>
        <w:jc w:val="both"/>
        <w:rPr>
          <w:rFonts w:hint="eastAsia" w:ascii="ETASR body text" w:hAnsi="ETASR body text"/>
        </w:rPr>
      </w:pPr>
      <w:r>
        <w:rPr>
          <w:rFonts w:ascii="ETASR body text" w:hAnsi="ETASR body text"/>
        </w:rPr>
        <w:t>The 16-layer move learning engineering VGG16 is somewhat like going before designs in that CNN alone fills in as its just groundwork, albeit the arrangement is marginally unique. For this design, the scientists utilized a traditional information picture size of 224*224*3, where 3 represents the RGB channel.</w:t>
      </w:r>
    </w:p>
    <w:p>
      <w:pPr>
        <w:spacing w:before="240" w:line="360" w:lineRule="auto"/>
        <w:jc w:val="both"/>
        <w:rPr>
          <w:rFonts w:hint="eastAsia" w:ascii="ETASR Heading 1" w:hAnsi="ETASR Heading 1"/>
          <w:b/>
        </w:rPr>
      </w:pPr>
      <w:r>
        <w:rPr>
          <w:rFonts w:ascii="ETASR Heading 1" w:hAnsi="ETASR Heading 1"/>
          <w:b/>
        </w:rPr>
        <w:t xml:space="preserve">ResNet50: </w:t>
      </w:r>
    </w:p>
    <w:p>
      <w:pPr>
        <w:spacing w:line="360" w:lineRule="auto"/>
        <w:jc w:val="both"/>
        <w:rPr>
          <w:rFonts w:hint="eastAsia" w:ascii="ETASR body text" w:hAnsi="ETASR body text"/>
        </w:rPr>
      </w:pPr>
      <w:r>
        <w:rPr>
          <w:rFonts w:ascii="ETASR body text" w:hAnsi="ETASR body text"/>
        </w:rPr>
        <w:t>A convolutional neural network with 50 layers is called ResNet-50. The ImageNet information base contains a pretrained variant of the organization that has been prepared on in excess of 1,000,000 photographs. The prepared organization can recognize photographs in 1000 different item classes, including various creatures, a console, a mouse, &amp; more.</w:t>
      </w:r>
    </w:p>
    <w:p>
      <w:pPr>
        <w:spacing w:before="240" w:line="360" w:lineRule="auto"/>
        <w:jc w:val="both"/>
        <w:rPr>
          <w:rFonts w:hint="eastAsia" w:ascii="ETASR Heading 1" w:hAnsi="ETASR Heading 1"/>
          <w:b/>
        </w:rPr>
      </w:pPr>
      <w:r>
        <w:rPr>
          <w:rFonts w:ascii="ETASR Heading 1" w:hAnsi="ETASR Heading 1"/>
          <w:b/>
        </w:rPr>
        <w:t xml:space="preserve">VGG16: </w:t>
      </w:r>
    </w:p>
    <w:p>
      <w:pPr>
        <w:spacing w:line="360" w:lineRule="auto"/>
        <w:jc w:val="both"/>
        <w:rPr>
          <w:rFonts w:hint="eastAsia" w:ascii="ETASR body text" w:hAnsi="ETASR body text"/>
        </w:rPr>
      </w:pPr>
      <w:r>
        <w:rPr>
          <w:rFonts w:ascii="ETASR body text" w:hAnsi="ETASR body text"/>
        </w:rPr>
        <w:t>A convolutional neural network with 16 layers is called VGG-16. The ImageNet data set contains a pretrained variant of the organization that has been prepared on in excess of 1,000,000 photographs. The prepared organization can distinguish photographs in 1000 different item classifications, including various creatures, a console, a mouse, &amp; more.</w:t>
      </w:r>
    </w:p>
    <w:p>
      <w:pPr>
        <w:spacing w:before="240" w:line="360" w:lineRule="auto"/>
        <w:jc w:val="both"/>
        <w:rPr>
          <w:rFonts w:hint="eastAsia" w:ascii="ETASR Heading 1" w:hAnsi="ETASR Heading 1"/>
          <w:b/>
        </w:rPr>
      </w:pPr>
      <w:r>
        <w:rPr>
          <w:rFonts w:ascii="ETASR Heading 1" w:hAnsi="ETASR Heading 1"/>
          <w:b/>
        </w:rPr>
        <w:t xml:space="preserve">MobileNet V2: </w:t>
      </w:r>
    </w:p>
    <w:p>
      <w:pPr>
        <w:spacing w:line="360" w:lineRule="auto"/>
        <w:jc w:val="both"/>
        <w:rPr>
          <w:rFonts w:hint="eastAsia" w:ascii="ETASR body text" w:hAnsi="ETASR body text"/>
        </w:rPr>
      </w:pPr>
      <w:r>
        <w:rPr>
          <w:rFonts w:ascii="ETASR body text" w:hAnsi="ETASR body text"/>
        </w:rPr>
        <w:t>A convolutional neural organization of 53 layers profound is called MobileNet-v2. The ImageNet data set contains a pretrained rendition of the organization that has been prepared on in excess of 1,000,000 photographs. The prepared organization can distinguish photographs in 1000 different item classes, including various creatures, a console, a mouse, &amp; more.</w:t>
      </w:r>
    </w:p>
    <w:p>
      <w:pPr>
        <w:spacing w:before="240" w:line="360" w:lineRule="auto"/>
        <w:jc w:val="both"/>
        <w:rPr>
          <w:rFonts w:hint="eastAsia" w:ascii="ETASR Heading 1" w:hAnsi="ETASR Heading 1"/>
          <w:b/>
        </w:rPr>
      </w:pPr>
      <w:r>
        <w:rPr>
          <w:rFonts w:ascii="ETASR Heading 1" w:hAnsi="ETASR Heading 1"/>
          <w:b/>
        </w:rPr>
        <w:t xml:space="preserve">GAN: </w:t>
      </w:r>
    </w:p>
    <w:p>
      <w:pPr>
        <w:spacing w:line="360" w:lineRule="auto"/>
        <w:jc w:val="both"/>
        <w:rPr>
          <w:rFonts w:hint="eastAsia" w:ascii="ETASR body text" w:hAnsi="ETASR body text"/>
        </w:rPr>
      </w:pPr>
      <w:r>
        <w:rPr>
          <w:rFonts w:ascii="ETASR body text" w:hAnsi="ETASR body text"/>
        </w:rPr>
        <w:t>In a machine learning (ML) model called a generative adversarial network (GAN), two brain networks battle with each other to make expectations that are more right. GANs commonly work solo &amp; learn through agreeable lose situations.</w:t>
      </w:r>
    </w:p>
    <w:p>
      <w:pPr>
        <w:spacing w:before="240" w:line="360" w:lineRule="auto"/>
        <w:jc w:val="both"/>
        <w:rPr>
          <w:rFonts w:hint="eastAsia" w:ascii="ETASR Heading 1" w:hAnsi="ETASR Heading 1"/>
          <w:b/>
        </w:rPr>
      </w:pPr>
      <w:r>
        <w:rPr>
          <w:rFonts w:ascii="ETASR Heading 1" w:hAnsi="ETASR Heading 1"/>
          <w:b/>
        </w:rPr>
        <w:t xml:space="preserve">KNN: </w:t>
      </w:r>
    </w:p>
    <w:p>
      <w:pPr>
        <w:spacing w:line="360" w:lineRule="auto"/>
        <w:jc w:val="both"/>
        <w:rPr>
          <w:rFonts w:hint="eastAsia" w:ascii="ETASR body text" w:hAnsi="ETASR body text"/>
        </w:rPr>
      </w:pPr>
      <w:r>
        <w:rPr>
          <w:rFonts w:ascii="ETASR body text" w:hAnsi="ETASR body text"/>
        </w:rPr>
        <w:t>The k-nearest neighbors</w:t>
      </w:r>
      <w:r>
        <w:rPr>
          <w:rFonts w:hint="eastAsia" w:ascii="ETASR body text" w:hAnsi="ETASR body text"/>
        </w:rPr>
        <w:t>’</w:t>
      </w:r>
      <w:r>
        <w:rPr>
          <w:rFonts w:ascii="ETASR body text" w:hAnsi="ETASR body text"/>
        </w:rPr>
        <w:t xml:space="preserve"> calculation, at times alluded to as KNN or k-NN, is a directed learning classifier that utilizes vicinity to deliver characterizations or expectations about the gathering of a solitary piece of information.</w:t>
      </w:r>
    </w:p>
    <w:p>
      <w:pPr>
        <w:spacing w:before="240" w:line="360" w:lineRule="auto"/>
        <w:jc w:val="both"/>
        <w:rPr>
          <w:rFonts w:hint="eastAsia" w:ascii="ETASR Heading 1" w:hAnsi="ETASR Heading 1"/>
          <w:b/>
        </w:rPr>
      </w:pPr>
      <w:r>
        <w:rPr>
          <w:rFonts w:ascii="ETASR Heading 1" w:hAnsi="ETASR Heading 1"/>
          <w:b/>
        </w:rPr>
        <w:t xml:space="preserve">LR: </w:t>
      </w:r>
    </w:p>
    <w:p>
      <w:pPr>
        <w:spacing w:line="360" w:lineRule="auto"/>
        <w:jc w:val="both"/>
        <w:rPr>
          <w:rFonts w:hint="eastAsia" w:ascii="ETASR body text" w:hAnsi="ETASR body text"/>
        </w:rPr>
      </w:pPr>
      <w:r>
        <w:rPr>
          <w:rFonts w:ascii="ETASR body text" w:hAnsi="ETASR body text"/>
        </w:rPr>
        <w:t>In view of a few ward factors, the AI characterization process known as strategic relapse is utilized to gauge the probability of a given class. Generally, the strategic relapse model works out the calculated of the result by figuring the amount of the information highlights (by &amp; large, there is an inclination term).</w:t>
      </w:r>
    </w:p>
    <w:p>
      <w:pPr>
        <w:spacing w:before="240" w:line="360" w:lineRule="auto"/>
        <w:jc w:val="both"/>
        <w:rPr>
          <w:rFonts w:hint="eastAsia" w:ascii="ETASR Heading 1" w:hAnsi="ETASR Heading 1"/>
          <w:b/>
          <w:bCs/>
        </w:rPr>
      </w:pPr>
      <w:r>
        <w:rPr>
          <w:rFonts w:ascii="ETASR Heading 1" w:hAnsi="ETASR Heading 1"/>
          <w:b/>
        </w:rPr>
        <w:t>Voting Classifiers</w:t>
      </w:r>
      <w:r>
        <w:rPr>
          <w:rFonts w:ascii="ETASR Heading 1" w:hAnsi="ETASR Heading 1"/>
          <w:b/>
          <w:bCs/>
        </w:rPr>
        <w:t xml:space="preserve">: </w:t>
      </w:r>
    </w:p>
    <w:p>
      <w:pPr>
        <w:spacing w:line="360" w:lineRule="auto"/>
        <w:jc w:val="both"/>
        <w:rPr>
          <w:rFonts w:hint="eastAsia" w:ascii="ETASR body text" w:hAnsi="ETASR body text"/>
        </w:rPr>
      </w:pPr>
      <w:r>
        <w:rPr>
          <w:rFonts w:ascii="ETASR body text" w:hAnsi="ETASR body text"/>
          <w:bCs/>
        </w:rPr>
        <w:t>A democratic classifier is a sort of AI assessor that fosters various base models or assessors &amp; makes expectations in view of averaging their outcomes. Deciding in favor of every assessor result can be coordinated with the collecting models.</w:t>
      </w:r>
    </w:p>
    <w:p>
      <w:pPr>
        <w:pStyle w:val="2"/>
      </w:pPr>
      <w:r>
        <w:t xml:space="preserve"> EXPERIMENTAL RESULTS</w:t>
      </w:r>
    </w:p>
    <w:p>
      <w:pPr>
        <w:spacing w:line="360" w:lineRule="auto"/>
        <w:jc w:val="both"/>
        <w:rPr>
          <w:rFonts w:hint="eastAsia" w:ascii="ETASR body text" w:hAnsi="ETASR body text"/>
          <w:bCs/>
        </w:rPr>
      </w:pPr>
    </w:p>
    <w:p>
      <w:pPr>
        <w:spacing w:line="360" w:lineRule="auto"/>
        <w:jc w:val="both"/>
        <w:rPr>
          <w:rFonts w:hint="eastAsia" w:ascii="ETASR body text" w:hAnsi="ETASR body text"/>
          <w:bCs/>
        </w:rPr>
      </w:pPr>
      <w:r>
        <w:rPr>
          <w:rFonts w:ascii="ETASR body text" w:hAnsi="ETASR body text"/>
          <w:bCs/>
        </w:rPr>
        <w:t xml:space="preserve"> Initially, we created a webpage to perform the prediction and results of thyroid disease based on the ultrasound image. They can be classified as either malignant or benign </w:t>
      </w:r>
    </w:p>
    <w:p>
      <w:pPr>
        <w:spacing w:line="360" w:lineRule="auto"/>
        <w:jc w:val="both"/>
        <w:rPr>
          <w:rFonts w:hint="eastAsia" w:ascii="ETASR figure caption" w:hAnsi="ETASR figure caption"/>
          <w:bCs/>
        </w:rPr>
      </w:pPr>
      <w:r>
        <w:rPr>
          <w:rFonts w:ascii="ETASR body text" w:hAnsi="ETASR body text"/>
          <w:bCs/>
        </w:rPr>
        <w:drawing>
          <wp:anchor distT="0" distB="0" distL="114300" distR="114300" simplePos="0" relativeHeight="251659264" behindDoc="0" locked="0" layoutInCell="1" allowOverlap="1">
            <wp:simplePos x="0" y="0"/>
            <wp:positionH relativeFrom="column">
              <wp:posOffset>129540</wp:posOffset>
            </wp:positionH>
            <wp:positionV relativeFrom="paragraph">
              <wp:posOffset>233680</wp:posOffset>
            </wp:positionV>
            <wp:extent cx="2910840" cy="1447800"/>
            <wp:effectExtent l="0" t="0" r="3810" b="0"/>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0840" cy="1447800"/>
                    </a:xfrm>
                    <a:prstGeom prst="rect">
                      <a:avLst/>
                    </a:prstGeom>
                    <a:noFill/>
                    <a:ln w="9525">
                      <a:noFill/>
                      <a:miter lim="800000"/>
                      <a:headEnd/>
                      <a:tailEnd/>
                    </a:ln>
                  </pic:spPr>
                </pic:pic>
              </a:graphicData>
            </a:graphic>
          </wp:anchor>
        </w:drawing>
      </w:r>
      <w:r>
        <w:rPr>
          <w:rFonts w:ascii="ETASR body text" w:hAnsi="ETASR body text"/>
          <w:bCs/>
        </w:rPr>
        <w:tab/>
      </w:r>
      <w:r>
        <w:rPr>
          <w:rFonts w:ascii="ETASR body text" w:hAnsi="ETASR body text"/>
          <w:bCs/>
        </w:rPr>
        <w:tab/>
      </w:r>
      <w:r>
        <w:rPr>
          <w:rFonts w:ascii="ETASR figure caption" w:hAnsi="ETASR figure caption"/>
          <w:bCs/>
        </w:rPr>
        <w:t xml:space="preserve">    </w:t>
      </w:r>
    </w:p>
    <w:p>
      <w:pPr>
        <w:spacing w:line="360" w:lineRule="auto"/>
        <w:rPr>
          <w:rFonts w:hint="eastAsia" w:ascii="ETASR figure caption" w:hAnsi="ETASR figure caption"/>
          <w:bCs/>
        </w:rPr>
      </w:pPr>
      <w:r>
        <w:rPr>
          <w:rFonts w:ascii="ETASR figure caption" w:hAnsi="ETASR figure caption"/>
          <w:bCs/>
        </w:rPr>
        <w:t>Fig 3. Home screen</w:t>
      </w:r>
    </w:p>
    <w:p>
      <w:pPr>
        <w:spacing w:line="360" w:lineRule="auto"/>
        <w:jc w:val="both"/>
        <w:rPr>
          <w:rFonts w:ascii="ETASR body text" w:hAnsi="ETASR body text"/>
          <w:bCs/>
        </w:rPr>
      </w:pPr>
    </w:p>
    <w:p>
      <w:pPr>
        <w:spacing w:line="360" w:lineRule="auto"/>
        <w:jc w:val="both"/>
        <w:rPr>
          <w:rFonts w:hint="eastAsia" w:ascii="ETASR body text" w:hAnsi="ETASR body text"/>
          <w:bCs/>
        </w:rPr>
      </w:pPr>
      <w:r>
        <w:rPr>
          <w:rFonts w:ascii="ETASR body text" w:hAnsi="ETASR body text"/>
          <w:bCs/>
        </w:rPr>
        <w:t>The above fig 3 shows that thyroid image classification as a title and signup process follows.</w:t>
      </w:r>
    </w:p>
    <w:p>
      <w:pPr>
        <w:spacing w:line="360" w:lineRule="auto"/>
        <w:jc w:val="both"/>
        <w:rPr>
          <w:rFonts w:hint="eastAsia" w:ascii="ETASR body text" w:hAnsi="ETASR body text"/>
          <w:bCs/>
        </w:rPr>
      </w:pPr>
      <w:r>
        <w:rPr>
          <w:rFonts w:ascii="ETASR body text" w:hAnsi="ETASR body text"/>
          <w:bCs/>
        </w:rPr>
        <w:drawing>
          <wp:inline distT="0" distB="0" distL="0" distR="0">
            <wp:extent cx="2743200" cy="19812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9"/>
                    <a:srcRect/>
                    <a:stretch>
                      <a:fillRect/>
                    </a:stretch>
                  </pic:blipFill>
                  <pic:spPr>
                    <a:xfrm>
                      <a:off x="0" y="0"/>
                      <a:ext cx="2747017" cy="1983957"/>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body text" w:hAnsi="ETASR body text"/>
          <w:bCs/>
        </w:rPr>
        <w:tab/>
      </w:r>
      <w:r>
        <w:rPr>
          <w:rFonts w:ascii="ETASR figure caption" w:hAnsi="ETASR figure caption"/>
          <w:bCs/>
        </w:rPr>
        <w:t>Fig 4. Signup</w:t>
      </w:r>
    </w:p>
    <w:p>
      <w:pPr>
        <w:spacing w:line="360" w:lineRule="auto"/>
        <w:jc w:val="both"/>
        <w:rPr>
          <w:rFonts w:hint="eastAsia" w:ascii="ETASR body text" w:hAnsi="ETASR body text"/>
          <w:bCs/>
        </w:rPr>
      </w:pPr>
      <w:r>
        <w:rPr>
          <w:rFonts w:ascii="ETASR body text" w:hAnsi="ETASR body text"/>
          <w:bCs/>
        </w:rPr>
        <w:t>Then, fig 4 as it shows signup process ,the user has to sign-up with the basic details as username,  name, email, mobile number and password which are used to sign-in into the page and perform the prediction.</w:t>
      </w:r>
    </w:p>
    <w:p>
      <w:pPr>
        <w:spacing w:line="360" w:lineRule="auto"/>
        <w:jc w:val="both"/>
        <w:rPr>
          <w:rFonts w:hint="eastAsia" w:ascii="ETASR body text" w:hAnsi="ETASR body text"/>
          <w:bCs/>
        </w:rPr>
      </w:pPr>
      <w:r>
        <w:rPr>
          <w:rFonts w:ascii="ETASR body text" w:hAnsi="ETASR body text"/>
          <w:bCs/>
        </w:rPr>
        <w:drawing>
          <wp:inline distT="0" distB="0" distL="0" distR="0">
            <wp:extent cx="2738755" cy="1781175"/>
            <wp:effectExtent l="19050" t="0" r="3853"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0"/>
                    <a:srcRect/>
                    <a:stretch>
                      <a:fillRect/>
                    </a:stretch>
                  </pic:blipFill>
                  <pic:spPr>
                    <a:xfrm>
                      <a:off x="0" y="0"/>
                      <a:ext cx="2747010" cy="1786158"/>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body text" w:hAnsi="ETASR body text"/>
          <w:bCs/>
        </w:rPr>
        <w:tab/>
      </w:r>
      <w:r>
        <w:rPr>
          <w:rFonts w:ascii="ETASR figure caption" w:hAnsi="ETASR figure caption"/>
          <w:bCs/>
        </w:rPr>
        <w:t>Fig 5. Sign-in</w:t>
      </w:r>
    </w:p>
    <w:p>
      <w:pPr>
        <w:spacing w:line="360" w:lineRule="auto"/>
        <w:jc w:val="both"/>
        <w:rPr>
          <w:rFonts w:ascii="ETASR body text" w:hAnsi="ETASR body text"/>
          <w:bCs/>
        </w:rPr>
      </w:pPr>
    </w:p>
    <w:p>
      <w:pPr>
        <w:spacing w:line="360" w:lineRule="auto"/>
        <w:jc w:val="both"/>
        <w:rPr>
          <w:rFonts w:hint="eastAsia" w:ascii="ETASR body text" w:hAnsi="ETASR body text"/>
          <w:bCs/>
        </w:rPr>
      </w:pPr>
      <w:r>
        <w:rPr>
          <w:rFonts w:ascii="ETASR body text" w:hAnsi="ETASR body text"/>
          <w:bCs/>
        </w:rPr>
        <w:t>The above fig.5 shows the sign-in page which asks the user to enter details of username and password.</w:t>
      </w:r>
    </w:p>
    <w:p>
      <w:pPr>
        <w:spacing w:line="360" w:lineRule="auto"/>
        <w:jc w:val="both"/>
        <w:rPr>
          <w:rFonts w:hint="eastAsia" w:ascii="ETASR body text" w:hAnsi="ETASR body text"/>
          <w:bCs/>
        </w:rPr>
      </w:pPr>
      <w:r>
        <w:rPr>
          <w:rFonts w:ascii="ETASR body text" w:hAnsi="ETASR body text"/>
          <w:bCs/>
        </w:rPr>
        <w:drawing>
          <wp:inline distT="0" distB="0" distL="0" distR="0">
            <wp:extent cx="2743200" cy="1787525"/>
            <wp:effectExtent l="0" t="0" r="0" b="317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noChangeArrowheads="1"/>
                    </pic:cNvPicPr>
                  </pic:nvPicPr>
                  <pic:blipFill>
                    <a:blip r:embed="rId11"/>
                    <a:srcRect/>
                    <a:stretch>
                      <a:fillRect/>
                    </a:stretch>
                  </pic:blipFill>
                  <pic:spPr>
                    <a:xfrm>
                      <a:off x="0" y="0"/>
                      <a:ext cx="2753577" cy="1794467"/>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figure caption" w:hAnsi="ETASR figure caption"/>
          <w:bCs/>
        </w:rPr>
        <w:t>Fig 6. Features fusion resnet</w:t>
      </w:r>
    </w:p>
    <w:p>
      <w:pPr>
        <w:spacing w:line="360" w:lineRule="auto"/>
        <w:jc w:val="both"/>
        <w:rPr>
          <w:rFonts w:ascii="ETASR body text" w:hAnsi="ETASR body text"/>
          <w:bCs/>
        </w:rPr>
      </w:pPr>
    </w:p>
    <w:p>
      <w:pPr>
        <w:spacing w:line="360" w:lineRule="auto"/>
        <w:jc w:val="both"/>
        <w:rPr>
          <w:rFonts w:hint="eastAsia" w:ascii="ETASR body text" w:hAnsi="ETASR body text"/>
          <w:bCs/>
        </w:rPr>
      </w:pPr>
      <w:r>
        <w:rPr>
          <w:rFonts w:ascii="ETASR body text" w:hAnsi="ETASR body text"/>
          <w:bCs/>
        </w:rPr>
        <w:t xml:space="preserve">To perform the prediction, one should upload an image from a dataset. </w:t>
      </w:r>
      <w:r>
        <w:rPr>
          <w:rFonts w:hint="eastAsia" w:ascii="ETASR body text" w:hAnsi="ETASR body text"/>
          <w:bCs/>
        </w:rPr>
        <w:t>T</w:t>
      </w:r>
      <w:r>
        <w:rPr>
          <w:rFonts w:ascii="ETASR body text" w:hAnsi="ETASR body text"/>
          <w:bCs/>
        </w:rPr>
        <w:t>he uploading images are ultrasound scanned thyroid images which looks like fig 6. Here we choose ultrasound thyroid nodule dataset as an image collection for prediction purpose.</w:t>
      </w:r>
    </w:p>
    <w:p>
      <w:pPr>
        <w:spacing w:line="360" w:lineRule="auto"/>
        <w:jc w:val="both"/>
        <w:rPr>
          <w:rFonts w:hint="eastAsia" w:ascii="ETASR body text" w:hAnsi="ETASR body text"/>
          <w:bCs/>
        </w:rPr>
      </w:pPr>
      <w:r>
        <w:rPr>
          <w:rFonts w:ascii="ETASR body text" w:hAnsi="ETASR body text"/>
          <w:bCs/>
        </w:rPr>
        <w:drawing>
          <wp:inline distT="0" distB="0" distL="0" distR="0">
            <wp:extent cx="3002280" cy="2141220"/>
            <wp:effectExtent l="0" t="0" r="762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12"/>
                    <a:srcRect/>
                    <a:stretch>
                      <a:fillRect/>
                    </a:stretch>
                  </pic:blipFill>
                  <pic:spPr>
                    <a:xfrm>
                      <a:off x="0" y="0"/>
                      <a:ext cx="3006457" cy="2144199"/>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body text" w:hAnsi="ETASR body text"/>
          <w:bCs/>
        </w:rPr>
        <w:tab/>
      </w:r>
      <w:r>
        <w:rPr>
          <w:rFonts w:ascii="ETASR figure caption" w:hAnsi="ETASR figure caption"/>
          <w:bCs/>
        </w:rPr>
        <w:t>Fig 7. Upload image</w:t>
      </w:r>
    </w:p>
    <w:p>
      <w:pPr>
        <w:spacing w:line="360" w:lineRule="auto"/>
        <w:jc w:val="both"/>
        <w:rPr>
          <w:rFonts w:ascii="ETASR body text" w:hAnsi="ETASR body text"/>
          <w:bCs/>
        </w:rPr>
      </w:pPr>
    </w:p>
    <w:p>
      <w:pPr>
        <w:spacing w:line="360" w:lineRule="auto"/>
        <w:jc w:val="both"/>
        <w:rPr>
          <w:rFonts w:hint="eastAsia" w:ascii="ETASR body text" w:hAnsi="ETASR body text"/>
          <w:bCs/>
        </w:rPr>
      </w:pPr>
      <w:r>
        <w:rPr>
          <w:rFonts w:ascii="ETASR body text" w:hAnsi="ETASR body text"/>
          <w:bCs/>
        </w:rPr>
        <w:t>After sign-in, the above webpage as fig 7 will be displayed. Then it gives an option to choose an image from a dataset into the webpage.</w:t>
      </w:r>
    </w:p>
    <w:p>
      <w:pPr>
        <w:spacing w:line="360" w:lineRule="auto"/>
        <w:jc w:val="both"/>
        <w:rPr>
          <w:rFonts w:hint="eastAsia" w:ascii="ETASR body text" w:hAnsi="ETASR body text"/>
          <w:bCs/>
        </w:rPr>
      </w:pPr>
      <w:r>
        <w:rPr>
          <w:rFonts w:ascii="ETASR body text" w:hAnsi="ETASR body text"/>
          <w:bCs/>
        </w:rPr>
        <w:drawing>
          <wp:inline distT="0" distB="0" distL="0" distR="0">
            <wp:extent cx="3002280" cy="2186305"/>
            <wp:effectExtent l="0" t="0" r="7620" b="444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noChangeArrowheads="1"/>
                    </pic:cNvPicPr>
                  </pic:nvPicPr>
                  <pic:blipFill>
                    <a:blip r:embed="rId13"/>
                    <a:srcRect/>
                    <a:stretch>
                      <a:fillRect/>
                    </a:stretch>
                  </pic:blipFill>
                  <pic:spPr>
                    <a:xfrm>
                      <a:off x="0" y="0"/>
                      <a:ext cx="3019388" cy="2198894"/>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body text" w:hAnsi="ETASR body text"/>
          <w:bCs/>
        </w:rPr>
        <w:tab/>
      </w:r>
      <w:r>
        <w:rPr>
          <w:rFonts w:ascii="ETASR figure caption" w:hAnsi="ETASR figure caption"/>
          <w:bCs/>
        </w:rPr>
        <w:t>Fig 8. Image loaded</w:t>
      </w:r>
    </w:p>
    <w:p>
      <w:pPr>
        <w:spacing w:line="360" w:lineRule="auto"/>
        <w:jc w:val="both"/>
        <w:rPr>
          <w:rFonts w:ascii="ETASR body text" w:hAnsi="ETASR body text"/>
          <w:bCs/>
        </w:rPr>
      </w:pPr>
    </w:p>
    <w:p>
      <w:pPr>
        <w:spacing w:line="360" w:lineRule="auto"/>
        <w:jc w:val="both"/>
        <w:rPr>
          <w:rFonts w:hint="eastAsia" w:ascii="ETASR body text" w:hAnsi="ETASR body text"/>
          <w:bCs/>
        </w:rPr>
      </w:pPr>
      <w:r>
        <w:rPr>
          <w:rFonts w:ascii="ETASR body text" w:hAnsi="ETASR body text"/>
          <w:bCs/>
        </w:rPr>
        <w:t>Now, select choose file and then select the desired image from the dataset for prediction. Then the process begins and output is produced for the different algorithms but by using voting classifier algorithm, it generate</w:t>
      </w:r>
      <w:r>
        <w:rPr>
          <w:rFonts w:hint="eastAsia" w:ascii="ETASR body text" w:hAnsi="ETASR body text"/>
          <w:bCs/>
        </w:rPr>
        <w:t>s</w:t>
      </w:r>
      <w:r>
        <w:rPr>
          <w:rFonts w:ascii="ETASR body text" w:hAnsi="ETASR body text"/>
          <w:bCs/>
        </w:rPr>
        <w:t xml:space="preserve"> the result as based on other maximum accuracy producing algorithms which produces the similar result.</w:t>
      </w:r>
    </w:p>
    <w:p>
      <w:pPr>
        <w:spacing w:line="360" w:lineRule="auto"/>
        <w:jc w:val="both"/>
        <w:rPr>
          <w:rFonts w:hint="eastAsia" w:ascii="ETASR body text" w:hAnsi="ETASR body text"/>
          <w:bCs/>
        </w:rPr>
      </w:pPr>
      <w:r>
        <w:rPr>
          <w:rFonts w:ascii="ETASR body text" w:hAnsi="ETASR body text"/>
          <w:bCs/>
        </w:rPr>
        <w:t>Finally, the fig 9 gives the prediction output as a result which can decide the given input image is either benign, malignant or normal</w:t>
      </w:r>
    </w:p>
    <w:p>
      <w:pPr>
        <w:spacing w:line="360" w:lineRule="auto"/>
        <w:jc w:val="both"/>
        <w:rPr>
          <w:rFonts w:hint="eastAsia" w:ascii="ETASR body text" w:hAnsi="ETASR body text"/>
          <w:bCs/>
        </w:rPr>
      </w:pPr>
      <w:r>
        <w:rPr>
          <w:rFonts w:ascii="ETASR body text" w:hAnsi="ETASR body text"/>
          <w:bCs/>
        </w:rPr>
        <w:drawing>
          <wp:inline distT="0" distB="0" distL="0" distR="0">
            <wp:extent cx="3162300" cy="2475865"/>
            <wp:effectExtent l="0" t="0" r="0" b="635"/>
            <wp:docPr id="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pic:cNvPicPr>
                      <a:picLocks noChangeAspect="1" noChangeArrowheads="1"/>
                    </pic:cNvPicPr>
                  </pic:nvPicPr>
                  <pic:blipFill>
                    <a:blip r:embed="rId14"/>
                    <a:srcRect/>
                    <a:stretch>
                      <a:fillRect/>
                    </a:stretch>
                  </pic:blipFill>
                  <pic:spPr>
                    <a:xfrm>
                      <a:off x="0" y="0"/>
                      <a:ext cx="3190041" cy="2498022"/>
                    </a:xfrm>
                    <a:prstGeom prst="rect">
                      <a:avLst/>
                    </a:prstGeom>
                    <a:noFill/>
                    <a:ln w="9525">
                      <a:noFill/>
                      <a:miter lim="800000"/>
                      <a:headEnd/>
                      <a:tailEnd/>
                    </a:ln>
                  </pic:spPr>
                </pic:pic>
              </a:graphicData>
            </a:graphic>
          </wp:inline>
        </w:drawing>
      </w:r>
    </w:p>
    <w:p>
      <w:pPr>
        <w:spacing w:line="360" w:lineRule="auto"/>
        <w:jc w:val="both"/>
        <w:rPr>
          <w:rFonts w:hint="eastAsia" w:ascii="ETASR figure caption" w:hAnsi="ETASR figure caption"/>
          <w:bCs/>
        </w:rPr>
      </w:pPr>
      <w:r>
        <w:rPr>
          <w:rFonts w:ascii="ETASR body text" w:hAnsi="ETASR body text"/>
          <w:bCs/>
        </w:rPr>
        <w:tab/>
      </w:r>
      <w:r>
        <w:rPr>
          <w:rFonts w:ascii="ETASR body text" w:hAnsi="ETASR body text"/>
          <w:bCs/>
        </w:rPr>
        <w:tab/>
      </w:r>
      <w:r>
        <w:rPr>
          <w:rFonts w:ascii="ETASR figure caption" w:hAnsi="ETASR figure caption"/>
          <w:bCs/>
        </w:rPr>
        <w:t>Fig 9. Prediction</w:t>
      </w:r>
    </w:p>
    <w:p>
      <w:pPr>
        <w:spacing w:line="360" w:lineRule="auto"/>
        <w:jc w:val="both"/>
        <w:rPr>
          <w:rFonts w:hint="eastAsia" w:ascii="ETASR body text" w:hAnsi="ETASR body text"/>
          <w:bCs/>
        </w:rPr>
      </w:pPr>
      <w:r>
        <w:rPr>
          <w:rFonts w:ascii="ETASR body text" w:hAnsi="ETASR body text"/>
          <w:bCs/>
        </w:rPr>
        <w:t>.</w:t>
      </w:r>
    </w:p>
    <w:p>
      <w:pPr>
        <w:pStyle w:val="2"/>
      </w:pPr>
      <w:r>
        <w:t xml:space="preserve"> CONCLUSION</w:t>
      </w:r>
    </w:p>
    <w:p>
      <w:pPr>
        <w:spacing w:before="240" w:line="360" w:lineRule="auto"/>
        <w:jc w:val="both"/>
        <w:rPr>
          <w:rFonts w:hint="eastAsia" w:ascii="ETASR body text" w:hAnsi="ETASR body text"/>
        </w:rPr>
      </w:pPr>
      <w:r>
        <w:rPr>
          <w:rFonts w:ascii="ETASR body text" w:hAnsi="ETASR body text"/>
        </w:rPr>
        <w:t>This work tries to assist specialists with making a clinical conclusion of thyroid knobs, subsequently improving the exactness &amp; effectiveness of determination. Clinical ultrasonography ID of harmless &amp; threatening thyroid knobs is an emotional &amp; tedious cycle. The clinically assembled information should initially go through preprocessing, which incorporates trimming, improving, &amp; removing areas of interest. Then, at that point, contingent upon the knobs' region, include designing is utilized to separate the surface qualities of the knobs, &amp; element dimensionality decrease is achieved by relating the highlights &amp; knobs. To additional upgrade network execution, a profound brain network model is fabricated &amp; surface highlights from the past stage are joined. This approach had the best exhibition in the assessment of 1874 thyroid knob patients &amp; has clinical potential. This article presents an original technique for intertwining highlights and consolidates the advantages of component designing and profound brain organizations. This work can be appropriate to numerous spaces under the exchange learning &amp; combination highlight structure, like bosom knobs, lung knobs, &amp; other growth analysis, in spite of the way that its essential spotlight is on approving the analytic execution of ultrasound imaging of thyroid knobs. It means quite a bit to take note of that the motivation behind the technique for combining highlights is essentially to furnish the profound brain network with additional elements &amp; data so the organization can unite all the more unequivocally &amp; quicker. Future examination on new combination data may likewise go in this course. This study draws motivation from different fields, including profound convolutional networks, picture examination, &amp; PC supported diagnostics.</w:t>
      </w:r>
    </w:p>
    <w:p>
      <w:pPr>
        <w:spacing w:before="240" w:line="360" w:lineRule="auto"/>
        <w:jc w:val="both"/>
        <w:rPr>
          <w:bCs/>
        </w:rPr>
      </w:pPr>
      <w:r>
        <w:rPr>
          <w:b/>
        </w:rPr>
        <w:tab/>
      </w:r>
      <w:r>
        <w:rPr>
          <w:b/>
        </w:rPr>
        <w:tab/>
      </w:r>
      <w:r>
        <w:rPr>
          <w:bCs/>
        </w:rPr>
        <w:t>VII.</w:t>
      </w:r>
      <w:r>
        <w:rPr>
          <w:bCs/>
        </w:rPr>
        <w:tab/>
      </w:r>
      <w:r>
        <w:rPr>
          <w:bCs/>
        </w:rPr>
        <w:t>REFERENCES</w:t>
      </w:r>
    </w:p>
    <w:p>
      <w:pPr>
        <w:spacing w:before="240" w:line="360" w:lineRule="auto"/>
        <w:jc w:val="both"/>
        <w:rPr>
          <w:rFonts w:ascii="ETASR Author" w:hAnsi="ETASR Author"/>
          <w:bCs/>
        </w:rPr>
      </w:pPr>
      <w:r>
        <w:rPr>
          <w:rFonts w:ascii="ETASR body text" w:hAnsi="ETASR body text"/>
          <w:bCs/>
        </w:rPr>
        <w:t xml:space="preserve">[1] </w:t>
      </w:r>
      <w:r>
        <w:rPr>
          <w:rFonts w:ascii="ETASR Author" w:hAnsi="ETASR Author"/>
          <w:bCs/>
        </w:rPr>
        <w:t xml:space="preserve">J. Kim, J. E. Gosnell, and S. A. Roman, ‘‘Geographic influences in the global rise of thyroid cancer,’’ Nature Rev. Endocrinol., vol. 16, no. 1, pp. 17–29, Jan. 2020.    </w:t>
      </w:r>
    </w:p>
    <w:p>
      <w:pPr>
        <w:spacing w:before="240" w:line="360" w:lineRule="auto"/>
        <w:jc w:val="both"/>
        <w:rPr>
          <w:rFonts w:ascii="ETASR Author" w:hAnsi="ETASR Author"/>
          <w:bCs/>
        </w:rPr>
      </w:pPr>
      <w:r>
        <w:rPr>
          <w:rFonts w:ascii="ETASR Author" w:hAnsi="ETASR Author"/>
          <w:bCs/>
        </w:rPr>
        <w:t xml:space="preserve">[2] H. R. Shahraki, S. Pourahmad, S. Paydar, and M. Azad, ‘‘Improving the accuracy of early diagnosis of thyroid nodule type based on the SCAD method,’’ Asian Pacific J. Cancer Prevention, vol. 17, no. 4, pp. 1861–1864, Jun. 2016.   </w:t>
      </w:r>
    </w:p>
    <w:p>
      <w:pPr>
        <w:spacing w:before="240" w:line="360" w:lineRule="auto"/>
        <w:jc w:val="both"/>
        <w:rPr>
          <w:rFonts w:ascii="ETASR Author" w:hAnsi="ETASR Author"/>
          <w:bCs/>
        </w:rPr>
      </w:pPr>
      <w:r>
        <w:rPr>
          <w:rFonts w:ascii="ETASR Author" w:hAnsi="ETASR Author"/>
          <w:bCs/>
        </w:rPr>
        <w:t xml:space="preserve">[3] J. Xu, M. Jing, S. Wang, C. Yang, and X. Chen, ‘‘A review of medical image detection for cancers in digestive system based on artificial intelligence,’’ Expert Rev. Med. Devices, vol. 16, no. 10, pp. 877–889, Oct. 2019.    </w:t>
      </w:r>
    </w:p>
    <w:p>
      <w:pPr>
        <w:spacing w:before="240" w:line="360" w:lineRule="auto"/>
        <w:jc w:val="both"/>
        <w:rPr>
          <w:rFonts w:ascii="ETASR Author" w:hAnsi="ETASR Author"/>
          <w:bCs/>
        </w:rPr>
      </w:pPr>
      <w:r>
        <w:rPr>
          <w:rFonts w:ascii="ETASR Author" w:hAnsi="ETASR Author"/>
          <w:bCs/>
        </w:rPr>
        <w:t xml:space="preserve">[4] H. Ye, J. Hang, X. Chen, D. Xu, J. Chen, X. Ye, and D. Zhang, ‘‘An intelligent platform for ultrasound diagnosis of thyroid nodules,’’ Sci. Rep., vol. 10, no. 1, Aug. 2020, Art. no. 13223.    </w:t>
      </w:r>
    </w:p>
    <w:p>
      <w:pPr>
        <w:spacing w:before="240" w:line="360" w:lineRule="auto"/>
        <w:jc w:val="both"/>
        <w:rPr>
          <w:rFonts w:ascii="ETASR Author" w:hAnsi="ETASR Author"/>
          <w:bCs/>
        </w:rPr>
      </w:pPr>
      <w:r>
        <w:rPr>
          <w:rFonts w:ascii="ETASR Author" w:hAnsi="ETASR Author"/>
          <w:bCs/>
        </w:rPr>
        <w:t xml:space="preserve">[5] L. Wang, S. Yang, S. Yang, C. Zhao, G. Tian, Y. Gao, Y. Chen, and Y. Lu, ‘‘Automatic thyroid nodule recognition and diagnosis in ultrasound imaging with the YOLOv2 neural network,’’ World J. Surg. Oncol., vol. 17, no. 1, p. 12, Jan. 2019.    </w:t>
      </w:r>
    </w:p>
    <w:p>
      <w:pPr>
        <w:spacing w:before="240" w:line="360" w:lineRule="auto"/>
        <w:jc w:val="both"/>
        <w:rPr>
          <w:rFonts w:ascii="ETASR Author" w:hAnsi="ETASR Author"/>
          <w:bCs/>
        </w:rPr>
      </w:pPr>
      <w:r>
        <w:rPr>
          <w:rFonts w:ascii="ETASR Author" w:hAnsi="ETASR Author"/>
          <w:bCs/>
        </w:rPr>
        <w:t xml:space="preserve">[6] C. Chen, L. Zhan, X. Pan, Z. Wang, X. Guo, H. Qin, F. Xiong, W. Shi, M. Shi, F. Ji, Q. Wang,  N. Yu, and R. Xiao, ‘‘Automatic recognition of auditory brainstem response characteristic waveform based on bidirectional long short-term memory,’’ Frontiers Med., vol. 7, Jan. 2021, Art. no. 613708.    </w:t>
      </w:r>
    </w:p>
    <w:p>
      <w:pPr>
        <w:spacing w:before="240" w:line="360" w:lineRule="auto"/>
        <w:jc w:val="both"/>
        <w:rPr>
          <w:rFonts w:ascii="ETASR Author" w:hAnsi="ETASR Author"/>
          <w:bCs/>
        </w:rPr>
      </w:pPr>
      <w:r>
        <w:rPr>
          <w:rFonts w:ascii="ETASR Author" w:hAnsi="ETASR Author"/>
          <w:bCs/>
        </w:rPr>
        <w:t>[7] D. Koundal, S. Gupta, and</w:t>
      </w:r>
      <w:bookmarkStart w:id="0" w:name="_GoBack"/>
      <w:bookmarkEnd w:id="0"/>
      <w:r>
        <w:rPr>
          <w:rFonts w:ascii="ETASR Author" w:hAnsi="ETASR Author"/>
          <w:bCs/>
        </w:rPr>
        <w:t xml:space="preserve"> S. Singh, ‘‘Computer aided thyroid nodule detection system using medical ultrasound images,’’ Biomed. Signal Process. Control, vol. 40, pp. 117–130, Feb. 2018.    </w:t>
      </w:r>
    </w:p>
    <w:p>
      <w:pPr>
        <w:spacing w:before="240" w:line="360" w:lineRule="auto"/>
        <w:jc w:val="both"/>
        <w:rPr>
          <w:rFonts w:ascii="ETASR Author" w:hAnsi="ETASR Author"/>
          <w:bCs/>
        </w:rPr>
      </w:pPr>
      <w:r>
        <w:rPr>
          <w:rFonts w:ascii="ETASR Author" w:hAnsi="ETASR Author"/>
          <w:bCs/>
        </w:rPr>
        <w:t xml:space="preserve">[8] D. Koundal, S. Gupta, and S. Singh, ‘‘Automated delineation of thyroid nodules in ultrasound images using spatial neutrosophic clustering and level set,’’ Appl. Soft Comput., vol. 40, pp. 86– 97, Mar. 2016.    </w:t>
      </w:r>
    </w:p>
    <w:p>
      <w:pPr>
        <w:spacing w:before="240" w:line="360" w:lineRule="auto"/>
        <w:jc w:val="both"/>
        <w:rPr>
          <w:rFonts w:ascii="ETASR Author" w:hAnsi="ETASR Author"/>
          <w:bCs/>
        </w:rPr>
      </w:pPr>
      <w:r>
        <w:rPr>
          <w:rFonts w:ascii="ETASR Author" w:hAnsi="ETASR Author"/>
          <w:bCs/>
        </w:rPr>
        <w:t xml:space="preserve">[9] Y. Zheng, S. Xu, Z. Zheng, L. Wu, L. Chen, and W. Zhan, ‘‘Ultrasonic classification of multicategory thyroid nodules based on logistic regression,’’ Ultrasound Quart., vol. 36, no. 2, pp. 149–157, Jun. 2020.    </w:t>
      </w:r>
    </w:p>
    <w:p>
      <w:pPr>
        <w:spacing w:before="240" w:line="360" w:lineRule="auto"/>
        <w:jc w:val="both"/>
        <w:rPr>
          <w:rFonts w:ascii="ETASR Author" w:hAnsi="ETASR Author"/>
          <w:bCs/>
        </w:rPr>
      </w:pPr>
      <w:r>
        <w:rPr>
          <w:rFonts w:ascii="ETASR Author" w:hAnsi="ETASR Author"/>
          <w:bCs/>
        </w:rPr>
        <w:t xml:space="preserve">[10] Liu Q., Cheng J., Li J., Gao X., Li H. “The diagnostic accuracy of contrast-enhanced ultrasound for the differentiation of benign and malignant thyroid nodules: A PRISMA compliant meta-analysis,” Medicine(Baltimore) 2018.    </w:t>
      </w:r>
    </w:p>
    <w:p>
      <w:pPr>
        <w:spacing w:before="240" w:line="360" w:lineRule="auto"/>
        <w:jc w:val="both"/>
        <w:rPr>
          <w:rFonts w:ascii="ETASR Author" w:hAnsi="ETASR Author"/>
          <w:bCs/>
        </w:rPr>
      </w:pPr>
      <w:r>
        <w:rPr>
          <w:rFonts w:ascii="ETASR Author" w:hAnsi="ETASR Author"/>
          <w:bCs/>
        </w:rPr>
        <w:t xml:space="preserve">[11] W.-J. Choi and T.-S. Choi, ‘‘Genetic programming-based feature transform and classification for the automatic detection of pulmonary nodules on computed tomography images,’’ Inf. Sci., vol. 212, pp. 57–78, Dec. 2012         </w:t>
      </w:r>
    </w:p>
    <w:p>
      <w:pPr>
        <w:spacing w:before="240" w:line="360" w:lineRule="auto"/>
        <w:jc w:val="both"/>
      </w:pPr>
      <w:r>
        <w:rPr>
          <w:rFonts w:ascii="ETASR Author" w:hAnsi="ETASR Author"/>
          <w:bCs/>
        </w:rPr>
        <w:t xml:space="preserve">[12] M. B. H. Moran, A. Conci, J. R. Gonzalez, A. S. Araujo, W. G. Fiirst, C. P. Damiao, G. A. B. Lima, and R. A. D. C. Filho, ‘‘Identification of thyroid nodules in infrared images by convolutional neural networks,’’ in Proc. Int. Joint Conf. Neural Netw. (IJCNN), Jul. 2018  </w:t>
      </w:r>
      <w:r>
        <w:rPr>
          <w:rFonts w:ascii="ETASR Affiliation" w:hAnsi="ETASR Affiliation"/>
          <w:bCs/>
        </w:rPr>
        <w:t>.</w:t>
      </w:r>
      <w:r>
        <w:t xml:space="preserve"> </w:t>
      </w:r>
    </w:p>
    <w:p>
      <w:pPr>
        <w:spacing w:before="240" w:line="360" w:lineRule="auto"/>
        <w:jc w:val="both"/>
        <w:rPr>
          <w:rFonts w:ascii="ETASR Author" w:hAnsi="ETASR Author"/>
          <w:bCs/>
        </w:rPr>
      </w:pPr>
      <w:r>
        <w:rPr>
          <w:rFonts w:ascii="ETASR Author" w:hAnsi="ETASR Author"/>
          <w:bCs/>
        </w:rPr>
        <w:t xml:space="preserve">[13] W. Sun, S. Xie, J. Yu, L. Niu, and W. Sun, ‘‘Classification of thyroid nodules in ultrasound images using deep model based transfer learning and hybrid features,’’ in Proc. IEEE Int. Conf. Acoust., Speech Signal Process. (ICASSP), Mar. 2017, pp. 919–923.    </w:t>
      </w:r>
    </w:p>
    <w:p>
      <w:pPr>
        <w:spacing w:before="240" w:line="360" w:lineRule="auto"/>
        <w:jc w:val="both"/>
        <w:rPr>
          <w:rFonts w:ascii="ETASR Author" w:hAnsi="ETASR Author"/>
          <w:bCs/>
        </w:rPr>
      </w:pPr>
    </w:p>
    <w:p>
      <w:pPr>
        <w:spacing w:before="240" w:line="360" w:lineRule="auto"/>
        <w:jc w:val="both"/>
      </w:pPr>
    </w:p>
    <w:p>
      <w:pPr>
        <w:spacing w:before="240" w:line="360" w:lineRule="auto"/>
        <w:jc w:val="both"/>
      </w:pPr>
      <w:r>
        <w:t xml:space="preserve"> </w:t>
      </w:r>
    </w:p>
    <w:p/>
    <w:p/>
    <w:sectPr>
      <w:type w:val="continuous"/>
      <w:pgSz w:w="12240" w:h="15840"/>
      <w:pgMar w:top="1077" w:right="890" w:bottom="1440" w:left="890"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Etasr">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ETASR Author">
    <w:altName w:val="Cambria"/>
    <w:panose1 w:val="020B0604020202020204"/>
    <w:charset w:val="00"/>
    <w:family w:val="roman"/>
    <w:pitch w:val="default"/>
    <w:sig w:usb0="00000000" w:usb1="00000000" w:usb2="00000000" w:usb3="00000000" w:csb0="00000000" w:csb1="00000000"/>
  </w:font>
  <w:font w:name="ETASR Affiliation">
    <w:altName w:val="Cambria"/>
    <w:panose1 w:val="020B0604020202020204"/>
    <w:charset w:val="00"/>
    <w:family w:val="roman"/>
    <w:pitch w:val="default"/>
    <w:sig w:usb0="00000000" w:usb1="00000000" w:usb2="00000000" w:usb3="00000000" w:csb0="00000000" w:csb1="00000000"/>
  </w:font>
  <w:font w:name="ETASR body text">
    <w:altName w:val="Cambria"/>
    <w:panose1 w:val="020B0604020202020204"/>
    <w:charset w:val="00"/>
    <w:family w:val="roman"/>
    <w:pitch w:val="default"/>
    <w:sig w:usb0="00000000" w:usb1="00000000" w:usb2="00000000" w:usb3="00000000" w:csb0="00000000" w:csb1="00000000"/>
  </w:font>
  <w:font w:name="ETASR figure caption">
    <w:altName w:val="Cambria"/>
    <w:panose1 w:val="020B0604020202020204"/>
    <w:charset w:val="00"/>
    <w:family w:val="roman"/>
    <w:pitch w:val="default"/>
    <w:sig w:usb0="00000000" w:usb1="00000000" w:usb2="00000000" w:usb3="00000000" w:csb0="00000000" w:csb1="00000000"/>
  </w:font>
  <w:font w:name="ETASR Heading 1">
    <w:altName w:val="Cambria"/>
    <w:panose1 w:val="020B06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8402"/>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shd w:val="clear" w:color="auto" w:fill="auto"/>
        </w:tcPr>
        <w:p>
          <w:pPr>
            <w:pStyle w:val="13"/>
            <w:ind w:firstLine="198"/>
            <w:rPr>
              <w:rFonts w:eastAsia="Times New Roman"/>
              <w:b/>
              <w:i/>
              <w:sz w:val="18"/>
              <w:szCs w:val="18"/>
            </w:rPr>
          </w:pPr>
          <w:r>
            <w:rPr>
              <w:rFonts w:eastAsia="Times New Roman"/>
              <w:b/>
              <w:i/>
              <w:sz w:val="18"/>
              <w:szCs w:val="18"/>
            </w:rPr>
            <w:t>www.etasr.com</w:t>
          </w:r>
        </w:p>
      </w:tc>
      <w:tc>
        <w:tcPr>
          <w:tcW w:w="8402" w:type="dxa"/>
          <w:shd w:val="clear" w:color="auto" w:fill="auto"/>
        </w:tcPr>
        <w:p>
          <w:pPr>
            <w:pStyle w:val="13"/>
            <w:ind w:firstLine="198"/>
            <w:jc w:val="right"/>
            <w:rPr>
              <w:rFonts w:eastAsia="Times New Roman"/>
              <w:b/>
              <w:i/>
              <w:sz w:val="18"/>
              <w:szCs w:val="18"/>
            </w:rPr>
          </w:pPr>
          <w:r>
            <w:rPr>
              <w:rFonts w:eastAsia="Times New Roman"/>
              <w:b/>
              <w:i/>
              <w:sz w:val="18"/>
              <w:szCs w:val="18"/>
            </w:rPr>
            <w:t>DO NOT ALTER HEADER &amp; FOOTER. THEY WILL BE COMPLETED DURING EDITING</w:t>
          </w:r>
        </w:p>
      </w:tc>
    </w:tr>
  </w:tbl>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11023"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70"/>
      <w:gridCol w:w="3827"/>
      <w:gridCol w:w="1417"/>
      <w:gridCol w:w="70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70" w:type="dxa"/>
          <w:shd w:val="clear" w:color="auto" w:fill="auto"/>
        </w:tcPr>
        <w:p>
          <w:pPr>
            <w:pStyle w:val="14"/>
            <w:ind w:firstLine="284"/>
            <w:rPr>
              <w:rFonts w:eastAsia="Times New Roman"/>
              <w:sz w:val="16"/>
              <w:szCs w:val="16"/>
            </w:rPr>
          </w:pPr>
          <w:r>
            <w:rPr>
              <w:rFonts w:eastAsia="Times New Roman"/>
              <w:b/>
              <w:i/>
              <w:sz w:val="18"/>
              <w:szCs w:val="18"/>
            </w:rPr>
            <w:t>Engineering, Technology &amp; Applied Science Research</w:t>
          </w:r>
        </w:p>
      </w:tc>
      <w:tc>
        <w:tcPr>
          <w:tcW w:w="3827" w:type="dxa"/>
          <w:shd w:val="clear" w:color="auto" w:fill="auto"/>
        </w:tcPr>
        <w:p>
          <w:pPr>
            <w:pStyle w:val="14"/>
            <w:ind w:firstLine="198"/>
            <w:rPr>
              <w:rFonts w:eastAsia="Times New Roman"/>
              <w:sz w:val="16"/>
              <w:szCs w:val="16"/>
            </w:rPr>
          </w:pPr>
          <w:r>
            <w:rPr>
              <w:rFonts w:eastAsia="Times New Roman"/>
              <w:b/>
              <w:i/>
              <w:sz w:val="18"/>
              <w:szCs w:val="18"/>
            </w:rPr>
            <w:t>Vol. XX, No. X, 20XX, XXXXX-XXXXX</w:t>
          </w:r>
        </w:p>
      </w:tc>
      <w:tc>
        <w:tcPr>
          <w:tcW w:w="1417" w:type="dxa"/>
          <w:shd w:val="clear" w:color="auto" w:fill="auto"/>
        </w:tcPr>
        <w:p>
          <w:pPr>
            <w:pStyle w:val="14"/>
            <w:ind w:firstLine="198"/>
            <w:rPr>
              <w:rFonts w:eastAsia="Times New Roman"/>
              <w:sz w:val="16"/>
              <w:szCs w:val="16"/>
            </w:rPr>
          </w:pPr>
          <w:r>
            <w:rPr>
              <w:b/>
              <w:sz w:val="22"/>
              <w:szCs w:val="22"/>
            </w:rPr>
            <w:fldChar w:fldCharType="begin"/>
          </w:r>
          <w:r>
            <w:rPr>
              <w:b/>
              <w:sz w:val="22"/>
              <w:szCs w:val="22"/>
            </w:rPr>
            <w:instrText xml:space="preserve"> PAGE </w:instrText>
          </w:r>
          <w:r>
            <w:rPr>
              <w:rFonts w:eastAsia="Times New Roman"/>
              <w:b/>
              <w:sz w:val="22"/>
              <w:szCs w:val="22"/>
            </w:rPr>
            <w:fldChar w:fldCharType="separate"/>
          </w:r>
          <w:r>
            <w:rPr>
              <w:b/>
              <w:sz w:val="22"/>
              <w:szCs w:val="22"/>
            </w:rPr>
            <w:t>123456</w:t>
          </w:r>
          <w:r>
            <w:rPr>
              <w:b/>
              <w:sz w:val="22"/>
              <w:szCs w:val="22"/>
            </w:rPr>
            <w:fldChar w:fldCharType="end"/>
          </w:r>
        </w:p>
      </w:tc>
      <w:tc>
        <w:tcPr>
          <w:tcW w:w="709" w:type="dxa"/>
        </w:tcPr>
        <w:p>
          <w:pPr>
            <w:pStyle w:val="14"/>
            <w:ind w:firstLine="198"/>
            <w:rPr>
              <w:b/>
              <w:sz w:val="22"/>
              <w:szCs w:val="22"/>
            </w:rPr>
          </w:pPr>
        </w:p>
      </w:tc>
    </w:tr>
  </w:tbl>
  <w:p>
    <w:pPr>
      <w:pStyle w:val="1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35"/>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216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5B21287"/>
    <w:multiLevelType w:val="multilevel"/>
    <w:tmpl w:val="45B21287"/>
    <w:lvl w:ilvl="0" w:tentative="0">
      <w:start w:val="1"/>
      <w:numFmt w:val="decimal"/>
      <w:pStyle w:val="50"/>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32"/>
      <w:lvlText w:val="Fig. %1. "/>
      <w:lvlJc w:val="left"/>
      <w:pPr>
        <w:tabs>
          <w:tab w:val="left" w:pos="720"/>
        </w:tabs>
        <w:ind w:left="0" w:firstLine="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F8C114F"/>
    <w:multiLevelType w:val="multilevel"/>
    <w:tmpl w:val="6F8C114F"/>
    <w:lvl w:ilvl="0" w:tentative="0">
      <w:start w:val="1"/>
      <w:numFmt w:val="upperRoman"/>
      <w:pStyle w:val="45"/>
      <w:lvlText w:val="TABLE %1. "/>
      <w:lvlJc w:val="left"/>
      <w:pPr>
        <w:ind w:left="720" w:hanging="360"/>
      </w:pPr>
      <w:rPr>
        <w:rFonts w:hint="default" w:ascii="Times New Roman" w:hAnsi="Times New Roman" w:cs="Times New Roman"/>
        <w:b w:val="0"/>
        <w:bCs w:val="0"/>
        <w:i w:val="0"/>
        <w:iCs w:val="0"/>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AFE373F"/>
    <w:multiLevelType w:val="multilevel"/>
    <w:tmpl w:val="7AFE37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11"/>
    <w:rsid w:val="000123C2"/>
    <w:rsid w:val="00012992"/>
    <w:rsid w:val="00013CD3"/>
    <w:rsid w:val="0001678C"/>
    <w:rsid w:val="00017A6C"/>
    <w:rsid w:val="00030F2E"/>
    <w:rsid w:val="000341EF"/>
    <w:rsid w:val="00041388"/>
    <w:rsid w:val="0004387F"/>
    <w:rsid w:val="0005069E"/>
    <w:rsid w:val="000523FE"/>
    <w:rsid w:val="00060EE2"/>
    <w:rsid w:val="00073029"/>
    <w:rsid w:val="000747DF"/>
    <w:rsid w:val="0008397E"/>
    <w:rsid w:val="00090939"/>
    <w:rsid w:val="000A0FC5"/>
    <w:rsid w:val="000A5E35"/>
    <w:rsid w:val="000A72D5"/>
    <w:rsid w:val="000B1140"/>
    <w:rsid w:val="000B1B92"/>
    <w:rsid w:val="000B2C93"/>
    <w:rsid w:val="000B5B0C"/>
    <w:rsid w:val="000C5BAB"/>
    <w:rsid w:val="000D70AA"/>
    <w:rsid w:val="000E0D04"/>
    <w:rsid w:val="000E1F0A"/>
    <w:rsid w:val="000E3A1E"/>
    <w:rsid w:val="000E54AC"/>
    <w:rsid w:val="000E60A8"/>
    <w:rsid w:val="000E6B3F"/>
    <w:rsid w:val="000F2BC9"/>
    <w:rsid w:val="000F5731"/>
    <w:rsid w:val="001016D6"/>
    <w:rsid w:val="001037A3"/>
    <w:rsid w:val="0010518C"/>
    <w:rsid w:val="0011403B"/>
    <w:rsid w:val="00115637"/>
    <w:rsid w:val="001178A5"/>
    <w:rsid w:val="00117D0E"/>
    <w:rsid w:val="0012285B"/>
    <w:rsid w:val="0012729D"/>
    <w:rsid w:val="00140DA6"/>
    <w:rsid w:val="001420ED"/>
    <w:rsid w:val="00146ECB"/>
    <w:rsid w:val="00150192"/>
    <w:rsid w:val="00157777"/>
    <w:rsid w:val="0016008F"/>
    <w:rsid w:val="00165EDC"/>
    <w:rsid w:val="001665A4"/>
    <w:rsid w:val="0017004D"/>
    <w:rsid w:val="00170D8A"/>
    <w:rsid w:val="001821D8"/>
    <w:rsid w:val="001832BA"/>
    <w:rsid w:val="00185CC2"/>
    <w:rsid w:val="0019269F"/>
    <w:rsid w:val="0019416F"/>
    <w:rsid w:val="00195CB0"/>
    <w:rsid w:val="00195D6E"/>
    <w:rsid w:val="00197A1B"/>
    <w:rsid w:val="001A3692"/>
    <w:rsid w:val="001A3AD1"/>
    <w:rsid w:val="001A4B1E"/>
    <w:rsid w:val="001B549E"/>
    <w:rsid w:val="001B7A84"/>
    <w:rsid w:val="001C3353"/>
    <w:rsid w:val="001C7B62"/>
    <w:rsid w:val="001C7F73"/>
    <w:rsid w:val="001D0620"/>
    <w:rsid w:val="001D0F15"/>
    <w:rsid w:val="001E2588"/>
    <w:rsid w:val="001E3459"/>
    <w:rsid w:val="001E3D1B"/>
    <w:rsid w:val="001E412A"/>
    <w:rsid w:val="001E4B70"/>
    <w:rsid w:val="001F4602"/>
    <w:rsid w:val="00200993"/>
    <w:rsid w:val="00204A81"/>
    <w:rsid w:val="00214C02"/>
    <w:rsid w:val="002173DC"/>
    <w:rsid w:val="002300E9"/>
    <w:rsid w:val="002323A5"/>
    <w:rsid w:val="0023277A"/>
    <w:rsid w:val="002353F9"/>
    <w:rsid w:val="002361AF"/>
    <w:rsid w:val="00237F0E"/>
    <w:rsid w:val="0024088F"/>
    <w:rsid w:val="002441B3"/>
    <w:rsid w:val="00245D4B"/>
    <w:rsid w:val="002512C5"/>
    <w:rsid w:val="00253DF0"/>
    <w:rsid w:val="0026123C"/>
    <w:rsid w:val="00261F17"/>
    <w:rsid w:val="002627D2"/>
    <w:rsid w:val="00267EDB"/>
    <w:rsid w:val="002734EF"/>
    <w:rsid w:val="00273873"/>
    <w:rsid w:val="00274CA7"/>
    <w:rsid w:val="00277648"/>
    <w:rsid w:val="00281916"/>
    <w:rsid w:val="00282494"/>
    <w:rsid w:val="002836F2"/>
    <w:rsid w:val="00297DA8"/>
    <w:rsid w:val="002A193F"/>
    <w:rsid w:val="002A2464"/>
    <w:rsid w:val="002A49D0"/>
    <w:rsid w:val="002A5713"/>
    <w:rsid w:val="002A6BAD"/>
    <w:rsid w:val="002B159C"/>
    <w:rsid w:val="002B20B3"/>
    <w:rsid w:val="002B2E32"/>
    <w:rsid w:val="002B6584"/>
    <w:rsid w:val="002C0C78"/>
    <w:rsid w:val="002E401F"/>
    <w:rsid w:val="002E48ED"/>
    <w:rsid w:val="002F5824"/>
    <w:rsid w:val="00302385"/>
    <w:rsid w:val="003041DB"/>
    <w:rsid w:val="003067C3"/>
    <w:rsid w:val="003142FE"/>
    <w:rsid w:val="003203D2"/>
    <w:rsid w:val="00324960"/>
    <w:rsid w:val="00325027"/>
    <w:rsid w:val="00331071"/>
    <w:rsid w:val="00331994"/>
    <w:rsid w:val="00334E23"/>
    <w:rsid w:val="00344DC3"/>
    <w:rsid w:val="00347610"/>
    <w:rsid w:val="00355284"/>
    <w:rsid w:val="00363879"/>
    <w:rsid w:val="00364EFB"/>
    <w:rsid w:val="00367E28"/>
    <w:rsid w:val="00374D02"/>
    <w:rsid w:val="003815DD"/>
    <w:rsid w:val="00381B22"/>
    <w:rsid w:val="00382693"/>
    <w:rsid w:val="00384964"/>
    <w:rsid w:val="00391252"/>
    <w:rsid w:val="003938C7"/>
    <w:rsid w:val="00394B29"/>
    <w:rsid w:val="00396F64"/>
    <w:rsid w:val="003B0D3A"/>
    <w:rsid w:val="003B5B23"/>
    <w:rsid w:val="003E31BF"/>
    <w:rsid w:val="003F174E"/>
    <w:rsid w:val="003F37B2"/>
    <w:rsid w:val="003F3897"/>
    <w:rsid w:val="003F709B"/>
    <w:rsid w:val="004005B0"/>
    <w:rsid w:val="004121CB"/>
    <w:rsid w:val="00412219"/>
    <w:rsid w:val="00421B2F"/>
    <w:rsid w:val="00422A6F"/>
    <w:rsid w:val="00431F36"/>
    <w:rsid w:val="00437AB9"/>
    <w:rsid w:val="00442AA9"/>
    <w:rsid w:val="00466C15"/>
    <w:rsid w:val="00470546"/>
    <w:rsid w:val="00480C6E"/>
    <w:rsid w:val="004870FB"/>
    <w:rsid w:val="0049138F"/>
    <w:rsid w:val="00491832"/>
    <w:rsid w:val="004965E4"/>
    <w:rsid w:val="004A189C"/>
    <w:rsid w:val="004B31C9"/>
    <w:rsid w:val="004C19C3"/>
    <w:rsid w:val="004C1BBC"/>
    <w:rsid w:val="004C4824"/>
    <w:rsid w:val="004D2031"/>
    <w:rsid w:val="004D2F11"/>
    <w:rsid w:val="004D3652"/>
    <w:rsid w:val="004D7A2A"/>
    <w:rsid w:val="004E38BA"/>
    <w:rsid w:val="004E62B7"/>
    <w:rsid w:val="004F07D5"/>
    <w:rsid w:val="004F5587"/>
    <w:rsid w:val="004F5EEA"/>
    <w:rsid w:val="00501BF4"/>
    <w:rsid w:val="00505DD3"/>
    <w:rsid w:val="005061B1"/>
    <w:rsid w:val="00506A26"/>
    <w:rsid w:val="005147AE"/>
    <w:rsid w:val="00517FCC"/>
    <w:rsid w:val="00520A66"/>
    <w:rsid w:val="00522FED"/>
    <w:rsid w:val="005277F7"/>
    <w:rsid w:val="005329D9"/>
    <w:rsid w:val="00534266"/>
    <w:rsid w:val="005347B3"/>
    <w:rsid w:val="00535270"/>
    <w:rsid w:val="00535FA0"/>
    <w:rsid w:val="00540E6B"/>
    <w:rsid w:val="00541A3B"/>
    <w:rsid w:val="00553173"/>
    <w:rsid w:val="00553317"/>
    <w:rsid w:val="00555D68"/>
    <w:rsid w:val="005578D6"/>
    <w:rsid w:val="005645A6"/>
    <w:rsid w:val="0057055E"/>
    <w:rsid w:val="00571117"/>
    <w:rsid w:val="00572D1D"/>
    <w:rsid w:val="00577AAA"/>
    <w:rsid w:val="00590678"/>
    <w:rsid w:val="00590D17"/>
    <w:rsid w:val="00590FD2"/>
    <w:rsid w:val="00593043"/>
    <w:rsid w:val="005A2B1C"/>
    <w:rsid w:val="005A4170"/>
    <w:rsid w:val="005B1273"/>
    <w:rsid w:val="005C7346"/>
    <w:rsid w:val="005C7A59"/>
    <w:rsid w:val="005D2922"/>
    <w:rsid w:val="005D4C52"/>
    <w:rsid w:val="005D7820"/>
    <w:rsid w:val="005E0250"/>
    <w:rsid w:val="005E6E07"/>
    <w:rsid w:val="0060024D"/>
    <w:rsid w:val="006005E1"/>
    <w:rsid w:val="00600A2F"/>
    <w:rsid w:val="00600FBB"/>
    <w:rsid w:val="006018FE"/>
    <w:rsid w:val="0060256D"/>
    <w:rsid w:val="00603379"/>
    <w:rsid w:val="00610C2E"/>
    <w:rsid w:val="00614BFB"/>
    <w:rsid w:val="00620547"/>
    <w:rsid w:val="0062097D"/>
    <w:rsid w:val="00621477"/>
    <w:rsid w:val="00622881"/>
    <w:rsid w:val="00623684"/>
    <w:rsid w:val="0063189E"/>
    <w:rsid w:val="00631CE4"/>
    <w:rsid w:val="00640905"/>
    <w:rsid w:val="00645910"/>
    <w:rsid w:val="00653024"/>
    <w:rsid w:val="006545D1"/>
    <w:rsid w:val="00662315"/>
    <w:rsid w:val="00663AB1"/>
    <w:rsid w:val="00666BB2"/>
    <w:rsid w:val="00667A51"/>
    <w:rsid w:val="00667E56"/>
    <w:rsid w:val="00671C2C"/>
    <w:rsid w:val="00675D76"/>
    <w:rsid w:val="00677C1C"/>
    <w:rsid w:val="00682F53"/>
    <w:rsid w:val="006831FE"/>
    <w:rsid w:val="006859F4"/>
    <w:rsid w:val="0069513A"/>
    <w:rsid w:val="00696C34"/>
    <w:rsid w:val="00696C93"/>
    <w:rsid w:val="006A2E44"/>
    <w:rsid w:val="006A4E66"/>
    <w:rsid w:val="006A4F70"/>
    <w:rsid w:val="006B09E6"/>
    <w:rsid w:val="006B42D1"/>
    <w:rsid w:val="006D6155"/>
    <w:rsid w:val="006E1978"/>
    <w:rsid w:val="006E7A83"/>
    <w:rsid w:val="006F4F20"/>
    <w:rsid w:val="00701BDA"/>
    <w:rsid w:val="007035BC"/>
    <w:rsid w:val="00711FE6"/>
    <w:rsid w:val="00712152"/>
    <w:rsid w:val="00722C0D"/>
    <w:rsid w:val="007239A8"/>
    <w:rsid w:val="00725C07"/>
    <w:rsid w:val="007310EB"/>
    <w:rsid w:val="00735C54"/>
    <w:rsid w:val="007369DC"/>
    <w:rsid w:val="00736C67"/>
    <w:rsid w:val="00736D5A"/>
    <w:rsid w:val="00736EA2"/>
    <w:rsid w:val="007506AE"/>
    <w:rsid w:val="00751CC5"/>
    <w:rsid w:val="00752049"/>
    <w:rsid w:val="00752609"/>
    <w:rsid w:val="00757B2B"/>
    <w:rsid w:val="00765C0D"/>
    <w:rsid w:val="0076641E"/>
    <w:rsid w:val="007721ED"/>
    <w:rsid w:val="00775D77"/>
    <w:rsid w:val="00775E74"/>
    <w:rsid w:val="007770C1"/>
    <w:rsid w:val="00791B2C"/>
    <w:rsid w:val="007960B3"/>
    <w:rsid w:val="007B0236"/>
    <w:rsid w:val="007B0292"/>
    <w:rsid w:val="007B4F15"/>
    <w:rsid w:val="007B7A6A"/>
    <w:rsid w:val="007C6606"/>
    <w:rsid w:val="007D0C81"/>
    <w:rsid w:val="007E0CC1"/>
    <w:rsid w:val="007E1F18"/>
    <w:rsid w:val="007E291A"/>
    <w:rsid w:val="007E33C4"/>
    <w:rsid w:val="007E672D"/>
    <w:rsid w:val="00802CCB"/>
    <w:rsid w:val="00803BA6"/>
    <w:rsid w:val="008071EA"/>
    <w:rsid w:val="008109E6"/>
    <w:rsid w:val="00814C3F"/>
    <w:rsid w:val="0082018D"/>
    <w:rsid w:val="00822C14"/>
    <w:rsid w:val="008240A7"/>
    <w:rsid w:val="008248E8"/>
    <w:rsid w:val="008249FB"/>
    <w:rsid w:val="008256DB"/>
    <w:rsid w:val="00830302"/>
    <w:rsid w:val="00831697"/>
    <w:rsid w:val="008348DD"/>
    <w:rsid w:val="00841C26"/>
    <w:rsid w:val="00847F1A"/>
    <w:rsid w:val="00851EF4"/>
    <w:rsid w:val="008532A3"/>
    <w:rsid w:val="00853B60"/>
    <w:rsid w:val="008606F2"/>
    <w:rsid w:val="00862210"/>
    <w:rsid w:val="00863390"/>
    <w:rsid w:val="008633AA"/>
    <w:rsid w:val="00864517"/>
    <w:rsid w:val="00873E05"/>
    <w:rsid w:val="00877C2C"/>
    <w:rsid w:val="00885D57"/>
    <w:rsid w:val="00886371"/>
    <w:rsid w:val="00886DEC"/>
    <w:rsid w:val="00891635"/>
    <w:rsid w:val="00895E8D"/>
    <w:rsid w:val="008A20E8"/>
    <w:rsid w:val="008A5793"/>
    <w:rsid w:val="008A63D2"/>
    <w:rsid w:val="008A70AA"/>
    <w:rsid w:val="008B206D"/>
    <w:rsid w:val="008B6A23"/>
    <w:rsid w:val="008B741D"/>
    <w:rsid w:val="008C2716"/>
    <w:rsid w:val="008C2A18"/>
    <w:rsid w:val="008D0AF0"/>
    <w:rsid w:val="008D150A"/>
    <w:rsid w:val="008D6C61"/>
    <w:rsid w:val="008E7628"/>
    <w:rsid w:val="008F1CFB"/>
    <w:rsid w:val="008F67D4"/>
    <w:rsid w:val="00901869"/>
    <w:rsid w:val="0091666D"/>
    <w:rsid w:val="00921D83"/>
    <w:rsid w:val="00926524"/>
    <w:rsid w:val="00931338"/>
    <w:rsid w:val="00932B63"/>
    <w:rsid w:val="009370C4"/>
    <w:rsid w:val="00943C62"/>
    <w:rsid w:val="009523BB"/>
    <w:rsid w:val="00954824"/>
    <w:rsid w:val="00955247"/>
    <w:rsid w:val="00961866"/>
    <w:rsid w:val="00966EAF"/>
    <w:rsid w:val="00972340"/>
    <w:rsid w:val="00972D2E"/>
    <w:rsid w:val="00977778"/>
    <w:rsid w:val="00981591"/>
    <w:rsid w:val="0098166C"/>
    <w:rsid w:val="00981E33"/>
    <w:rsid w:val="00982563"/>
    <w:rsid w:val="00982611"/>
    <w:rsid w:val="00986C48"/>
    <w:rsid w:val="009928C8"/>
    <w:rsid w:val="009A26D2"/>
    <w:rsid w:val="009A474E"/>
    <w:rsid w:val="009A737F"/>
    <w:rsid w:val="009B2663"/>
    <w:rsid w:val="009C25E7"/>
    <w:rsid w:val="009C47AD"/>
    <w:rsid w:val="009D2091"/>
    <w:rsid w:val="009D22A4"/>
    <w:rsid w:val="009D27B5"/>
    <w:rsid w:val="009E0067"/>
    <w:rsid w:val="009E17D8"/>
    <w:rsid w:val="009E1E69"/>
    <w:rsid w:val="009E5441"/>
    <w:rsid w:val="009E6228"/>
    <w:rsid w:val="00A02397"/>
    <w:rsid w:val="00A033AB"/>
    <w:rsid w:val="00A12811"/>
    <w:rsid w:val="00A14599"/>
    <w:rsid w:val="00A21539"/>
    <w:rsid w:val="00A25BD1"/>
    <w:rsid w:val="00A272DF"/>
    <w:rsid w:val="00A36452"/>
    <w:rsid w:val="00A40A08"/>
    <w:rsid w:val="00A45FC2"/>
    <w:rsid w:val="00A474D3"/>
    <w:rsid w:val="00A50867"/>
    <w:rsid w:val="00A50EA7"/>
    <w:rsid w:val="00A517C4"/>
    <w:rsid w:val="00A5417E"/>
    <w:rsid w:val="00A57619"/>
    <w:rsid w:val="00A61A78"/>
    <w:rsid w:val="00A71B79"/>
    <w:rsid w:val="00A75F05"/>
    <w:rsid w:val="00A84C24"/>
    <w:rsid w:val="00A919A5"/>
    <w:rsid w:val="00A929DF"/>
    <w:rsid w:val="00A948F1"/>
    <w:rsid w:val="00A955F1"/>
    <w:rsid w:val="00A97D5B"/>
    <w:rsid w:val="00AA1EF5"/>
    <w:rsid w:val="00AA35CB"/>
    <w:rsid w:val="00AA7324"/>
    <w:rsid w:val="00AB30D6"/>
    <w:rsid w:val="00AB4043"/>
    <w:rsid w:val="00AD045B"/>
    <w:rsid w:val="00AD4758"/>
    <w:rsid w:val="00AD4E39"/>
    <w:rsid w:val="00AE046B"/>
    <w:rsid w:val="00AE07C0"/>
    <w:rsid w:val="00AE7355"/>
    <w:rsid w:val="00AF3E87"/>
    <w:rsid w:val="00AF66B9"/>
    <w:rsid w:val="00B03815"/>
    <w:rsid w:val="00B055EE"/>
    <w:rsid w:val="00B17F74"/>
    <w:rsid w:val="00B2437F"/>
    <w:rsid w:val="00B31140"/>
    <w:rsid w:val="00B44F4C"/>
    <w:rsid w:val="00B532CE"/>
    <w:rsid w:val="00B54E13"/>
    <w:rsid w:val="00B60DE7"/>
    <w:rsid w:val="00B65273"/>
    <w:rsid w:val="00B66D64"/>
    <w:rsid w:val="00B70014"/>
    <w:rsid w:val="00B72F40"/>
    <w:rsid w:val="00B75534"/>
    <w:rsid w:val="00B81171"/>
    <w:rsid w:val="00B840E7"/>
    <w:rsid w:val="00B86B84"/>
    <w:rsid w:val="00B92D4D"/>
    <w:rsid w:val="00B944C3"/>
    <w:rsid w:val="00BB178A"/>
    <w:rsid w:val="00BB18EE"/>
    <w:rsid w:val="00BC6D2A"/>
    <w:rsid w:val="00BD202D"/>
    <w:rsid w:val="00BD577E"/>
    <w:rsid w:val="00BD6F67"/>
    <w:rsid w:val="00BD70BA"/>
    <w:rsid w:val="00BE3342"/>
    <w:rsid w:val="00BE59BF"/>
    <w:rsid w:val="00BF523A"/>
    <w:rsid w:val="00BF6CC6"/>
    <w:rsid w:val="00C036CD"/>
    <w:rsid w:val="00C0526C"/>
    <w:rsid w:val="00C107ED"/>
    <w:rsid w:val="00C12DB8"/>
    <w:rsid w:val="00C13F92"/>
    <w:rsid w:val="00C22E2B"/>
    <w:rsid w:val="00C30A64"/>
    <w:rsid w:val="00C3261C"/>
    <w:rsid w:val="00C34118"/>
    <w:rsid w:val="00C36630"/>
    <w:rsid w:val="00C37400"/>
    <w:rsid w:val="00C410C5"/>
    <w:rsid w:val="00C4279F"/>
    <w:rsid w:val="00C44D4B"/>
    <w:rsid w:val="00C46D3D"/>
    <w:rsid w:val="00C46DF4"/>
    <w:rsid w:val="00C52F11"/>
    <w:rsid w:val="00C52FC6"/>
    <w:rsid w:val="00C540BF"/>
    <w:rsid w:val="00C57E1A"/>
    <w:rsid w:val="00C67939"/>
    <w:rsid w:val="00C67F3E"/>
    <w:rsid w:val="00C71E89"/>
    <w:rsid w:val="00C7587E"/>
    <w:rsid w:val="00C75A90"/>
    <w:rsid w:val="00C9666B"/>
    <w:rsid w:val="00CA647B"/>
    <w:rsid w:val="00CB6258"/>
    <w:rsid w:val="00CB778C"/>
    <w:rsid w:val="00CC1CC8"/>
    <w:rsid w:val="00CC3304"/>
    <w:rsid w:val="00CC4E63"/>
    <w:rsid w:val="00CE4855"/>
    <w:rsid w:val="00CF051D"/>
    <w:rsid w:val="00CF0DD2"/>
    <w:rsid w:val="00CF0F48"/>
    <w:rsid w:val="00D0063E"/>
    <w:rsid w:val="00D01FAC"/>
    <w:rsid w:val="00D030FE"/>
    <w:rsid w:val="00D06F18"/>
    <w:rsid w:val="00D13233"/>
    <w:rsid w:val="00D14824"/>
    <w:rsid w:val="00D15539"/>
    <w:rsid w:val="00D22706"/>
    <w:rsid w:val="00D23C3C"/>
    <w:rsid w:val="00D27DA0"/>
    <w:rsid w:val="00D37B8A"/>
    <w:rsid w:val="00D51152"/>
    <w:rsid w:val="00D61C13"/>
    <w:rsid w:val="00D66DF4"/>
    <w:rsid w:val="00D7073B"/>
    <w:rsid w:val="00D741A1"/>
    <w:rsid w:val="00D904A1"/>
    <w:rsid w:val="00D909AF"/>
    <w:rsid w:val="00D91A3B"/>
    <w:rsid w:val="00D91C03"/>
    <w:rsid w:val="00D958DE"/>
    <w:rsid w:val="00DA7E98"/>
    <w:rsid w:val="00DB2E3A"/>
    <w:rsid w:val="00DB32C0"/>
    <w:rsid w:val="00DB4852"/>
    <w:rsid w:val="00DC2CCA"/>
    <w:rsid w:val="00DC3887"/>
    <w:rsid w:val="00DD13FF"/>
    <w:rsid w:val="00DD6F1D"/>
    <w:rsid w:val="00DE223E"/>
    <w:rsid w:val="00DF0F3D"/>
    <w:rsid w:val="00DF3388"/>
    <w:rsid w:val="00DF3CE1"/>
    <w:rsid w:val="00DF5E0B"/>
    <w:rsid w:val="00DF6448"/>
    <w:rsid w:val="00E0081C"/>
    <w:rsid w:val="00E05053"/>
    <w:rsid w:val="00E05DA0"/>
    <w:rsid w:val="00E07E65"/>
    <w:rsid w:val="00E1016B"/>
    <w:rsid w:val="00E16A94"/>
    <w:rsid w:val="00E225AE"/>
    <w:rsid w:val="00E31D3A"/>
    <w:rsid w:val="00E40D38"/>
    <w:rsid w:val="00E41D0E"/>
    <w:rsid w:val="00E42CB0"/>
    <w:rsid w:val="00E472F8"/>
    <w:rsid w:val="00E50193"/>
    <w:rsid w:val="00E50266"/>
    <w:rsid w:val="00E50730"/>
    <w:rsid w:val="00E5523E"/>
    <w:rsid w:val="00E6082C"/>
    <w:rsid w:val="00E6764E"/>
    <w:rsid w:val="00E7471E"/>
    <w:rsid w:val="00E77F15"/>
    <w:rsid w:val="00E87E8F"/>
    <w:rsid w:val="00E97E45"/>
    <w:rsid w:val="00EA234C"/>
    <w:rsid w:val="00EA5556"/>
    <w:rsid w:val="00EB34F1"/>
    <w:rsid w:val="00EC4C44"/>
    <w:rsid w:val="00ED27FD"/>
    <w:rsid w:val="00ED385C"/>
    <w:rsid w:val="00ED7C4A"/>
    <w:rsid w:val="00EE0C77"/>
    <w:rsid w:val="00EE4728"/>
    <w:rsid w:val="00EE7371"/>
    <w:rsid w:val="00EF044E"/>
    <w:rsid w:val="00EF181C"/>
    <w:rsid w:val="00F13B33"/>
    <w:rsid w:val="00F13DBB"/>
    <w:rsid w:val="00F1531E"/>
    <w:rsid w:val="00F1657B"/>
    <w:rsid w:val="00F1774B"/>
    <w:rsid w:val="00F22930"/>
    <w:rsid w:val="00F34A08"/>
    <w:rsid w:val="00F41F33"/>
    <w:rsid w:val="00F50F72"/>
    <w:rsid w:val="00F51311"/>
    <w:rsid w:val="00F645F8"/>
    <w:rsid w:val="00F64B71"/>
    <w:rsid w:val="00F70EB0"/>
    <w:rsid w:val="00F7781B"/>
    <w:rsid w:val="00F80944"/>
    <w:rsid w:val="00F86CE0"/>
    <w:rsid w:val="00F91F81"/>
    <w:rsid w:val="00F93ECF"/>
    <w:rsid w:val="00FA20AC"/>
    <w:rsid w:val="00FB52A4"/>
    <w:rsid w:val="00FB6D03"/>
    <w:rsid w:val="00FC5265"/>
    <w:rsid w:val="00FD0F6F"/>
    <w:rsid w:val="00FD132B"/>
    <w:rsid w:val="00FD25E9"/>
    <w:rsid w:val="00FD6492"/>
    <w:rsid w:val="00FE2A7A"/>
    <w:rsid w:val="00FE3665"/>
    <w:rsid w:val="00FE501C"/>
    <w:rsid w:val="00FF0DC4"/>
    <w:rsid w:val="00FF1798"/>
    <w:rsid w:val="00FF62FA"/>
    <w:rsid w:val="00FF77D3"/>
    <w:rsid w:val="5A5528E6"/>
  </w:rsids>
  <m:mathPr>
    <m:mathFont m:val="Cambria Math"/>
    <m:brkBin m:val="before"/>
    <m:brkBinSub m:val="--"/>
    <m:smallFrac m:val="1"/>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nhideWhenUsed="0" w:uiPriority="0" w:semiHidden="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outlineLvl w:val="0"/>
    </w:pPr>
    <w:rPr>
      <w: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link w:val="29"/>
    <w:qFormat/>
    <w:uiPriority w:val="0"/>
    <w:pPr>
      <w:numPr>
        <w:ilvl w:val="2"/>
        <w:numId w:val="1"/>
      </w:numPr>
      <w:spacing w:line="240" w:lineRule="exact"/>
      <w:jc w:val="both"/>
      <w:outlineLvl w:val="2"/>
    </w:pPr>
    <w:rPr>
      <w:i/>
      <w:iCs/>
    </w:rPr>
  </w:style>
  <w:style w:type="paragraph" w:styleId="5">
    <w:name w:val="heading 4"/>
    <w:basedOn w:val="1"/>
    <w:next w:val="1"/>
    <w:link w:val="43"/>
    <w:qFormat/>
    <w:uiPriority w:val="0"/>
    <w:pPr>
      <w:numPr>
        <w:ilvl w:val="3"/>
        <w:numId w:val="1"/>
      </w:numPr>
      <w:spacing w:before="40" w:after="40"/>
      <w:jc w:val="both"/>
      <w:outlineLvl w:val="3"/>
    </w:pPr>
    <w:rPr>
      <w:i/>
      <w:iCs/>
    </w:rPr>
  </w:style>
  <w:style w:type="paragraph" w:styleId="6">
    <w:name w:val="heading 5"/>
    <w:basedOn w:val="1"/>
    <w:next w:val="1"/>
    <w:link w:val="27"/>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49"/>
    <w:uiPriority w:val="0"/>
    <w:rPr>
      <w:rFonts w:ascii="Tahoma" w:hAnsi="Tahoma" w:cs="Tahoma"/>
      <w:sz w:val="16"/>
      <w:szCs w:val="16"/>
    </w:rPr>
  </w:style>
  <w:style w:type="paragraph" w:styleId="10">
    <w:name w:val="Body Text"/>
    <w:basedOn w:val="1"/>
    <w:uiPriority w:val="0"/>
    <w:pPr>
      <w:spacing w:after="120" w:line="228" w:lineRule="auto"/>
      <w:ind w:firstLine="288"/>
      <w:jc w:val="both"/>
    </w:pPr>
    <w:rPr>
      <w:spacing w:val="-1"/>
    </w:rPr>
  </w:style>
  <w:style w:type="paragraph" w:styleId="11">
    <w:name w:val="E-mail Signature"/>
    <w:basedOn w:val="1"/>
    <w:link w:val="56"/>
    <w:uiPriority w:val="0"/>
  </w:style>
  <w:style w:type="character" w:styleId="12">
    <w:name w:val="Emphasis"/>
    <w:basedOn w:val="7"/>
    <w:qFormat/>
    <w:uiPriority w:val="20"/>
    <w:rPr>
      <w:i/>
      <w:iCs/>
    </w:rPr>
  </w:style>
  <w:style w:type="paragraph" w:styleId="13">
    <w:name w:val="footer"/>
    <w:basedOn w:val="1"/>
    <w:uiPriority w:val="0"/>
    <w:pPr>
      <w:tabs>
        <w:tab w:val="center" w:pos="4320"/>
        <w:tab w:val="right" w:pos="8640"/>
      </w:tabs>
    </w:pPr>
  </w:style>
  <w:style w:type="paragraph" w:styleId="14">
    <w:name w:val="header"/>
    <w:basedOn w:val="1"/>
    <w:uiPriority w:val="0"/>
    <w:pPr>
      <w:tabs>
        <w:tab w:val="center" w:pos="4320"/>
        <w:tab w:val="right" w:pos="8640"/>
      </w:tabs>
    </w:pPr>
  </w:style>
  <w:style w:type="character" w:styleId="15">
    <w:name w:val="Hyperlink"/>
    <w:basedOn w:val="7"/>
    <w:uiPriority w:val="0"/>
    <w:rPr>
      <w:color w:val="0000FF" w:themeColor="hyperlink"/>
      <w:u w:val="single"/>
      <w14:textFill>
        <w14:solidFill>
          <w14:schemeClr w14:val="hlink"/>
        </w14:solidFill>
      </w14:textFill>
    </w:rPr>
  </w:style>
  <w:style w:type="table" w:styleId="16">
    <w:name w:val="Table Grid"/>
    <w:basedOn w:val="8"/>
    <w:uiPriority w:val="0"/>
    <w:pPr>
      <w:ind w:firstLine="198"/>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ETASR author"/>
    <w:basedOn w:val="1"/>
    <w:uiPriority w:val="0"/>
    <w:pPr>
      <w:spacing w:after="40"/>
      <w:ind w:left="1134"/>
      <w:jc w:val="left"/>
    </w:pPr>
    <w:rPr>
      <w:rFonts w:eastAsia="MS Mincho"/>
      <w:b/>
      <w:sz w:val="22"/>
      <w:szCs w:val="22"/>
    </w:rPr>
  </w:style>
  <w:style w:type="paragraph" w:customStyle="1" w:styleId="18">
    <w:name w:val="ETASR Heading 1"/>
    <w:basedOn w:val="2"/>
    <w:uiPriority w:val="0"/>
    <w:rPr>
      <w:rFonts w:eastAsia="MS Mincho"/>
    </w:rPr>
  </w:style>
  <w:style w:type="paragraph" w:customStyle="1" w:styleId="19">
    <w:name w:val="ETASR sponsors"/>
    <w:basedOn w:val="1"/>
    <w:uiPriority w:val="0"/>
    <w:pPr>
      <w:framePr w:wrap="auto" w:vAnchor="page" w:hAnchor="page" w:x="894" w:y="14401"/>
      <w:pBdr>
        <w:top w:val="single" w:color="auto" w:sz="4" w:space="2"/>
      </w:pBdr>
      <w:ind w:firstLine="288"/>
      <w:jc w:val="left"/>
    </w:pPr>
    <w:rPr>
      <w:rFonts w:eastAsia="MS Mincho"/>
      <w:sz w:val="16"/>
      <w:szCs w:val="16"/>
    </w:rPr>
  </w:style>
  <w:style w:type="paragraph" w:customStyle="1" w:styleId="20">
    <w:name w:val="ETASR affiliation"/>
    <w:basedOn w:val="1"/>
    <w:link w:val="58"/>
    <w:uiPriority w:val="0"/>
    <w:pPr>
      <w:ind w:left="1134"/>
      <w:jc w:val="both"/>
    </w:pPr>
    <w:rPr>
      <w:rFonts w:eastAsia="MS Mincho"/>
      <w:sz w:val="22"/>
    </w:rPr>
  </w:style>
  <w:style w:type="paragraph" w:customStyle="1" w:styleId="21">
    <w:name w:val="ETASR Heading 2"/>
    <w:basedOn w:val="3"/>
    <w:uiPriority w:val="0"/>
    <w:rPr>
      <w:rFonts w:eastAsia="MS Mincho"/>
    </w:rPr>
  </w:style>
  <w:style w:type="paragraph" w:customStyle="1" w:styleId="22">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3">
    <w:name w:val="ETASR key words"/>
    <w:basedOn w:val="1"/>
    <w:uiPriority w:val="0"/>
    <w:pPr>
      <w:spacing w:after="120"/>
      <w:ind w:left="1134" w:right="1098"/>
      <w:jc w:val="both"/>
    </w:pPr>
    <w:rPr>
      <w:rFonts w:eastAsia="MS Mincho"/>
      <w:b/>
      <w:bCs/>
      <w:i/>
      <w:iCs/>
      <w:sz w:val="18"/>
      <w:szCs w:val="18"/>
    </w:rPr>
  </w:style>
  <w:style w:type="paragraph" w:customStyle="1" w:styleId="24">
    <w:name w:val="footnote"/>
    <w:uiPriority w:val="0"/>
    <w:pPr>
      <w:framePr w:hSpace="187" w:vSpace="187" w:wrap="notBeside" w:vAnchor="text" w:hAnchor="page" w:x="6121" w:y="577"/>
      <w:numPr>
        <w:ilvl w:val="0"/>
        <w:numId w:val="2"/>
      </w:numPr>
      <w:spacing w:after="40"/>
      <w:jc w:val="center"/>
    </w:pPr>
    <w:rPr>
      <w:rFonts w:ascii="Times New Roman" w:hAnsi="Times New Roman" w:eastAsia="SimSun" w:cs="Times New Roman"/>
      <w:sz w:val="16"/>
      <w:szCs w:val="16"/>
      <w:lang w:val="en-US" w:eastAsia="en-US" w:bidi="ar-SA"/>
    </w:rPr>
  </w:style>
  <w:style w:type="paragraph" w:customStyle="1" w:styleId="25">
    <w:name w:val="ETASR Heading 3"/>
    <w:basedOn w:val="4"/>
    <w:link w:val="37"/>
    <w:qFormat/>
    <w:uiPriority w:val="0"/>
    <w:pPr>
      <w:tabs>
        <w:tab w:val="left" w:pos="284"/>
        <w:tab w:val="clear" w:pos="2160"/>
      </w:tabs>
      <w:spacing w:before="120" w:after="60"/>
      <w:ind w:firstLine="0"/>
      <w:jc w:val="left"/>
    </w:pPr>
    <w:rPr>
      <w:rFonts w:eastAsia="MS Mincho"/>
    </w:rPr>
  </w:style>
  <w:style w:type="paragraph" w:customStyle="1" w:styleId="26">
    <w:name w:val="ETASR Heading 5+bold"/>
    <w:basedOn w:val="6"/>
    <w:link w:val="28"/>
    <w:qFormat/>
    <w:uiPriority w:val="0"/>
    <w:rPr>
      <w:rFonts w:eastAsia="MS Mincho"/>
      <w:b/>
      <w:caps/>
      <w:smallCaps w:val="0"/>
    </w:rPr>
  </w:style>
  <w:style w:type="character" w:customStyle="1" w:styleId="27">
    <w:name w:val="Heading 5 Char"/>
    <w:link w:val="6"/>
    <w:uiPriority w:val="0"/>
    <w:rPr>
      <w:rFonts w:eastAsia="SimSun"/>
      <w:smallCaps/>
      <w:lang w:val="en-US" w:eastAsia="en-US" w:bidi="ar-SA"/>
    </w:rPr>
  </w:style>
  <w:style w:type="character" w:customStyle="1" w:styleId="28">
    <w:name w:val="ETASR Heading 5+bold Char"/>
    <w:link w:val="26"/>
    <w:uiPriority w:val="0"/>
    <w:rPr>
      <w:rFonts w:eastAsia="MS Mincho"/>
      <w:b/>
      <w:caps/>
      <w:lang w:val="en-US" w:eastAsia="en-US"/>
    </w:rPr>
  </w:style>
  <w:style w:type="character" w:customStyle="1" w:styleId="29">
    <w:name w:val="Heading 3 Char"/>
    <w:link w:val="4"/>
    <w:uiPriority w:val="0"/>
    <w:rPr>
      <w:i/>
      <w:iCs/>
      <w:lang w:val="en-US" w:eastAsia="en-US"/>
    </w:rPr>
  </w:style>
  <w:style w:type="paragraph" w:customStyle="1" w:styleId="30">
    <w:name w:val="figure caption"/>
    <w:uiPriority w:val="0"/>
    <w:pPr>
      <w:tabs>
        <w:tab w:val="left" w:pos="720"/>
      </w:tabs>
      <w:spacing w:before="80" w:after="200"/>
      <w:jc w:val="center"/>
    </w:pPr>
    <w:rPr>
      <w:rFonts w:ascii="Times New Roman" w:hAnsi="Times New Roman" w:eastAsia="SimSun" w:cs="Times New Roman"/>
      <w:sz w:val="16"/>
      <w:szCs w:val="16"/>
      <w:lang w:val="en-US" w:eastAsia="en-US" w:bidi="ar-SA"/>
    </w:rPr>
  </w:style>
  <w:style w:type="paragraph" w:customStyle="1" w:styleId="31">
    <w:name w:val="table footnote"/>
    <w:uiPriority w:val="0"/>
    <w:pPr>
      <w:spacing w:before="60" w:after="30"/>
      <w:jc w:val="right"/>
    </w:pPr>
    <w:rPr>
      <w:rFonts w:ascii="Times New Roman" w:hAnsi="Times New Roman" w:eastAsia="SimSun" w:cs="Times New Roman"/>
      <w:sz w:val="12"/>
      <w:szCs w:val="12"/>
      <w:lang w:val="en-US" w:eastAsia="en-US" w:bidi="ar-SA"/>
    </w:rPr>
  </w:style>
  <w:style w:type="paragraph" w:customStyle="1" w:styleId="32">
    <w:name w:val="ETASR figure caption"/>
    <w:basedOn w:val="30"/>
    <w:uiPriority w:val="0"/>
    <w:pPr>
      <w:numPr>
        <w:ilvl w:val="0"/>
        <w:numId w:val="3"/>
      </w:numPr>
    </w:pPr>
  </w:style>
  <w:style w:type="paragraph" w:customStyle="1" w:styleId="33">
    <w:name w:val="ETASR table col head"/>
    <w:qFormat/>
    <w:uiPriority w:val="0"/>
    <w:pPr>
      <w:ind w:firstLine="6"/>
      <w:jc w:val="center"/>
    </w:pPr>
    <w:rPr>
      <w:rFonts w:ascii="Times New Roman" w:hAnsi="Times New Roman" w:eastAsia="SimSun" w:cs="Times New Roman"/>
      <w:b/>
      <w:bCs/>
      <w:sz w:val="16"/>
      <w:szCs w:val="16"/>
      <w:lang w:val="en-US" w:eastAsia="en-US" w:bidi="ar-SA"/>
    </w:rPr>
  </w:style>
  <w:style w:type="paragraph" w:customStyle="1" w:styleId="34">
    <w:name w:val="ETASR body text"/>
    <w:basedOn w:val="1"/>
    <w:link w:val="65"/>
    <w:qFormat/>
    <w:uiPriority w:val="0"/>
    <w:pPr>
      <w:spacing w:after="120" w:line="228" w:lineRule="auto"/>
      <w:ind w:firstLine="288"/>
      <w:jc w:val="both"/>
    </w:pPr>
    <w:rPr>
      <w:rFonts w:eastAsia="MS Mincho"/>
      <w:spacing w:val="-1"/>
    </w:rPr>
  </w:style>
  <w:style w:type="paragraph" w:customStyle="1" w:styleId="35">
    <w:name w:val="ETASR bullet list"/>
    <w:basedOn w:val="11"/>
    <w:qFormat/>
    <w:uiPriority w:val="0"/>
    <w:pPr>
      <w:numPr>
        <w:ilvl w:val="0"/>
        <w:numId w:val="4"/>
      </w:numPr>
      <w:tabs>
        <w:tab w:val="left" w:pos="284"/>
        <w:tab w:val="clear" w:pos="648"/>
      </w:tabs>
      <w:spacing w:after="120" w:line="228" w:lineRule="auto"/>
      <w:ind w:left="284" w:hanging="284"/>
      <w:jc w:val="both"/>
    </w:pPr>
    <w:rPr>
      <w:rFonts w:eastAsia="MS Mincho"/>
      <w:spacing w:val="-1"/>
    </w:rPr>
  </w:style>
  <w:style w:type="paragraph" w:customStyle="1" w:styleId="36">
    <w:name w:val="ETASR references"/>
    <w:basedOn w:val="1"/>
    <w:qFormat/>
    <w:uiPriority w:val="0"/>
    <w:pPr>
      <w:numPr>
        <w:ilvl w:val="0"/>
        <w:numId w:val="5"/>
      </w:numPr>
      <w:spacing w:after="50" w:line="180" w:lineRule="exact"/>
      <w:jc w:val="both"/>
    </w:pPr>
    <w:rPr>
      <w:rFonts w:eastAsia="MS Mincho"/>
      <w:sz w:val="16"/>
      <w:szCs w:val="16"/>
    </w:rPr>
  </w:style>
  <w:style w:type="character" w:customStyle="1" w:styleId="37">
    <w:name w:val="ETASR Heading 3 Char"/>
    <w:link w:val="25"/>
    <w:uiPriority w:val="0"/>
    <w:rPr>
      <w:rFonts w:eastAsia="MS Mincho"/>
      <w:i/>
      <w:iCs/>
      <w:lang w:val="en-US" w:eastAsia="en-US"/>
    </w:rPr>
  </w:style>
  <w:style w:type="character" w:styleId="38">
    <w:name w:val="Placeholder Text"/>
    <w:basedOn w:val="7"/>
    <w:semiHidden/>
    <w:uiPriority w:val="99"/>
    <w:rPr>
      <w:color w:val="808080"/>
    </w:rPr>
  </w:style>
  <w:style w:type="paragraph" w:customStyle="1" w:styleId="39">
    <w:name w:val="ETASR abstract"/>
    <w:basedOn w:val="1"/>
    <w:uiPriority w:val="0"/>
    <w:pPr>
      <w:spacing w:after="200"/>
      <w:ind w:left="1134" w:right="1098"/>
      <w:jc w:val="both"/>
    </w:pPr>
    <w:rPr>
      <w:rFonts w:eastAsia="MS Mincho"/>
      <w:b/>
      <w:bCs/>
      <w:sz w:val="18"/>
      <w:szCs w:val="18"/>
    </w:rPr>
  </w:style>
  <w:style w:type="paragraph" w:customStyle="1" w:styleId="40">
    <w:name w:val="ETASR paper title"/>
    <w:basedOn w:val="1"/>
    <w:uiPriority w:val="0"/>
    <w:pPr>
      <w:spacing w:after="120"/>
      <w:ind w:left="1134"/>
      <w:jc w:val="left"/>
    </w:pPr>
    <w:rPr>
      <w:rFonts w:eastAsia="MS Mincho"/>
      <w:sz w:val="48"/>
      <w:szCs w:val="48"/>
    </w:rPr>
  </w:style>
  <w:style w:type="paragraph" w:customStyle="1" w:styleId="41">
    <w:name w:val="ETASR paper subtitle"/>
    <w:basedOn w:val="1"/>
    <w:uiPriority w:val="0"/>
    <w:pPr>
      <w:spacing w:after="120"/>
      <w:ind w:left="1134"/>
      <w:jc w:val="left"/>
    </w:pPr>
    <w:rPr>
      <w:rFonts w:eastAsia="MS Mincho"/>
      <w:sz w:val="28"/>
      <w:szCs w:val="28"/>
    </w:rPr>
  </w:style>
  <w:style w:type="paragraph" w:customStyle="1" w:styleId="42">
    <w:name w:val="ETASR Heading 4"/>
    <w:basedOn w:val="5"/>
    <w:link w:val="44"/>
    <w:uiPriority w:val="0"/>
    <w:rPr>
      <w:rFonts w:eastAsia="MS Mincho"/>
    </w:rPr>
  </w:style>
  <w:style w:type="character" w:customStyle="1" w:styleId="43">
    <w:name w:val="Heading 4 Char"/>
    <w:link w:val="5"/>
    <w:uiPriority w:val="0"/>
    <w:rPr>
      <w:i/>
      <w:iCs/>
      <w:lang w:val="en-US" w:eastAsia="en-US"/>
    </w:rPr>
  </w:style>
  <w:style w:type="character" w:customStyle="1" w:styleId="44">
    <w:name w:val="ETASR Heading 4 Char"/>
    <w:link w:val="42"/>
    <w:uiPriority w:val="0"/>
    <w:rPr>
      <w:rFonts w:eastAsia="MS Mincho"/>
      <w:i/>
      <w:iCs/>
      <w:lang w:val="en-US" w:eastAsia="en-US"/>
    </w:rPr>
  </w:style>
  <w:style w:type="paragraph" w:customStyle="1" w:styleId="45">
    <w:name w:val="ETASR table head"/>
    <w:basedOn w:val="1"/>
    <w:link w:val="53"/>
    <w:uiPriority w:val="0"/>
    <w:pPr>
      <w:numPr>
        <w:ilvl w:val="0"/>
        <w:numId w:val="6"/>
      </w:numPr>
      <w:spacing w:before="240" w:after="120" w:line="216" w:lineRule="auto"/>
    </w:pPr>
    <w:rPr>
      <w:smallCaps/>
      <w:sz w:val="16"/>
      <w:szCs w:val="16"/>
    </w:rPr>
  </w:style>
  <w:style w:type="paragraph" w:customStyle="1" w:styleId="46">
    <w:name w:val="ETASR table col subhead"/>
    <w:basedOn w:val="1"/>
    <w:uiPriority w:val="0"/>
    <w:pPr>
      <w:ind w:firstLine="6"/>
    </w:pPr>
    <w:rPr>
      <w:b/>
      <w:bCs/>
      <w:i/>
      <w:iCs/>
      <w:sz w:val="15"/>
      <w:szCs w:val="15"/>
    </w:rPr>
  </w:style>
  <w:style w:type="paragraph" w:customStyle="1" w:styleId="47">
    <w:name w:val="ETASR table copy"/>
    <w:basedOn w:val="1"/>
    <w:uiPriority w:val="0"/>
    <w:pPr>
      <w:ind w:firstLine="6"/>
    </w:pPr>
    <w:rPr>
      <w:sz w:val="16"/>
      <w:szCs w:val="16"/>
    </w:rPr>
  </w:style>
  <w:style w:type="paragraph" w:customStyle="1" w:styleId="48">
    <w:name w:val="ETASR table footnote + Αριστερά:  0.63 εκ."/>
    <w:basedOn w:val="1"/>
    <w:uiPriority w:val="0"/>
    <w:pPr>
      <w:spacing w:before="60" w:after="30"/>
      <w:ind w:left="360"/>
      <w:jc w:val="right"/>
    </w:pPr>
    <w:rPr>
      <w:rFonts w:eastAsia="MS Mincho"/>
      <w:sz w:val="12"/>
      <w:szCs w:val="12"/>
    </w:rPr>
  </w:style>
  <w:style w:type="character" w:customStyle="1" w:styleId="49">
    <w:name w:val="Balloon Text Char"/>
    <w:basedOn w:val="7"/>
    <w:link w:val="9"/>
    <w:uiPriority w:val="0"/>
    <w:rPr>
      <w:rFonts w:ascii="Tahoma" w:hAnsi="Tahoma" w:cs="Tahoma"/>
      <w:sz w:val="16"/>
      <w:szCs w:val="16"/>
      <w:lang w:val="en-US" w:eastAsia="en-US"/>
    </w:rPr>
  </w:style>
  <w:style w:type="paragraph" w:customStyle="1" w:styleId="50">
    <w:name w:val="ETASR numbered list"/>
    <w:basedOn w:val="1"/>
    <w:link w:val="51"/>
    <w:qFormat/>
    <w:uiPriority w:val="0"/>
    <w:pPr>
      <w:numPr>
        <w:ilvl w:val="0"/>
        <w:numId w:val="7"/>
      </w:numPr>
      <w:spacing w:after="120"/>
      <w:ind w:left="284" w:hanging="283"/>
      <w:jc w:val="both"/>
    </w:pPr>
  </w:style>
  <w:style w:type="character" w:customStyle="1" w:styleId="51">
    <w:name w:val="ETASR numbered list Char"/>
    <w:basedOn w:val="7"/>
    <w:link w:val="50"/>
    <w:uiPriority w:val="0"/>
    <w:rPr>
      <w:lang w:val="en-US" w:eastAsia="en-US"/>
    </w:rPr>
  </w:style>
  <w:style w:type="paragraph" w:customStyle="1" w:styleId="52">
    <w:name w:val="ETASR TABLE HEAD"/>
    <w:basedOn w:val="45"/>
    <w:next w:val="34"/>
    <w:link w:val="54"/>
    <w:uiPriority w:val="0"/>
    <w:rPr>
      <w:caps/>
      <w:smallCaps w:val="0"/>
    </w:rPr>
  </w:style>
  <w:style w:type="character" w:customStyle="1" w:styleId="53">
    <w:name w:val="ETASR table head Char"/>
    <w:basedOn w:val="7"/>
    <w:link w:val="45"/>
    <w:uiPriority w:val="0"/>
    <w:rPr>
      <w:smallCaps/>
      <w:sz w:val="16"/>
      <w:szCs w:val="16"/>
      <w:lang w:val="en-US" w:eastAsia="en-US"/>
    </w:rPr>
  </w:style>
  <w:style w:type="character" w:customStyle="1" w:styleId="54">
    <w:name w:val="ETASR TABLE HEAD Char"/>
    <w:basedOn w:val="53"/>
    <w:link w:val="52"/>
    <w:uiPriority w:val="0"/>
    <w:rPr>
      <w:caps/>
      <w:smallCaps w:val="0"/>
      <w:sz w:val="16"/>
      <w:szCs w:val="16"/>
      <w:lang w:val="en-US" w:eastAsia="en-US"/>
    </w:rPr>
  </w:style>
  <w:style w:type="paragraph" w:customStyle="1" w:styleId="55">
    <w:name w:val="Default"/>
    <w:uiPriority w:val="0"/>
    <w:pPr>
      <w:autoSpaceDE w:val="0"/>
      <w:autoSpaceDN w:val="0"/>
      <w:adjustRightInd w:val="0"/>
      <w:jc w:val="center"/>
    </w:pPr>
    <w:rPr>
      <w:rFonts w:ascii="Times New Roman" w:hAnsi="Times New Roman" w:eastAsia="SimSun" w:cs="Times New Roman"/>
      <w:color w:val="000000"/>
      <w:sz w:val="24"/>
      <w:szCs w:val="24"/>
      <w:lang w:val="el-GR" w:eastAsia="el-GR" w:bidi="ar-SA"/>
    </w:rPr>
  </w:style>
  <w:style w:type="character" w:customStyle="1" w:styleId="56">
    <w:name w:val="Email Signature Char"/>
    <w:basedOn w:val="7"/>
    <w:link w:val="11"/>
    <w:uiPriority w:val="0"/>
    <w:rPr>
      <w:lang w:val="en-US" w:eastAsia="en-US"/>
    </w:rPr>
  </w:style>
  <w:style w:type="paragraph" w:customStyle="1" w:styleId="57">
    <w:name w:val="ETASR dates"/>
    <w:basedOn w:val="20"/>
    <w:link w:val="59"/>
    <w:qFormat/>
    <w:uiPriority w:val="0"/>
    <w:pPr>
      <w:jc w:val="center"/>
    </w:pPr>
    <w:rPr>
      <w:i/>
      <w:sz w:val="16"/>
      <w:szCs w:val="16"/>
    </w:rPr>
  </w:style>
  <w:style w:type="character" w:customStyle="1" w:styleId="58">
    <w:name w:val="ETASR affiliation Char"/>
    <w:basedOn w:val="7"/>
    <w:link w:val="20"/>
    <w:uiPriority w:val="0"/>
    <w:rPr>
      <w:rFonts w:eastAsia="MS Mincho"/>
      <w:sz w:val="22"/>
      <w:lang w:val="en-US" w:eastAsia="en-US"/>
    </w:rPr>
  </w:style>
  <w:style w:type="character" w:customStyle="1" w:styleId="59">
    <w:name w:val="ETASR dates Char"/>
    <w:basedOn w:val="58"/>
    <w:link w:val="57"/>
    <w:uiPriority w:val="0"/>
    <w:rPr>
      <w:rFonts w:eastAsia="MS Mincho"/>
      <w:i/>
      <w:sz w:val="16"/>
      <w:szCs w:val="16"/>
      <w:lang w:val="en-US" w:eastAsia="en-US"/>
    </w:rPr>
  </w:style>
  <w:style w:type="paragraph" w:customStyle="1" w:styleId="60">
    <w:name w:val="ETASR Heading 5"/>
    <w:basedOn w:val="26"/>
    <w:link w:val="61"/>
    <w:qFormat/>
    <w:uiPriority w:val="0"/>
    <w:rPr>
      <w:b w:val="0"/>
    </w:rPr>
  </w:style>
  <w:style w:type="character" w:customStyle="1" w:styleId="61">
    <w:name w:val="ETASR Heading 5 Char"/>
    <w:basedOn w:val="7"/>
    <w:link w:val="60"/>
    <w:uiPriority w:val="0"/>
    <w:rPr>
      <w:rFonts w:eastAsia="MS Mincho"/>
      <w:caps/>
      <w:lang w:val="en-US" w:eastAsia="en-US"/>
    </w:rPr>
  </w:style>
  <w:style w:type="character" w:customStyle="1" w:styleId="62">
    <w:name w:val="name"/>
    <w:basedOn w:val="7"/>
    <w:uiPriority w:val="0"/>
  </w:style>
  <w:style w:type="character" w:customStyle="1" w:styleId="63">
    <w:name w:val="affiliation"/>
    <w:basedOn w:val="7"/>
    <w:uiPriority w:val="0"/>
  </w:style>
  <w:style w:type="paragraph" w:customStyle="1" w:styleId="64">
    <w:name w:val="ETASR code"/>
    <w:basedOn w:val="34"/>
    <w:link w:val="66"/>
    <w:qFormat/>
    <w:uiPriority w:val="0"/>
    <w:pPr>
      <w:spacing w:after="0" w:line="240" w:lineRule="auto"/>
      <w:ind w:firstLine="0"/>
      <w:jc w:val="left"/>
    </w:pPr>
    <w:rPr>
      <w:rFonts w:ascii="Courier New" w:hAnsi="Courier New"/>
    </w:rPr>
  </w:style>
  <w:style w:type="character" w:customStyle="1" w:styleId="65">
    <w:name w:val="ETASR body text Char"/>
    <w:basedOn w:val="7"/>
    <w:link w:val="34"/>
    <w:uiPriority w:val="0"/>
    <w:rPr>
      <w:rFonts w:eastAsia="MS Mincho"/>
      <w:spacing w:val="-1"/>
      <w:lang w:val="en-US" w:eastAsia="en-US"/>
    </w:rPr>
  </w:style>
  <w:style w:type="character" w:customStyle="1" w:styleId="66">
    <w:name w:val="ETASR code Char"/>
    <w:basedOn w:val="65"/>
    <w:link w:val="64"/>
    <w:uiPriority w:val="0"/>
    <w:rPr>
      <w:rFonts w:ascii="Courier New" w:hAnsi="Courier New" w:eastAsia="MS Mincho"/>
      <w:spacing w:val="-1"/>
      <w:lang w:val="en-US" w:eastAsia="en-US"/>
    </w:rPr>
  </w:style>
  <w:style w:type="character" w:customStyle="1" w:styleId="67">
    <w:name w:val="Unresolved Mention"/>
    <w:basedOn w:val="7"/>
    <w:semiHidden/>
    <w:unhideWhenUsed/>
    <w:uiPriority w:val="99"/>
    <w:rPr>
      <w:color w:val="605E5C"/>
      <w:shd w:val="clear" w:color="auto" w:fill="E1DFDD"/>
    </w:rPr>
  </w:style>
  <w:style w:type="paragraph" w:styleId="68">
    <w:name w:val="List Paragraph"/>
    <w:basedOn w:val="1"/>
    <w:link w:val="69"/>
    <w:qFormat/>
    <w:uiPriority w:val="34"/>
    <w:pPr>
      <w:spacing w:after="200" w:line="276" w:lineRule="auto"/>
      <w:ind w:left="720"/>
      <w:contextualSpacing/>
      <w:jc w:val="left"/>
    </w:pPr>
    <w:rPr>
      <w:rFonts w:asciiTheme="minorHAnsi" w:hAnsiTheme="minorHAnsi" w:eastAsiaTheme="minorHAnsi" w:cstheme="minorBidi"/>
      <w:sz w:val="22"/>
      <w:szCs w:val="22"/>
    </w:rPr>
  </w:style>
  <w:style w:type="character" w:customStyle="1" w:styleId="69">
    <w:name w:val="List Paragraph Char"/>
    <w:basedOn w:val="7"/>
    <w:link w:val="68"/>
    <w:qFormat/>
    <w:locked/>
    <w:uiPriority w:val="34"/>
    <w:rPr>
      <w:rFonts w:asciiTheme="minorHAnsi" w:hAnsiTheme="minorHAnsi" w:eastAsiaTheme="minorHAnsi" w:cstheme="minorBidi"/>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ETASR_papers\templates\ETASRTEMPLATE_n_check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16A7-6DAD-4609-B001-41922038E537}">
  <ds:schemaRefs/>
</ds:datastoreItem>
</file>

<file path=docProps/app.xml><?xml version="1.0" encoding="utf-8"?>
<Properties xmlns="http://schemas.openxmlformats.org/officeDocument/2006/extended-properties" xmlns:vt="http://schemas.openxmlformats.org/officeDocument/2006/docPropsVTypes">
  <Template>C:\Users\user\Dropbox\ETASR_papers\templates\ETASRTEMPLATE_n_check_this.dotx</Template>
  <Company>ETASR</Company>
  <Pages>9</Pages>
  <Words>3794</Words>
  <Characters>21753</Characters>
  <Lines>183</Lines>
  <Paragraphs>51</Paragraphs>
  <TotalTime>35</TotalTime>
  <ScaleCrop>false</ScaleCrop>
  <LinksUpToDate>false</LinksUpToDate>
  <CharactersWithSpaces>25732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2023-05-18T02:17:00Z</dcterms:created>
  <dc:creator>Engineering, Technology &amp; Applied Science Research</dc:creator>
  <cp:lastModifiedBy>Sai deepthi Kancharla</cp:lastModifiedBy>
  <dcterms:modified xsi:type="dcterms:W3CDTF">2023-05-19T04:46:12Z</dcterms:modified>
  <dc:title>ETASR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id="gffvMu53"/&gt;&lt;style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KSOProductBuildVer">
    <vt:lpwstr>1033-11.2.0.11537</vt:lpwstr>
  </property>
  <property fmtid="{D5CDD505-2E9C-101B-9397-08002B2CF9AE}" pid="5" name="ICV">
    <vt:lpwstr>BD5338F414104851B4BDFF171EA0A0BA</vt:lpwstr>
  </property>
</Properties>
</file>