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E3F" w:rsidRDefault="00A95E3F"/>
    <w:p w:rsidR="00FC784F" w:rsidRDefault="00FC784F" w:rsidP="00FC784F">
      <w:pPr>
        <w:pStyle w:val="Heading1"/>
      </w:pPr>
      <w:r>
        <w:t>Big Data Session 9 Assignment 3</w:t>
      </w:r>
    </w:p>
    <w:p w:rsidR="00FC784F" w:rsidRDefault="00FC784F" w:rsidP="00FC784F"/>
    <w:p w:rsidR="00FC784F" w:rsidRPr="00802E48" w:rsidRDefault="00FC784F" w:rsidP="00FC784F">
      <w:pPr>
        <w:rPr>
          <w:u w:val="single"/>
        </w:rPr>
      </w:pPr>
      <w:r w:rsidRPr="00802E48">
        <w:rPr>
          <w:u w:val="single"/>
        </w:rPr>
        <w:t>NoSQL Databases:</w:t>
      </w:r>
    </w:p>
    <w:p w:rsidR="00FC784F" w:rsidRPr="00802E48" w:rsidRDefault="00FC784F" w:rsidP="00FC784F">
      <w:r w:rsidRPr="00802E48">
        <w:t>NoSQL database is a way to store and retrieve data from database not by the way traditional databases used to store and retrieve data. Traditional databases mainly store data in tabular format i.e. in rows and columns forms. So, NoSQL databases mainly work on non-relational data.</w:t>
      </w:r>
    </w:p>
    <w:p w:rsidR="00FC784F" w:rsidRPr="00802E48" w:rsidRDefault="00FC784F" w:rsidP="00FC784F">
      <w:pPr>
        <w:rPr>
          <w:u w:val="single"/>
        </w:rPr>
      </w:pPr>
      <w:r w:rsidRPr="00802E48">
        <w:rPr>
          <w:u w:val="single"/>
        </w:rPr>
        <w:t>Types of NoSQL Databases</w:t>
      </w:r>
    </w:p>
    <w:p w:rsidR="00FC784F" w:rsidRDefault="00FC784F" w:rsidP="00FC784F">
      <w:pPr>
        <w:numPr>
          <w:ilvl w:val="0"/>
          <w:numId w:val="3"/>
        </w:numPr>
        <w:shd w:val="clear" w:color="auto" w:fill="FFFFFF"/>
        <w:spacing w:before="120" w:after="0" w:line="240" w:lineRule="auto"/>
        <w:rPr>
          <w:rFonts w:eastAsia="Times New Roman" w:cstheme="minorHAnsi"/>
        </w:rPr>
      </w:pPr>
      <w:r w:rsidRPr="00802E48">
        <w:rPr>
          <w:rFonts w:eastAsia="Times New Roman" w:cstheme="minorHAnsi"/>
          <w:b/>
          <w:bCs/>
        </w:rPr>
        <w:t>Key-Value Store</w:t>
      </w:r>
      <w:r w:rsidRPr="00FC784F">
        <w:rPr>
          <w:rFonts w:eastAsia="Times New Roman" w:cstheme="minorHAnsi"/>
        </w:rPr>
        <w:t xml:space="preserve"> – It has a Big Hash Table of keys &amp; values {Example- </w:t>
      </w:r>
      <w:proofErr w:type="spellStart"/>
      <w:r w:rsidRPr="00FC784F">
        <w:rPr>
          <w:rFonts w:eastAsia="Times New Roman" w:cstheme="minorHAnsi"/>
        </w:rPr>
        <w:t>Riak</w:t>
      </w:r>
      <w:proofErr w:type="spellEnd"/>
      <w:r w:rsidRPr="00FC784F">
        <w:rPr>
          <w:rFonts w:eastAsia="Times New Roman" w:cstheme="minorHAnsi"/>
        </w:rPr>
        <w:t>, Amazon S3 (Dynamo)}</w:t>
      </w:r>
    </w:p>
    <w:p w:rsidR="00802E48" w:rsidRPr="00FC784F" w:rsidRDefault="00802E48" w:rsidP="00802E48">
      <w:pPr>
        <w:shd w:val="clear" w:color="auto" w:fill="FFFFFF"/>
        <w:spacing w:before="120" w:after="0" w:line="240" w:lineRule="auto"/>
        <w:ind w:left="720"/>
        <w:rPr>
          <w:rFonts w:eastAsia="Times New Roman" w:cstheme="minorHAnsi"/>
        </w:rPr>
      </w:pPr>
      <w:r>
        <w:rPr>
          <w:noProof/>
        </w:rPr>
        <w:drawing>
          <wp:inline distT="0" distB="0" distL="0" distR="0" wp14:anchorId="511CDED0" wp14:editId="76AE57F6">
            <wp:extent cx="48101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1952625"/>
                    </a:xfrm>
                    <a:prstGeom prst="rect">
                      <a:avLst/>
                    </a:prstGeom>
                  </pic:spPr>
                </pic:pic>
              </a:graphicData>
            </a:graphic>
          </wp:inline>
        </w:drawing>
      </w:r>
    </w:p>
    <w:p w:rsidR="00FC784F" w:rsidRDefault="00FC784F" w:rsidP="00FC784F">
      <w:pPr>
        <w:numPr>
          <w:ilvl w:val="0"/>
          <w:numId w:val="3"/>
        </w:numPr>
        <w:shd w:val="clear" w:color="auto" w:fill="FFFFFF"/>
        <w:spacing w:before="120" w:after="0" w:line="240" w:lineRule="auto"/>
        <w:rPr>
          <w:rFonts w:eastAsia="Times New Roman" w:cstheme="minorHAnsi"/>
        </w:rPr>
      </w:pPr>
      <w:r w:rsidRPr="00802E48">
        <w:rPr>
          <w:rFonts w:eastAsia="Times New Roman" w:cstheme="minorHAnsi"/>
          <w:b/>
          <w:bCs/>
        </w:rPr>
        <w:t>Document-based</w:t>
      </w:r>
      <w:r w:rsidRPr="00FC784F">
        <w:rPr>
          <w:rFonts w:eastAsia="Times New Roman" w:cstheme="minorHAnsi"/>
        </w:rPr>
        <w:t> </w:t>
      </w:r>
      <w:r w:rsidRPr="00802E48">
        <w:rPr>
          <w:rFonts w:eastAsia="Times New Roman" w:cstheme="minorHAnsi"/>
          <w:b/>
          <w:bCs/>
        </w:rPr>
        <w:t>Store- It </w:t>
      </w:r>
      <w:r w:rsidRPr="00FC784F">
        <w:rPr>
          <w:rFonts w:eastAsia="Times New Roman" w:cstheme="minorHAnsi"/>
        </w:rPr>
        <w:t xml:space="preserve">stores documents made up of tagged elements. {Example- </w:t>
      </w:r>
      <w:proofErr w:type="spellStart"/>
      <w:r w:rsidRPr="00FC784F">
        <w:rPr>
          <w:rFonts w:eastAsia="Times New Roman" w:cstheme="minorHAnsi"/>
        </w:rPr>
        <w:t>CouchDB</w:t>
      </w:r>
      <w:proofErr w:type="spellEnd"/>
      <w:r w:rsidRPr="00FC784F">
        <w:rPr>
          <w:rFonts w:eastAsia="Times New Roman" w:cstheme="minorHAnsi"/>
        </w:rPr>
        <w:t>}</w:t>
      </w:r>
    </w:p>
    <w:p w:rsidR="00802E48" w:rsidRPr="00FC784F" w:rsidRDefault="00802E48" w:rsidP="00802E48">
      <w:pPr>
        <w:shd w:val="clear" w:color="auto" w:fill="FFFFFF"/>
        <w:spacing w:before="120" w:after="0" w:line="240" w:lineRule="auto"/>
        <w:ind w:left="720"/>
        <w:rPr>
          <w:rFonts w:eastAsia="Times New Roman" w:cstheme="minorHAnsi"/>
        </w:rPr>
      </w:pPr>
      <w:r>
        <w:rPr>
          <w:noProof/>
        </w:rPr>
        <w:drawing>
          <wp:inline distT="0" distB="0" distL="0" distR="0" wp14:anchorId="7049C8C6" wp14:editId="12251AD5">
            <wp:extent cx="5943600" cy="112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6490"/>
                    </a:xfrm>
                    <a:prstGeom prst="rect">
                      <a:avLst/>
                    </a:prstGeom>
                  </pic:spPr>
                </pic:pic>
              </a:graphicData>
            </a:graphic>
          </wp:inline>
        </w:drawing>
      </w:r>
    </w:p>
    <w:p w:rsidR="00FC784F" w:rsidRDefault="00FC784F" w:rsidP="00FC784F">
      <w:pPr>
        <w:numPr>
          <w:ilvl w:val="0"/>
          <w:numId w:val="3"/>
        </w:numPr>
        <w:shd w:val="clear" w:color="auto" w:fill="FFFFFF"/>
        <w:spacing w:before="120" w:after="0" w:line="240" w:lineRule="auto"/>
        <w:rPr>
          <w:rFonts w:eastAsia="Times New Roman" w:cstheme="minorHAnsi"/>
        </w:rPr>
      </w:pPr>
      <w:r w:rsidRPr="00802E48">
        <w:rPr>
          <w:rFonts w:eastAsia="Times New Roman" w:cstheme="minorHAnsi"/>
          <w:b/>
          <w:bCs/>
        </w:rPr>
        <w:t>Column-based Store- </w:t>
      </w:r>
      <w:r w:rsidRPr="00FC784F">
        <w:rPr>
          <w:rFonts w:eastAsia="Times New Roman" w:cstheme="minorHAnsi"/>
        </w:rPr>
        <w:t>Each storage block contains data from only one column, {Example- HBase, Cassandra}</w:t>
      </w:r>
    </w:p>
    <w:p w:rsidR="00802E48" w:rsidRPr="00FC784F" w:rsidRDefault="00802E48" w:rsidP="00802E48">
      <w:pPr>
        <w:shd w:val="clear" w:color="auto" w:fill="FFFFFF"/>
        <w:spacing w:before="120" w:after="0" w:line="240" w:lineRule="auto"/>
        <w:ind w:left="720"/>
        <w:rPr>
          <w:rFonts w:eastAsia="Times New Roman" w:cstheme="minorHAnsi"/>
        </w:rPr>
      </w:pPr>
      <w:r>
        <w:rPr>
          <w:noProof/>
        </w:rPr>
        <w:lastRenderedPageBreak/>
        <w:drawing>
          <wp:inline distT="0" distB="0" distL="0" distR="0" wp14:anchorId="79EF8FA7" wp14:editId="6855E8B4">
            <wp:extent cx="31051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4495800"/>
                    </a:xfrm>
                    <a:prstGeom prst="rect">
                      <a:avLst/>
                    </a:prstGeom>
                  </pic:spPr>
                </pic:pic>
              </a:graphicData>
            </a:graphic>
          </wp:inline>
        </w:drawing>
      </w:r>
    </w:p>
    <w:p w:rsidR="00FC784F" w:rsidRPr="00FC784F" w:rsidRDefault="00FC784F" w:rsidP="00FC784F">
      <w:pPr>
        <w:numPr>
          <w:ilvl w:val="0"/>
          <w:numId w:val="3"/>
        </w:numPr>
        <w:shd w:val="clear" w:color="auto" w:fill="FFFFFF"/>
        <w:spacing w:before="120" w:after="0" w:line="240" w:lineRule="auto"/>
        <w:rPr>
          <w:rFonts w:eastAsia="Times New Roman" w:cstheme="minorHAnsi"/>
        </w:rPr>
      </w:pPr>
      <w:r w:rsidRPr="00802E48">
        <w:rPr>
          <w:rFonts w:eastAsia="Times New Roman" w:cstheme="minorHAnsi"/>
          <w:b/>
          <w:bCs/>
        </w:rPr>
        <w:t>Graph-based</w:t>
      </w:r>
      <w:r w:rsidRPr="00FC784F">
        <w:rPr>
          <w:rFonts w:eastAsia="Times New Roman" w:cstheme="minorHAnsi"/>
        </w:rPr>
        <w:t>-A network database that uses edges and nodes to represent and store data. {Example- Neo4J}</w:t>
      </w:r>
    </w:p>
    <w:p w:rsidR="00FC784F" w:rsidRDefault="00FC784F" w:rsidP="00FC784F"/>
    <w:p w:rsidR="00802E48" w:rsidRDefault="00802E48" w:rsidP="00FC784F">
      <w:r>
        <w:rPr>
          <w:noProof/>
        </w:rPr>
        <w:lastRenderedPageBreak/>
        <w:drawing>
          <wp:inline distT="0" distB="0" distL="0" distR="0" wp14:anchorId="64A67F79" wp14:editId="16B45499">
            <wp:extent cx="301942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3381375"/>
                    </a:xfrm>
                    <a:prstGeom prst="rect">
                      <a:avLst/>
                    </a:prstGeom>
                  </pic:spPr>
                </pic:pic>
              </a:graphicData>
            </a:graphic>
          </wp:inline>
        </w:drawing>
      </w:r>
    </w:p>
    <w:p w:rsidR="001D65B8" w:rsidRDefault="001D65B8" w:rsidP="00FC784F"/>
    <w:p w:rsidR="001D65B8" w:rsidRPr="001D65B8" w:rsidRDefault="001D65B8" w:rsidP="00FC784F">
      <w:pPr>
        <w:rPr>
          <w:u w:val="single"/>
        </w:rPr>
      </w:pPr>
      <w:r w:rsidRPr="001D65B8">
        <w:rPr>
          <w:u w:val="single"/>
        </w:rPr>
        <w:t>CAP Theorem</w:t>
      </w:r>
    </w:p>
    <w:p w:rsidR="001D65B8" w:rsidRDefault="001D65B8" w:rsidP="001D65B8">
      <w:r w:rsidRPr="001D65B8">
        <w:rPr>
          <w:b/>
        </w:rPr>
        <w:t>Consistency</w:t>
      </w:r>
      <w:r>
        <w:t xml:space="preserve"> - This means that the data in the database remains consistent after the</w:t>
      </w:r>
    </w:p>
    <w:p w:rsidR="001D65B8" w:rsidRDefault="001D65B8" w:rsidP="001D65B8">
      <w:r>
        <w:t xml:space="preserve">execution of an operation. For </w:t>
      </w:r>
      <w:proofErr w:type="gramStart"/>
      <w:r>
        <w:t>example</w:t>
      </w:r>
      <w:proofErr w:type="gramEnd"/>
      <w:r>
        <w:t xml:space="preserve"> after an update operation, all clients see the</w:t>
      </w:r>
    </w:p>
    <w:p w:rsidR="001D65B8" w:rsidRDefault="001D65B8" w:rsidP="001D65B8">
      <w:r>
        <w:t>same data.</w:t>
      </w:r>
    </w:p>
    <w:p w:rsidR="001D65B8" w:rsidRDefault="001D65B8" w:rsidP="001D65B8">
      <w:r w:rsidRPr="001D65B8">
        <w:rPr>
          <w:b/>
        </w:rPr>
        <w:t>Availability</w:t>
      </w:r>
      <w:r>
        <w:t xml:space="preserve"> - This means that the system is always on (service guarantee availability),</w:t>
      </w:r>
    </w:p>
    <w:p w:rsidR="001D65B8" w:rsidRDefault="001D65B8" w:rsidP="001D65B8">
      <w:r>
        <w:t>no downtime.</w:t>
      </w:r>
    </w:p>
    <w:p w:rsidR="001D65B8" w:rsidRDefault="001D65B8" w:rsidP="001D65B8">
      <w:r w:rsidRPr="001D65B8">
        <w:rPr>
          <w:b/>
        </w:rPr>
        <w:t>Partition</w:t>
      </w:r>
      <w:r>
        <w:t xml:space="preserve"> </w:t>
      </w:r>
      <w:r w:rsidRPr="001D65B8">
        <w:rPr>
          <w:b/>
        </w:rPr>
        <w:t>Tolerance</w:t>
      </w:r>
      <w:r>
        <w:t xml:space="preserve"> - This means that the system continues to function even if the</w:t>
      </w:r>
    </w:p>
    <w:p w:rsidR="001D65B8" w:rsidRDefault="001D65B8" w:rsidP="001D65B8">
      <w:r>
        <w:t>communication among the servers is unreliable, i.e. the servers may be partitioned into</w:t>
      </w:r>
    </w:p>
    <w:p w:rsidR="001D65B8" w:rsidRDefault="001D65B8" w:rsidP="001D65B8">
      <w:r>
        <w:t>multiple groups that cannot communicate with one another.</w:t>
      </w:r>
    </w:p>
    <w:p w:rsidR="001D65B8" w:rsidRDefault="001D65B8" w:rsidP="001D65B8">
      <w:pPr>
        <w:rPr>
          <w:u w:val="single"/>
        </w:rPr>
      </w:pPr>
      <w:r w:rsidRPr="001D65B8">
        <w:rPr>
          <w:u w:val="single"/>
        </w:rPr>
        <w:t>HBase Architecture</w:t>
      </w:r>
    </w:p>
    <w:p w:rsidR="001D65B8" w:rsidRDefault="001D65B8" w:rsidP="001D65B8">
      <w:pPr>
        <w:rPr>
          <w:rFonts w:cstheme="minorHAnsi"/>
          <w:color w:val="000000"/>
          <w:shd w:val="clear" w:color="auto" w:fill="FFFFFF"/>
        </w:rPr>
      </w:pPr>
      <w:r w:rsidRPr="001D65B8">
        <w:rPr>
          <w:rFonts w:cstheme="minorHAnsi"/>
          <w:color w:val="000000"/>
          <w:shd w:val="clear" w:color="auto" w:fill="FFFFFF"/>
        </w:rPr>
        <w:t xml:space="preserve">HBase provides low-latency random reads and writes on top of HDFS. In HBase, tables are dynamically distributed by the system whenever they become too large to handle (Auto </w:t>
      </w:r>
      <w:proofErr w:type="spellStart"/>
      <w:r w:rsidRPr="001D65B8">
        <w:rPr>
          <w:rFonts w:cstheme="minorHAnsi"/>
          <w:color w:val="000000"/>
          <w:shd w:val="clear" w:color="auto" w:fill="FFFFFF"/>
        </w:rPr>
        <w:t>Sharding</w:t>
      </w:r>
      <w:proofErr w:type="spellEnd"/>
      <w:r w:rsidRPr="001D65B8">
        <w:rPr>
          <w:rFonts w:cstheme="minorHAnsi"/>
          <w:color w:val="000000"/>
          <w:shd w:val="clear" w:color="auto" w:fill="FFFFFF"/>
        </w:rPr>
        <w:t>). The simplest and foundational unit of horizontal scalability in HBase is a Region. A continuous, sorted set of rows that are stored together is referred to as a region (subset of table data).  HBase architecture has a single HBase master node (</w:t>
      </w:r>
      <w:proofErr w:type="spellStart"/>
      <w:r w:rsidRPr="001D65B8">
        <w:rPr>
          <w:rFonts w:cstheme="minorHAnsi"/>
          <w:color w:val="000000"/>
          <w:shd w:val="clear" w:color="auto" w:fill="FFFFFF"/>
        </w:rPr>
        <w:t>HMaster</w:t>
      </w:r>
      <w:proofErr w:type="spellEnd"/>
      <w:r w:rsidRPr="001D65B8">
        <w:rPr>
          <w:rFonts w:cstheme="minorHAnsi"/>
          <w:color w:val="000000"/>
          <w:shd w:val="clear" w:color="auto" w:fill="FFFFFF"/>
        </w:rPr>
        <w:t xml:space="preserve">) and several slaves i.e. region servers. Each region server (slave) serves a set of </w:t>
      </w:r>
      <w:r w:rsidRPr="001D65B8">
        <w:rPr>
          <w:rFonts w:cstheme="minorHAnsi"/>
          <w:color w:val="000000"/>
          <w:shd w:val="clear" w:color="auto" w:fill="FFFFFF"/>
        </w:rPr>
        <w:lastRenderedPageBreak/>
        <w:t xml:space="preserve">regions, and a region can be served only by a single region server. Whenever a client sends a write request, </w:t>
      </w:r>
      <w:proofErr w:type="spellStart"/>
      <w:r w:rsidRPr="001D65B8">
        <w:rPr>
          <w:rFonts w:cstheme="minorHAnsi"/>
          <w:color w:val="000000"/>
          <w:shd w:val="clear" w:color="auto" w:fill="FFFFFF"/>
        </w:rPr>
        <w:t>HMaster</w:t>
      </w:r>
      <w:proofErr w:type="spellEnd"/>
      <w:r w:rsidRPr="001D65B8">
        <w:rPr>
          <w:rFonts w:cstheme="minorHAnsi"/>
          <w:color w:val="000000"/>
          <w:shd w:val="clear" w:color="auto" w:fill="FFFFFF"/>
        </w:rPr>
        <w:t xml:space="preserve"> receives the request and forwards it to the corresponding region server.</w:t>
      </w:r>
    </w:p>
    <w:p w:rsidR="001D65B8" w:rsidRDefault="001D65B8" w:rsidP="001D65B8">
      <w:pPr>
        <w:rPr>
          <w:rFonts w:cstheme="minorHAnsi"/>
        </w:rPr>
      </w:pPr>
      <w:r>
        <w:rPr>
          <w:noProof/>
        </w:rPr>
        <w:drawing>
          <wp:inline distT="0" distB="0" distL="0" distR="0" wp14:anchorId="45CF2497" wp14:editId="24412F24">
            <wp:extent cx="498157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4410075"/>
                    </a:xfrm>
                    <a:prstGeom prst="rect">
                      <a:avLst/>
                    </a:prstGeom>
                  </pic:spPr>
                </pic:pic>
              </a:graphicData>
            </a:graphic>
          </wp:inline>
        </w:drawing>
      </w:r>
    </w:p>
    <w:p w:rsidR="00B949A3" w:rsidRDefault="00B949A3" w:rsidP="001D65B8">
      <w:pPr>
        <w:rPr>
          <w:rFonts w:cstheme="minorHAnsi"/>
        </w:rPr>
      </w:pPr>
    </w:p>
    <w:p w:rsidR="00B949A3" w:rsidRDefault="00B949A3" w:rsidP="001D65B8">
      <w:pPr>
        <w:rPr>
          <w:rFonts w:cstheme="minorHAnsi"/>
          <w:u w:val="single"/>
        </w:rPr>
      </w:pPr>
      <w:r w:rsidRPr="00B949A3">
        <w:rPr>
          <w:rFonts w:cstheme="minorHAnsi"/>
          <w:u w:val="single"/>
        </w:rPr>
        <w:t>HBase vs RBMS</w:t>
      </w:r>
    </w:p>
    <w:tbl>
      <w:tblPr>
        <w:tblStyle w:val="TableGridLight"/>
        <w:tblW w:w="8700" w:type="dxa"/>
        <w:tblLook w:val="04A0" w:firstRow="1" w:lastRow="0" w:firstColumn="1" w:lastColumn="0" w:noHBand="0" w:noVBand="1"/>
      </w:tblPr>
      <w:tblGrid>
        <w:gridCol w:w="1548"/>
        <w:gridCol w:w="3297"/>
        <w:gridCol w:w="3855"/>
      </w:tblGrid>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Feature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NoSQL</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RDBMS</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Data Volume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Handles Huge Data Volumes</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Handles Limited Data Volumes</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Data Validity</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Highly Guaranteed</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Less Guaranteed</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Scalability</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Horizontally</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Horizontally &amp; Vertically</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Query Language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No declarative query language</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Structured Query Language (SQL)</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Schema</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No predefined schema or less rigid schemas</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 xml:space="preserve">Predefined Schema (Data Definition </w:t>
            </w:r>
            <w:proofErr w:type="spellStart"/>
            <w:r w:rsidRPr="00AF4F88">
              <w:rPr>
                <w:rFonts w:eastAsia="Times New Roman" w:cstheme="minorHAnsi"/>
                <w:color w:val="222222"/>
              </w:rPr>
              <w:t>Laguage</w:t>
            </w:r>
            <w:proofErr w:type="spellEnd"/>
            <w:r w:rsidRPr="00AF4F88">
              <w:rPr>
                <w:rFonts w:eastAsia="Times New Roman" w:cstheme="minorHAnsi"/>
                <w:color w:val="222222"/>
              </w:rPr>
              <w:t xml:space="preserve"> &amp; Data Manipulation Language)</w:t>
            </w:r>
          </w:p>
        </w:tc>
        <w:bookmarkStart w:id="0" w:name="_GoBack"/>
        <w:bookmarkEnd w:id="0"/>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Data Type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Supports unstructured and unpredictable data</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Supports relational data and its relationships are stored in separate tables</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ACID/BASE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Based on BASE principle (Basically, Available, Soft State, Eventually Consistent)</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Based on ACID principle (Atomicity, Consistency, Isolation and Durability)</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lastRenderedPageBreak/>
              <w:t>Transaction Management</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Weaker transactional guarantee</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Strong transactional guarantees</w:t>
            </w:r>
          </w:p>
        </w:tc>
      </w:tr>
      <w:tr w:rsidR="00AF4F88" w:rsidRPr="00AF4F88" w:rsidTr="00AF4F88">
        <w:tc>
          <w:tcPr>
            <w:tcW w:w="1500" w:type="dxa"/>
            <w:hideMark/>
          </w:tcPr>
          <w:p w:rsidR="00AF4F88" w:rsidRPr="00AF4F88" w:rsidRDefault="00AF4F88" w:rsidP="00AF4F88">
            <w:pPr>
              <w:rPr>
                <w:rFonts w:eastAsia="Times New Roman" w:cstheme="minorHAnsi"/>
                <w:color w:val="222222"/>
              </w:rPr>
            </w:pPr>
            <w:r w:rsidRPr="00AF4F88">
              <w:rPr>
                <w:rFonts w:eastAsia="Times New Roman" w:cstheme="minorHAnsi"/>
                <w:b/>
                <w:bCs/>
                <w:color w:val="222222"/>
              </w:rPr>
              <w:t>Data Storage Technique</w:t>
            </w:r>
          </w:p>
        </w:tc>
        <w:tc>
          <w:tcPr>
            <w:tcW w:w="319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 xml:space="preserve">Schema-free collections are utilized to store different </w:t>
            </w:r>
            <w:proofErr w:type="spellStart"/>
            <w:r w:rsidRPr="00AF4F88">
              <w:rPr>
                <w:rFonts w:eastAsia="Times New Roman" w:cstheme="minorHAnsi"/>
                <w:color w:val="222222"/>
              </w:rPr>
              <w:t>typesand</w:t>
            </w:r>
            <w:proofErr w:type="spellEnd"/>
            <w:r w:rsidRPr="00AF4F88">
              <w:rPr>
                <w:rFonts w:eastAsia="Times New Roman" w:cstheme="minorHAnsi"/>
                <w:color w:val="222222"/>
              </w:rPr>
              <w:t xml:space="preserve"> document structures, such as {“color”, “blue”} and {“price”, “23.5”} can be stored within a single collection.</w:t>
            </w:r>
          </w:p>
        </w:tc>
        <w:tc>
          <w:tcPr>
            <w:tcW w:w="3735" w:type="dxa"/>
            <w:hideMark/>
          </w:tcPr>
          <w:p w:rsidR="00AF4F88" w:rsidRPr="00AF4F88" w:rsidRDefault="00AF4F88" w:rsidP="00AF4F88">
            <w:pPr>
              <w:rPr>
                <w:rFonts w:eastAsia="Times New Roman" w:cstheme="minorHAnsi"/>
                <w:color w:val="222222"/>
              </w:rPr>
            </w:pPr>
            <w:r w:rsidRPr="00AF4F88">
              <w:rPr>
                <w:rFonts w:eastAsia="Times New Roman" w:cstheme="minorHAnsi"/>
                <w:color w:val="222222"/>
              </w:rPr>
              <w:t>No collections are used for data storage; instead use DML for it.</w:t>
            </w:r>
          </w:p>
        </w:tc>
      </w:tr>
    </w:tbl>
    <w:p w:rsidR="00B949A3" w:rsidRPr="00AF4F88" w:rsidRDefault="00B949A3" w:rsidP="001D65B8">
      <w:pPr>
        <w:rPr>
          <w:rFonts w:cstheme="minorHAnsi"/>
        </w:rPr>
      </w:pPr>
    </w:p>
    <w:sectPr w:rsidR="00B949A3" w:rsidRPr="00AF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4C3F"/>
    <w:multiLevelType w:val="hybridMultilevel"/>
    <w:tmpl w:val="947C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81994"/>
    <w:multiLevelType w:val="hybridMultilevel"/>
    <w:tmpl w:val="E30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B7C19"/>
    <w:multiLevelType w:val="multilevel"/>
    <w:tmpl w:val="49E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668EA"/>
    <w:multiLevelType w:val="multilevel"/>
    <w:tmpl w:val="338A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4F"/>
    <w:rsid w:val="001D65B8"/>
    <w:rsid w:val="00802E48"/>
    <w:rsid w:val="00A95E3F"/>
    <w:rsid w:val="00AF4F88"/>
    <w:rsid w:val="00B949A3"/>
    <w:rsid w:val="00FC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B60C"/>
  <w15:chartTrackingRefBased/>
  <w15:docId w15:val="{0042A6A8-1A97-4278-AB93-3F4096A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8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84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C7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84F"/>
    <w:rPr>
      <w:b/>
      <w:bCs/>
    </w:rPr>
  </w:style>
  <w:style w:type="paragraph" w:styleId="ListParagraph">
    <w:name w:val="List Paragraph"/>
    <w:basedOn w:val="Normal"/>
    <w:uiPriority w:val="34"/>
    <w:qFormat/>
    <w:rsid w:val="00FC784F"/>
    <w:pPr>
      <w:ind w:left="720"/>
      <w:contextualSpacing/>
    </w:pPr>
  </w:style>
  <w:style w:type="table" w:styleId="TableGridLight">
    <w:name w:val="Grid Table Light"/>
    <w:basedOn w:val="TableNormal"/>
    <w:uiPriority w:val="40"/>
    <w:rsid w:val="00AF4F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30868">
      <w:bodyDiv w:val="1"/>
      <w:marLeft w:val="0"/>
      <w:marRight w:val="0"/>
      <w:marTop w:val="0"/>
      <w:marBottom w:val="0"/>
      <w:divBdr>
        <w:top w:val="none" w:sz="0" w:space="0" w:color="auto"/>
        <w:left w:val="none" w:sz="0" w:space="0" w:color="auto"/>
        <w:bottom w:val="none" w:sz="0" w:space="0" w:color="auto"/>
        <w:right w:val="none" w:sz="0" w:space="0" w:color="auto"/>
      </w:divBdr>
    </w:div>
    <w:div w:id="1905527478">
      <w:bodyDiv w:val="1"/>
      <w:marLeft w:val="0"/>
      <w:marRight w:val="0"/>
      <w:marTop w:val="0"/>
      <w:marBottom w:val="0"/>
      <w:divBdr>
        <w:top w:val="none" w:sz="0" w:space="0" w:color="auto"/>
        <w:left w:val="none" w:sz="0" w:space="0" w:color="auto"/>
        <w:bottom w:val="none" w:sz="0" w:space="0" w:color="auto"/>
        <w:right w:val="none" w:sz="0" w:space="0" w:color="auto"/>
      </w:divBdr>
    </w:div>
    <w:div w:id="20432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Ray</dc:creator>
  <cp:keywords/>
  <dc:description/>
  <cp:lastModifiedBy>Deepak Ray</cp:lastModifiedBy>
  <cp:revision>3</cp:revision>
  <dcterms:created xsi:type="dcterms:W3CDTF">2017-08-30T07:52:00Z</dcterms:created>
  <dcterms:modified xsi:type="dcterms:W3CDTF">2017-08-30T08:23:00Z</dcterms:modified>
</cp:coreProperties>
</file>