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2.0 -->
  <w:background w:color="ffffff">
    <v:background id="_x0000_s1025" filled="t"/>
  </w:background>
  <w:body>
    <w:p>
      <w:pPr>
        <w:pStyle w:val="Heading20"/>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Thuduras Piert</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Third Party Risk Analyst @ Top Group Technologies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so3-wmp-cct@mail.dice.com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4096594356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Pharmacy @ USAF</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Risk Analyst</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San Angelo, TX,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Remote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No</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Clearance Info:</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US Citizen (for security purposes)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W2</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W2</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24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Bachelors @ Southern New Hampshire University</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tbl>
      <w:tblPr>
        <w:tblStyle w:val="TableNormal"/>
        <w:tblW w:w="11340" w:type="dxa"/>
        <w:tblLayout w:type="fixed"/>
        <w:tblCellMar>
          <w:left w:w="0" w:type="dxa"/>
          <w:right w:w="0" w:type="dxa"/>
        </w:tblCellMar>
        <w:tblLook w:val="0000"/>
      </w:tblPr>
      <w:tblGrid>
        <w:gridCol w:w="5789"/>
        <w:gridCol w:w="5551"/>
      </w:tblGrid>
      <w:tr w14:paraId="6595CCB0" w14:textId="77777777" w:rsidTr="00427223">
        <w:tblPrEx>
          <w:tblW w:w="11340" w:type="dxa"/>
          <w:tblLayout w:type="fixed"/>
          <w:tblCellMar>
            <w:left w:w="0" w:type="dxa"/>
            <w:right w:w="0" w:type="dxa"/>
          </w:tblCellMar>
          <w:tblLook w:val="0000"/>
        </w:tblPrEx>
        <w:tc>
          <w:tcPr>
            <w:tcW w:w="5789" w:type="dxa"/>
            <w:tcMar>
              <w:top w:w="0" w:type="dxa"/>
              <w:left w:w="0" w:type="dxa"/>
              <w:bottom w:w="144" w:type="dxa"/>
              <w:right w:w="0" w:type="dxa"/>
            </w:tcMar>
          </w:tcPr>
          <w:p w:rsidR="003F470B" w:rsidRPr="0054553C" w:rsidP="00857878" w14:paraId="2C29C87E" w14:textId="193DD9D3">
            <w:pPr>
              <w:pStyle w:val="Heading10"/>
              <w:spacing w:after="0" w:line="257" w:lineRule="auto"/>
              <w:rPr>
                <w:rFonts w:asciiTheme="majorBidi" w:hAnsiTheme="majorBidi" w:cstheme="majorBidi"/>
                <w:b/>
                <w:bCs/>
                <w:color w:val="2F5496" w:themeColor="accent1" w:themeShade="BF"/>
              </w:rPr>
            </w:pPr>
            <w:r w:rsidRPr="001C7F3A">
              <w:rPr>
                <w:rFonts w:asciiTheme="majorBidi" w:hAnsiTheme="majorBidi" w:cstheme="majorBidi"/>
                <w:b/>
                <w:bCs/>
                <w:color w:val="2F5496" w:themeColor="accent1" w:themeShade="BF"/>
              </w:rPr>
              <w:t>Thuduras Piert</w:t>
            </w:r>
          </w:p>
          <w:p w:rsidR="003F470B" w:rsidRPr="002F5A45" w:rsidP="00857878" w14:paraId="59FD4E8E" w14:textId="041F2B53">
            <w:pPr>
              <w:pStyle w:val="Heading40"/>
              <w:spacing w:before="120" w:after="0" w:line="257" w:lineRule="auto"/>
              <w:rPr>
                <w:b/>
                <w:bCs/>
                <w:color w:val="2F5496" w:themeColor="accent1" w:themeShade="BF"/>
              </w:rPr>
            </w:pPr>
            <w:r>
              <w:rPr>
                <w:rFonts w:asciiTheme="majorBidi" w:hAnsiTheme="majorBidi" w:cstheme="majorBidi"/>
                <w:b/>
                <w:bCs/>
                <w:color w:val="2F5496" w:themeColor="accent1" w:themeShade="BF"/>
              </w:rPr>
              <w:t>Information Security</w:t>
            </w:r>
            <w:r w:rsidR="00EB1B47">
              <w:rPr>
                <w:rFonts w:asciiTheme="majorBidi" w:hAnsiTheme="majorBidi" w:cstheme="majorBidi"/>
                <w:b/>
                <w:bCs/>
                <w:color w:val="2F5496" w:themeColor="accent1" w:themeShade="BF"/>
              </w:rPr>
              <w:t xml:space="preserve"> &amp; </w:t>
            </w:r>
            <w:r w:rsidRPr="002F5A45" w:rsidR="002F5A45">
              <w:rPr>
                <w:rFonts w:asciiTheme="majorBidi" w:hAnsiTheme="majorBidi" w:cstheme="majorBidi"/>
                <w:b/>
                <w:bCs/>
                <w:color w:val="2F5496" w:themeColor="accent1" w:themeShade="BF"/>
              </w:rPr>
              <w:t>Third-Party Risk Analyst</w:t>
            </w:r>
          </w:p>
        </w:tc>
        <w:tc>
          <w:tcPr>
            <w:tcW w:w="5551" w:type="dxa"/>
            <w:tcMar>
              <w:top w:w="0" w:type="dxa"/>
              <w:left w:w="0" w:type="dxa"/>
              <w:bottom w:w="144" w:type="dxa"/>
              <w:right w:w="0" w:type="dxa"/>
            </w:tcMar>
          </w:tcPr>
          <w:p w:rsidR="003F470B" w:rsidRPr="000C3C4A" w:rsidP="000C3C4A" w14:paraId="65BB940C" w14:textId="56A6ED16">
            <w:pPr>
              <w:pStyle w:val="Heading31"/>
              <w:spacing w:before="60" w:after="0" w:line="257" w:lineRule="auto"/>
              <w:ind w:right="540"/>
              <w:jc w:val="right"/>
              <w:rPr>
                <w:rFonts w:ascii="Franklin Gothic Book" w:hAnsi="Franklin Gothic Book"/>
                <w:color w:val="2F5496" w:themeColor="accent1" w:themeShade="BF"/>
              </w:rPr>
            </w:pPr>
            <w:hyperlink r:id="rId4" w:history="1"/>
            <w:r w:rsidR="00052C7E">
              <w:rPr>
                <w:rFonts w:ascii="Franklin Gothic Book" w:hAnsi="Franklin Gothic Book"/>
                <w:color w:val="2F5496" w:themeColor="accent1" w:themeShade="BF"/>
              </w:rPr>
              <w:t xml:space="preserve"> </w:t>
            </w:r>
            <w:r w:rsidRPr="000C3C4A" w:rsidR="00AF7023">
              <w:rPr>
                <w:rFonts w:ascii="Franklin Gothic Book" w:hAnsi="Franklin Gothic Book"/>
                <w:color w:val="2F5496" w:themeColor="accent1" w:themeShade="BF"/>
              </w:rPr>
              <w:t xml:space="preserve">• </w:t>
            </w:r>
          </w:p>
          <w:p w:rsidR="003F470B" w:rsidRPr="0054553C" w:rsidP="000C3C4A" w14:paraId="682B70DD" w14:textId="7106B8BB">
            <w:pPr>
              <w:pStyle w:val="Heading31"/>
              <w:spacing w:before="60" w:after="0" w:line="257" w:lineRule="auto"/>
              <w:ind w:right="540"/>
              <w:jc w:val="right"/>
              <w:rPr>
                <w:color w:val="2F5496" w:themeColor="accent1" w:themeShade="BF"/>
              </w:rPr>
            </w:pPr>
            <w:hyperlink r:id="rId5" w:history="1">
              <w:r w:rsidRPr="00D217FA" w:rsidR="00052C7E">
                <w:rPr>
                  <w:rStyle w:val="Hyperlink"/>
                  <w:rFonts w:ascii="Franklin Gothic Book" w:hAnsi="Franklin Gothic Book"/>
                </w:rPr>
                <w:t>www.linkedin.com/in/thuduraspiert</w:t>
              </w:r>
            </w:hyperlink>
            <w:r w:rsidR="00052C7E">
              <w:rPr>
                <w:rFonts w:ascii="Franklin Gothic Book" w:hAnsi="Franklin Gothic Book"/>
                <w:color w:val="2F5496" w:themeColor="accent1" w:themeShade="BF"/>
              </w:rPr>
              <w:t xml:space="preserve"> </w:t>
            </w:r>
            <w:r w:rsidRPr="000C3C4A" w:rsidR="00AF7023">
              <w:rPr>
                <w:rFonts w:ascii="Franklin Gothic Book" w:hAnsi="Franklin Gothic Book"/>
                <w:color w:val="2F5496" w:themeColor="accent1" w:themeShade="BF"/>
              </w:rPr>
              <w:t xml:space="preserve"> • </w:t>
            </w:r>
            <w:r w:rsidRPr="00052C7E" w:rsidR="00052C7E">
              <w:rPr>
                <w:rFonts w:ascii="Franklin Gothic Book" w:hAnsi="Franklin Gothic Book"/>
                <w:color w:val="2F5496" w:themeColor="accent1" w:themeShade="BF"/>
              </w:rPr>
              <w:t xml:space="preserve">San Angelo, </w:t>
            </w:r>
            <w:r w:rsidR="00052C7E">
              <w:rPr>
                <w:rFonts w:ascii="Franklin Gothic Book" w:hAnsi="Franklin Gothic Book"/>
                <w:color w:val="2F5496" w:themeColor="accent1" w:themeShade="BF"/>
              </w:rPr>
              <w:t>TX</w:t>
            </w:r>
          </w:p>
        </w:tc>
      </w:tr>
    </w:tbl>
    <w:p w:rsidR="00427223" w:rsidRPr="00427223" w:rsidP="00857878" w14:paraId="0A7A6FDD" w14:textId="77777777">
      <w:pPr>
        <w:pStyle w:val="Heading21"/>
        <w:spacing w:before="200" w:after="120" w:line="257" w:lineRule="auto"/>
        <w:rPr>
          <w:rFonts w:ascii="Franklin Gothic Book" w:hAnsi="Franklin Gothic Book"/>
          <w:color w:val="auto"/>
          <w:sz w:val="20"/>
          <w:szCs w:val="20"/>
        </w:rPr>
      </w:pPr>
      <w:r w:rsidRPr="00427223">
        <w:rPr>
          <w:rFonts w:ascii="Franklin Gothic Book" w:hAnsi="Franklin Gothic Book"/>
          <w:color w:val="auto"/>
          <w:sz w:val="20"/>
          <w:szCs w:val="20"/>
        </w:rPr>
        <w:t>Strategic and analytical security expert with extensive experience in designing and executing advanced security frameworks and risk management strategies. Proven track record in enhancing enterprise data protection and managing vendor-related risks through robust compliance and risk mitigation practices. Adept at negotiating comprehensive data protection agreements and ensuring alignment with industry standards and regulatory requirements. Specializes in developing and deploying cutting-edge security infrastructures, including dynamic vendor risk dashboards and comprehensive risk assessment methodologies. Dedicated to fostering continuous improvement in security protocols and organizational risk management practices. Distinguished communicator with a demonstrated ability to integrate security measures across all stages of software development, delivering robust protection from initial design through deployment.</w:t>
      </w:r>
    </w:p>
    <w:p w:rsidR="00554283" w:rsidRPr="0054553C" w:rsidP="00857878" w14:paraId="345FBD3C" w14:textId="26B1B506">
      <w:pPr>
        <w:pStyle w:val="Heading21"/>
        <w:spacing w:before="200" w:after="120" w:line="257" w:lineRule="auto"/>
        <w:rPr>
          <w:rFonts w:asciiTheme="majorBidi" w:hAnsiTheme="majorBidi" w:cstheme="majorBidi"/>
          <w:b/>
          <w:bCs/>
          <w:color w:val="2F5496" w:themeColor="accent1" w:themeShade="BF"/>
          <w:sz w:val="28"/>
          <w:szCs w:val="28"/>
        </w:rPr>
      </w:pPr>
      <w:r w:rsidRPr="0054553C">
        <w:rPr>
          <w:rFonts w:asciiTheme="majorBidi" w:hAnsiTheme="majorBidi" w:cstheme="majorBidi"/>
          <w:b/>
          <w:bCs/>
          <w:color w:val="2F5496" w:themeColor="accent1" w:themeShade="BF"/>
          <w:sz w:val="28"/>
          <w:szCs w:val="28"/>
        </w:rPr>
        <w:t>Areas of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tblPr>
      <w:tblGrid>
        <w:gridCol w:w="3690"/>
        <w:gridCol w:w="3766"/>
        <w:gridCol w:w="3344"/>
      </w:tblGrid>
      <w:tr w14:paraId="34AD3958" w14:textId="77777777" w:rsidTr="00B1593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tblPrEx>
        <w:tc>
          <w:tcPr>
            <w:tcW w:w="3690" w:type="dxa"/>
            <w:tcBorders>
              <w:right w:val="single" w:sz="12" w:space="0" w:color="FFFFFF"/>
            </w:tcBorders>
            <w:shd w:val="clear" w:color="auto" w:fill="D9E2F3" w:themeFill="accent1" w:themeFillTint="33"/>
          </w:tcPr>
          <w:p w:rsidR="00554283" w:rsidP="00857878" w14:paraId="1ED85F31" w14:textId="77777777">
            <w:pPr>
              <w:pStyle w:val="ListParagraph"/>
              <w:numPr>
                <w:ilvl w:val="0"/>
                <w:numId w:val="17"/>
              </w:numPr>
              <w:spacing w:before="40" w:after="0" w:line="257" w:lineRule="auto"/>
              <w:ind w:left="360"/>
              <w:rPr>
                <w:rFonts w:ascii="Franklin Gothic Book" w:hAnsi="Franklin Gothic Book"/>
              </w:rPr>
            </w:pPr>
            <w:r w:rsidRPr="008A4C14">
              <w:rPr>
                <w:rFonts w:ascii="Franklin Gothic Book" w:hAnsi="Franklin Gothic Book"/>
              </w:rPr>
              <w:t>Vulnerability Assessment</w:t>
            </w:r>
          </w:p>
          <w:p w:rsidR="0046653C" w:rsidP="00857878" w14:paraId="583EE402" w14:textId="77777777">
            <w:pPr>
              <w:pStyle w:val="ListParagraph"/>
              <w:numPr>
                <w:ilvl w:val="0"/>
                <w:numId w:val="17"/>
              </w:numPr>
              <w:spacing w:before="40" w:after="0" w:line="257" w:lineRule="auto"/>
              <w:ind w:left="360"/>
              <w:rPr>
                <w:rFonts w:ascii="Franklin Gothic Book" w:hAnsi="Franklin Gothic Book"/>
              </w:rPr>
            </w:pPr>
            <w:r w:rsidRPr="0046653C">
              <w:rPr>
                <w:rFonts w:ascii="Franklin Gothic Book" w:hAnsi="Franklin Gothic Book"/>
              </w:rPr>
              <w:t>Risk Management Framework</w:t>
            </w:r>
          </w:p>
          <w:p w:rsidR="00D54A22" w:rsidP="00857878" w14:paraId="3CE93DD2" w14:textId="4CB0EF4A">
            <w:pPr>
              <w:pStyle w:val="ListParagraph"/>
              <w:numPr>
                <w:ilvl w:val="0"/>
                <w:numId w:val="17"/>
              </w:numPr>
              <w:spacing w:before="40" w:after="0" w:line="257" w:lineRule="auto"/>
              <w:ind w:left="360"/>
              <w:rPr>
                <w:rFonts w:ascii="Franklin Gothic Book" w:hAnsi="Franklin Gothic Book"/>
              </w:rPr>
            </w:pPr>
            <w:r w:rsidRPr="00D54A22">
              <w:rPr>
                <w:rFonts w:ascii="Franklin Gothic Book" w:hAnsi="Franklin Gothic Book"/>
              </w:rPr>
              <w:t>Security Audits</w:t>
            </w:r>
            <w:r>
              <w:rPr>
                <w:rFonts w:ascii="Franklin Gothic Book" w:hAnsi="Franklin Gothic Book"/>
              </w:rPr>
              <w:t xml:space="preserve"> &amp; </w:t>
            </w:r>
            <w:r w:rsidRPr="00D54A22">
              <w:rPr>
                <w:rFonts w:ascii="Franklin Gothic Book" w:hAnsi="Franklin Gothic Book"/>
              </w:rPr>
              <w:t>Incident Response</w:t>
            </w:r>
          </w:p>
          <w:p w:rsidR="0046653C" w:rsidRPr="000C3C4A" w:rsidP="00015F3E" w14:paraId="09671777" w14:textId="53B9D865">
            <w:pPr>
              <w:pStyle w:val="ListParagraph"/>
              <w:spacing w:before="40" w:after="0" w:line="257" w:lineRule="auto"/>
              <w:ind w:left="360"/>
              <w:rPr>
                <w:rFonts w:ascii="Franklin Gothic Book" w:hAnsi="Franklin Gothic Book"/>
              </w:rPr>
            </w:pPr>
          </w:p>
        </w:tc>
        <w:tc>
          <w:tcPr>
            <w:tcW w:w="3766" w:type="dxa"/>
            <w:tcBorders>
              <w:left w:val="single" w:sz="12" w:space="0" w:color="FFFFFF"/>
              <w:right w:val="single" w:sz="12" w:space="0" w:color="FFFFFF"/>
            </w:tcBorders>
            <w:shd w:val="clear" w:color="auto" w:fill="D9E2F3" w:themeFill="accent1" w:themeFillTint="33"/>
          </w:tcPr>
          <w:p w:rsidR="00554283" w:rsidP="00857878" w14:paraId="129705D2" w14:textId="77777777">
            <w:pPr>
              <w:pStyle w:val="ListParagraph"/>
              <w:numPr>
                <w:ilvl w:val="0"/>
                <w:numId w:val="17"/>
              </w:numPr>
              <w:spacing w:before="40" w:after="0" w:line="257" w:lineRule="auto"/>
              <w:ind w:left="360"/>
              <w:rPr>
                <w:rFonts w:ascii="Franklin Gothic Book" w:hAnsi="Franklin Gothic Book"/>
              </w:rPr>
            </w:pPr>
            <w:r w:rsidRPr="00955BEA">
              <w:rPr>
                <w:rFonts w:ascii="Franklin Gothic Book" w:hAnsi="Franklin Gothic Book"/>
              </w:rPr>
              <w:t>Assessment and Authorization (A&amp;A)</w:t>
            </w:r>
          </w:p>
          <w:p w:rsidR="008A4C14" w:rsidRPr="00015F3E" w:rsidP="00015F3E" w14:paraId="798530E8" w14:textId="54777320">
            <w:pPr>
              <w:pStyle w:val="ListParagraph"/>
              <w:numPr>
                <w:ilvl w:val="0"/>
                <w:numId w:val="17"/>
              </w:numPr>
              <w:spacing w:before="40" w:after="0" w:line="257" w:lineRule="auto"/>
              <w:ind w:left="360"/>
              <w:rPr>
                <w:rFonts w:ascii="Franklin Gothic Book" w:hAnsi="Franklin Gothic Book"/>
              </w:rPr>
            </w:pPr>
            <w:r>
              <w:rPr>
                <w:rFonts w:ascii="Franklin Gothic Book" w:hAnsi="Franklin Gothic Book"/>
              </w:rPr>
              <w:t>Security Controls Implementation</w:t>
            </w:r>
          </w:p>
          <w:p w:rsidR="0046653C" w:rsidRPr="000C3C4A" w:rsidP="00857878" w14:paraId="52FBDB3D" w14:textId="1F7E8FB5">
            <w:pPr>
              <w:pStyle w:val="ListParagraph"/>
              <w:numPr>
                <w:ilvl w:val="0"/>
                <w:numId w:val="17"/>
              </w:numPr>
              <w:spacing w:before="40" w:after="0" w:line="257" w:lineRule="auto"/>
              <w:ind w:left="360"/>
              <w:rPr>
                <w:rFonts w:ascii="Franklin Gothic Book" w:hAnsi="Franklin Gothic Book"/>
              </w:rPr>
            </w:pPr>
            <w:r w:rsidRPr="0046653C">
              <w:rPr>
                <w:rFonts w:ascii="Franklin Gothic Book" w:hAnsi="Franklin Gothic Book"/>
              </w:rPr>
              <w:t>FISMA, NIST, FIPS</w:t>
            </w:r>
          </w:p>
        </w:tc>
        <w:tc>
          <w:tcPr>
            <w:tcW w:w="3344" w:type="dxa"/>
            <w:tcBorders>
              <w:left w:val="single" w:sz="12" w:space="0" w:color="FFFFFF"/>
            </w:tcBorders>
            <w:shd w:val="clear" w:color="auto" w:fill="D9E2F3" w:themeFill="accent1" w:themeFillTint="33"/>
          </w:tcPr>
          <w:p w:rsidR="0077769F" w:rsidRPr="000C3C4A" w:rsidP="00857878" w14:paraId="0DA0940B" w14:textId="77777777">
            <w:pPr>
              <w:pStyle w:val="ListParagraph"/>
              <w:numPr>
                <w:ilvl w:val="0"/>
                <w:numId w:val="17"/>
              </w:numPr>
              <w:spacing w:before="40" w:after="0" w:line="257" w:lineRule="auto"/>
              <w:ind w:left="360"/>
              <w:rPr>
                <w:rFonts w:ascii="Franklin Gothic Book" w:hAnsi="Franklin Gothic Book"/>
              </w:rPr>
            </w:pPr>
            <w:r w:rsidRPr="000C3C4A">
              <w:rPr>
                <w:rFonts w:ascii="Franklin Gothic Book" w:hAnsi="Franklin Gothic Book"/>
              </w:rPr>
              <w:t>Cross-functional Collaboration</w:t>
            </w:r>
          </w:p>
          <w:p w:rsidR="00554283" w:rsidP="00857878" w14:paraId="0C61B680" w14:textId="77777777">
            <w:pPr>
              <w:pStyle w:val="ListParagraph"/>
              <w:numPr>
                <w:ilvl w:val="0"/>
                <w:numId w:val="17"/>
              </w:numPr>
              <w:spacing w:before="40" w:after="0" w:line="257" w:lineRule="auto"/>
              <w:ind w:left="360"/>
              <w:rPr>
                <w:rFonts w:ascii="Franklin Gothic Book" w:hAnsi="Franklin Gothic Book"/>
              </w:rPr>
            </w:pPr>
            <w:r w:rsidRPr="008A4C14">
              <w:rPr>
                <w:rFonts w:ascii="Franklin Gothic Book" w:hAnsi="Franklin Gothic Book"/>
              </w:rPr>
              <w:t>Security Programs</w:t>
            </w:r>
            <w:r>
              <w:rPr>
                <w:rFonts w:ascii="Franklin Gothic Book" w:hAnsi="Franklin Gothic Book"/>
              </w:rPr>
              <w:t xml:space="preserve"> Execution</w:t>
            </w:r>
          </w:p>
          <w:p w:rsidR="008A4C14" w:rsidRPr="00015F3E" w:rsidP="00015F3E" w14:paraId="2316970B" w14:textId="7DBC2693">
            <w:pPr>
              <w:pStyle w:val="ListParagraph"/>
              <w:numPr>
                <w:ilvl w:val="0"/>
                <w:numId w:val="17"/>
              </w:numPr>
              <w:spacing w:before="40" w:after="0" w:line="257" w:lineRule="auto"/>
              <w:ind w:left="360"/>
              <w:rPr>
                <w:rFonts w:ascii="Franklin Gothic Book" w:hAnsi="Franklin Gothic Book"/>
              </w:rPr>
            </w:pPr>
            <w:r w:rsidRPr="00FD4457">
              <w:rPr>
                <w:rFonts w:ascii="Franklin Gothic Book" w:hAnsi="Franklin Gothic Book"/>
              </w:rPr>
              <w:t>Security Assessment Tools</w:t>
            </w:r>
          </w:p>
        </w:tc>
      </w:tr>
    </w:tbl>
    <w:p w:rsidR="006E2FCF" w:rsidP="00857878" w14:paraId="3191DC77" w14:textId="195F25FE">
      <w:pPr>
        <w:pStyle w:val="Heading21"/>
        <w:spacing w:before="200" w:after="120" w:line="257" w:lineRule="auto"/>
        <w:rPr>
          <w:rFonts w:asciiTheme="majorBidi" w:hAnsiTheme="majorBidi" w:cstheme="majorBidi"/>
          <w:b/>
          <w:bCs/>
          <w:color w:val="2F5496" w:themeColor="accent1" w:themeShade="BF"/>
          <w:sz w:val="28"/>
          <w:szCs w:val="28"/>
        </w:rPr>
      </w:pPr>
      <w:r w:rsidRPr="0054553C">
        <w:rPr>
          <w:rFonts w:asciiTheme="majorBidi" w:hAnsiTheme="majorBidi" w:cstheme="majorBidi"/>
          <w:b/>
          <w:bCs/>
          <w:color w:val="2F5496" w:themeColor="accent1" w:themeShade="BF"/>
          <w:sz w:val="28"/>
          <w:szCs w:val="28"/>
        </w:rPr>
        <w:t xml:space="preserve">Technical </w:t>
      </w:r>
      <w:r w:rsidRPr="0054553C" w:rsidR="009F3BB8">
        <w:rPr>
          <w:rFonts w:asciiTheme="majorBidi" w:hAnsiTheme="majorBidi" w:cstheme="majorBidi"/>
          <w:b/>
          <w:bCs/>
          <w:color w:val="2F5496" w:themeColor="accent1" w:themeShade="BF"/>
          <w:sz w:val="28"/>
          <w:szCs w:val="28"/>
        </w:rPr>
        <w:t>Proficiencies</w:t>
      </w:r>
    </w:p>
    <w:tbl>
      <w:tblPr>
        <w:tblStyle w:val="TableGrid"/>
        <w:tblW w:w="10818" w:type="dxa"/>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
        <w:gridCol w:w="2790"/>
        <w:gridCol w:w="8010"/>
      </w:tblGrid>
      <w:tr w14:paraId="45EF4745" w14:textId="77777777" w:rsidTr="00AD6948">
        <w:tblPrEx>
          <w:tblW w:w="10818" w:type="dxa"/>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16"/>
        </w:trPr>
        <w:tc>
          <w:tcPr>
            <w:tcW w:w="10818" w:type="dxa"/>
            <w:gridSpan w:val="3"/>
            <w:tcBorders>
              <w:left w:val="single" w:sz="12" w:space="0" w:color="FFFFFF" w:themeColor="background1"/>
              <w:bottom w:val="single" w:sz="12" w:space="0" w:color="FFFFFF" w:themeColor="background1"/>
            </w:tcBorders>
            <w:shd w:val="clear" w:color="auto" w:fill="D9E2F3" w:themeFill="accent1" w:themeFillTint="33"/>
          </w:tcPr>
          <w:p w:rsidR="00102D7F" w:rsidRPr="00102D7F" w:rsidP="002D015E" w14:paraId="1045197B" w14:textId="50B298BB">
            <w:pPr>
              <w:spacing w:line="257" w:lineRule="auto"/>
              <w:jc w:val="both"/>
              <w:rPr>
                <w:rFonts w:ascii="Franklin Gothic Book" w:eastAsia="Times New Roman" w:hAnsi="Franklin Gothic Book" w:cstheme="minorHAnsi"/>
              </w:rPr>
            </w:pPr>
            <w:r w:rsidRPr="00955BEA">
              <w:rPr>
                <w:rFonts w:ascii="Franklin Gothic Book" w:eastAsia="Times New Roman" w:hAnsi="Franklin Gothic Book" w:cstheme="minorHAnsi"/>
              </w:rPr>
              <w:t xml:space="preserve">NIST 800 Series | Plan of Actions and Milestone (POAM) | System Assessment Report (SAR) | Security Life Cycle | Threat Reports | Contingency Planning | Data Security | Nessus Software | TPRM| ISO 27001 | PCI DSS | Risk Management Framework (RMF) </w:t>
            </w:r>
            <w:r w:rsidR="000626DD">
              <w:rPr>
                <w:rFonts w:ascii="Franklin Gothic Book" w:eastAsia="Times New Roman" w:hAnsi="Franklin Gothic Book" w:cstheme="minorHAnsi"/>
              </w:rPr>
              <w:t>|</w:t>
            </w:r>
            <w:r w:rsidRPr="00955BEA">
              <w:rPr>
                <w:rFonts w:ascii="Franklin Gothic Book" w:eastAsia="Times New Roman" w:hAnsi="Franklin Gothic Book" w:cstheme="minorHAnsi"/>
              </w:rPr>
              <w:t xml:space="preserve"> HIPAA</w:t>
            </w:r>
            <w:r w:rsidR="000626DD">
              <w:rPr>
                <w:rFonts w:ascii="Franklin Gothic Book" w:eastAsia="Times New Roman" w:hAnsi="Franklin Gothic Book" w:cstheme="minorHAnsi"/>
              </w:rPr>
              <w:t xml:space="preserve"> </w:t>
            </w:r>
            <w:r w:rsidRPr="00955BEA">
              <w:rPr>
                <w:rFonts w:ascii="Franklin Gothic Book" w:eastAsia="Times New Roman" w:hAnsi="Franklin Gothic Book" w:cstheme="minorHAnsi"/>
              </w:rPr>
              <w:t>|SIEM Monitoring |</w:t>
            </w:r>
            <w:r w:rsidR="006243C7">
              <w:rPr>
                <w:rFonts w:ascii="Franklin Gothic Book" w:eastAsia="Times New Roman" w:hAnsi="Franklin Gothic Book" w:cstheme="minorHAnsi"/>
              </w:rPr>
              <w:t xml:space="preserve"> </w:t>
            </w:r>
            <w:r w:rsidRPr="00955BEA">
              <w:rPr>
                <w:rFonts w:ascii="Franklin Gothic Book" w:eastAsia="Times New Roman" w:hAnsi="Franklin Gothic Book" w:cstheme="minorHAnsi"/>
              </w:rPr>
              <w:t>Mobile/Tablet Device Security |Network security</w:t>
            </w:r>
          </w:p>
        </w:tc>
      </w:tr>
      <w:tr w14:paraId="37409462" w14:textId="77777777" w:rsidTr="00AD6948">
        <w:tblPrEx>
          <w:tblW w:w="10818" w:type="dxa"/>
          <w:tblInd w:w="-123" w:type="dxa"/>
          <w:tblLook w:val="04A0"/>
        </w:tblPrEx>
        <w:trPr>
          <w:gridBefore w:val="1"/>
          <w:wBefore w:w="18" w:type="dxa"/>
          <w:trHeight w:val="366"/>
        </w:trPr>
        <w:tc>
          <w:tcPr>
            <w:tcW w:w="2790" w:type="dxa"/>
            <w:tcBorders>
              <w:top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tcPr>
          <w:p w:rsidR="00102D7F" w:rsidRPr="000C3C4A" w:rsidP="002D015E" w14:paraId="40E79D1E" w14:textId="677264AD">
            <w:pPr>
              <w:spacing w:line="257" w:lineRule="auto"/>
              <w:rPr>
                <w:rFonts w:ascii="Franklin Gothic Book" w:eastAsia="Times New Roman" w:hAnsi="Franklin Gothic Book" w:cstheme="minorHAnsi"/>
                <w:b/>
                <w:bCs/>
              </w:rPr>
            </w:pPr>
            <w:r w:rsidRPr="00102D7F">
              <w:rPr>
                <w:rFonts w:ascii="Franklin Gothic Book" w:eastAsia="Times New Roman" w:hAnsi="Franklin Gothic Book" w:cstheme="minorHAnsi"/>
                <w:b/>
                <w:bCs/>
              </w:rPr>
              <w:t>GRC Automation Tools</w:t>
            </w:r>
          </w:p>
        </w:tc>
        <w:tc>
          <w:tcPr>
            <w:tcW w:w="8010" w:type="dxa"/>
            <w:tcBorders>
              <w:top w:val="single" w:sz="12" w:space="0" w:color="FFFFFF" w:themeColor="background1"/>
              <w:left w:val="single" w:sz="12" w:space="0" w:color="FFFFFF" w:themeColor="background1"/>
              <w:bottom w:val="single" w:sz="12" w:space="0" w:color="FFFFFF" w:themeColor="background1"/>
            </w:tcBorders>
            <w:shd w:val="clear" w:color="auto" w:fill="D9E2F3" w:themeFill="accent1" w:themeFillTint="33"/>
          </w:tcPr>
          <w:p w:rsidR="00102D7F" w:rsidRPr="000C3C4A" w:rsidP="002D015E" w14:paraId="10835ED2" w14:textId="7F6A4FB0">
            <w:pPr>
              <w:spacing w:line="257" w:lineRule="auto"/>
              <w:rPr>
                <w:rFonts w:ascii="Franklin Gothic Book" w:eastAsia="Times New Roman" w:hAnsi="Franklin Gothic Book" w:cstheme="minorHAnsi"/>
              </w:rPr>
            </w:pPr>
            <w:r w:rsidRPr="00102D7F">
              <w:rPr>
                <w:rFonts w:ascii="Franklin Gothic Book" w:eastAsia="Times New Roman" w:hAnsi="Franklin Gothic Book" w:cstheme="minorHAnsi"/>
              </w:rPr>
              <w:t>RSA Archer, SAP GRC, MetricStream, ServiceNow GRC, IBM OpenPages</w:t>
            </w:r>
          </w:p>
        </w:tc>
      </w:tr>
      <w:tr w14:paraId="52B0B22C" w14:textId="77777777" w:rsidTr="00AD6948">
        <w:tblPrEx>
          <w:tblW w:w="10818" w:type="dxa"/>
          <w:tblInd w:w="-123" w:type="dxa"/>
          <w:tblLook w:val="04A0"/>
        </w:tblPrEx>
        <w:trPr>
          <w:gridBefore w:val="1"/>
          <w:wBefore w:w="18" w:type="dxa"/>
          <w:trHeight w:val="321"/>
        </w:trPr>
        <w:tc>
          <w:tcPr>
            <w:tcW w:w="2790" w:type="dxa"/>
            <w:tcBorders>
              <w:top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tcPr>
          <w:p w:rsidR="00102D7F" w:rsidRPr="000C3C4A" w:rsidP="002D015E" w14:paraId="4389559C" w14:textId="07611454">
            <w:pPr>
              <w:spacing w:line="257" w:lineRule="auto"/>
              <w:rPr>
                <w:rFonts w:ascii="Franklin Gothic Book" w:eastAsia="Times New Roman" w:hAnsi="Franklin Gothic Book" w:cstheme="minorHAnsi"/>
                <w:b/>
                <w:bCs/>
              </w:rPr>
            </w:pPr>
            <w:r w:rsidRPr="00102D7F">
              <w:rPr>
                <w:rFonts w:ascii="Franklin Gothic Book" w:eastAsia="Times New Roman" w:hAnsi="Franklin Gothic Book" w:cstheme="minorHAnsi"/>
                <w:b/>
                <w:bCs/>
              </w:rPr>
              <w:t>Development Methodologies</w:t>
            </w:r>
          </w:p>
        </w:tc>
        <w:tc>
          <w:tcPr>
            <w:tcW w:w="80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E2F3" w:themeFill="accent1" w:themeFillTint="33"/>
          </w:tcPr>
          <w:p w:rsidR="00102D7F" w:rsidRPr="000C3C4A" w:rsidP="002D015E" w14:paraId="06A60BA1" w14:textId="28F150C3">
            <w:pPr>
              <w:spacing w:line="257" w:lineRule="auto"/>
              <w:rPr>
                <w:rFonts w:ascii="Franklin Gothic Book" w:eastAsia="Times New Roman" w:hAnsi="Franklin Gothic Book" w:cstheme="minorHAnsi"/>
              </w:rPr>
            </w:pPr>
            <w:r w:rsidRPr="00102D7F">
              <w:rPr>
                <w:rFonts w:ascii="Franklin Gothic Book" w:eastAsia="Times New Roman" w:hAnsi="Franklin Gothic Book" w:cstheme="minorHAnsi"/>
              </w:rPr>
              <w:t>Scrum</w:t>
            </w:r>
            <w:r w:rsidR="00334BB7">
              <w:rPr>
                <w:rFonts w:ascii="Franklin Gothic Book" w:eastAsia="Times New Roman" w:hAnsi="Franklin Gothic Book" w:cstheme="minorHAnsi"/>
              </w:rPr>
              <w:t xml:space="preserve"> </w:t>
            </w:r>
            <w:r w:rsidR="00334BB7">
              <w:rPr>
                <w:rFonts w:ascii="Franklin Gothic Book" w:eastAsia="Times New Roman" w:hAnsi="Franklin Gothic Book" w:cstheme="minorHAnsi"/>
              </w:rPr>
              <w:t xml:space="preserve">and </w:t>
            </w:r>
            <w:r w:rsidRPr="00102D7F">
              <w:rPr>
                <w:rFonts w:ascii="Franklin Gothic Book" w:eastAsia="Times New Roman" w:hAnsi="Franklin Gothic Book" w:cstheme="minorHAnsi"/>
              </w:rPr>
              <w:t xml:space="preserve"> Agile</w:t>
            </w:r>
          </w:p>
        </w:tc>
      </w:tr>
      <w:tr w14:paraId="045563AB" w14:textId="77777777" w:rsidTr="00AD6948">
        <w:tblPrEx>
          <w:tblW w:w="10818" w:type="dxa"/>
          <w:tblInd w:w="-123" w:type="dxa"/>
          <w:tblLook w:val="04A0"/>
        </w:tblPrEx>
        <w:trPr>
          <w:gridBefore w:val="1"/>
          <w:wBefore w:w="18" w:type="dxa"/>
          <w:trHeight w:val="285"/>
        </w:trPr>
        <w:tc>
          <w:tcPr>
            <w:tcW w:w="2790" w:type="dxa"/>
            <w:tcBorders>
              <w:top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tcPr>
          <w:p w:rsidR="00102D7F" w:rsidRPr="000C3C4A" w:rsidP="002D015E" w14:paraId="5FB01F6B" w14:textId="14BE3E29">
            <w:pPr>
              <w:spacing w:line="257" w:lineRule="auto"/>
              <w:rPr>
                <w:rFonts w:ascii="Franklin Gothic Book" w:eastAsia="Times New Roman" w:hAnsi="Franklin Gothic Book" w:cstheme="minorHAnsi"/>
                <w:b/>
                <w:bCs/>
              </w:rPr>
            </w:pPr>
            <w:r w:rsidRPr="00102D7F">
              <w:rPr>
                <w:rFonts w:ascii="Franklin Gothic Book" w:eastAsia="Times New Roman" w:hAnsi="Franklin Gothic Book" w:cstheme="minorHAnsi"/>
                <w:b/>
                <w:bCs/>
              </w:rPr>
              <w:t>Operating System</w:t>
            </w:r>
            <w:r>
              <w:rPr>
                <w:rFonts w:ascii="Franklin Gothic Book" w:eastAsia="Times New Roman" w:hAnsi="Franklin Gothic Book" w:cstheme="minorHAnsi"/>
                <w:b/>
                <w:bCs/>
              </w:rPr>
              <w:t>/</w:t>
            </w:r>
            <w:r>
              <w:t xml:space="preserve"> </w:t>
            </w:r>
            <w:r w:rsidRPr="00102D7F">
              <w:rPr>
                <w:rFonts w:ascii="Franklin Gothic Book" w:eastAsia="Times New Roman" w:hAnsi="Franklin Gothic Book" w:cstheme="minorHAnsi"/>
                <w:b/>
                <w:bCs/>
              </w:rPr>
              <w:t>Browsers</w:t>
            </w:r>
          </w:p>
        </w:tc>
        <w:tc>
          <w:tcPr>
            <w:tcW w:w="80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E2F3" w:themeFill="accent1" w:themeFillTint="33"/>
          </w:tcPr>
          <w:p w:rsidR="00102D7F" w:rsidRPr="000C3C4A" w:rsidP="002D015E" w14:paraId="02B2391F" w14:textId="311018ED">
            <w:pPr>
              <w:spacing w:line="257" w:lineRule="auto"/>
              <w:rPr>
                <w:rFonts w:ascii="Franklin Gothic Book" w:eastAsia="Times New Roman" w:hAnsi="Franklin Gothic Book" w:cstheme="minorHAnsi"/>
              </w:rPr>
            </w:pPr>
            <w:r w:rsidRPr="00102D7F">
              <w:rPr>
                <w:rFonts w:ascii="Franklin Gothic Book" w:eastAsia="Times New Roman" w:hAnsi="Franklin Gothic Book" w:cstheme="minorHAnsi"/>
              </w:rPr>
              <w:t>Windows win 7, 8, Vista, UNIX</w:t>
            </w:r>
            <w:r>
              <w:rPr>
                <w:rFonts w:ascii="Franklin Gothic Book" w:eastAsia="Times New Roman" w:hAnsi="Franklin Gothic Book" w:cstheme="minorHAnsi"/>
              </w:rPr>
              <w:t>/</w:t>
            </w:r>
            <w:r>
              <w:t xml:space="preserve"> </w:t>
            </w:r>
            <w:r w:rsidRPr="00102D7F">
              <w:rPr>
                <w:rFonts w:ascii="Franklin Gothic Book" w:eastAsia="Times New Roman" w:hAnsi="Franklin Gothic Book" w:cstheme="minorHAnsi"/>
              </w:rPr>
              <w:t xml:space="preserve">Internet Explorer 7,8, 9, </w:t>
            </w:r>
            <w:r w:rsidR="00624BEA">
              <w:rPr>
                <w:rFonts w:ascii="Franklin Gothic Book" w:eastAsia="Times New Roman" w:hAnsi="Franklin Gothic Book" w:cstheme="minorHAnsi"/>
              </w:rPr>
              <w:t>Firefox</w:t>
            </w:r>
            <w:r w:rsidRPr="00102D7F">
              <w:rPr>
                <w:rFonts w:ascii="Franklin Gothic Book" w:eastAsia="Times New Roman" w:hAnsi="Franklin Gothic Book" w:cstheme="minorHAnsi"/>
              </w:rPr>
              <w:t>, Chrome, Safari</w:t>
            </w:r>
          </w:p>
        </w:tc>
      </w:tr>
      <w:tr w14:paraId="43448C8B" w14:textId="77777777" w:rsidTr="00AD6948">
        <w:tblPrEx>
          <w:tblW w:w="10818" w:type="dxa"/>
          <w:tblInd w:w="-123" w:type="dxa"/>
          <w:tblLook w:val="04A0"/>
        </w:tblPrEx>
        <w:trPr>
          <w:gridBefore w:val="1"/>
          <w:wBefore w:w="18" w:type="dxa"/>
          <w:trHeight w:val="339"/>
        </w:trPr>
        <w:tc>
          <w:tcPr>
            <w:tcW w:w="2790" w:type="dxa"/>
            <w:tcBorders>
              <w:top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tcPr>
          <w:p w:rsidR="00102D7F" w:rsidRPr="000C3C4A" w:rsidP="002D015E" w14:paraId="5ADD5323" w14:textId="6B7EBEB8">
            <w:pPr>
              <w:spacing w:line="257" w:lineRule="auto"/>
              <w:rPr>
                <w:rFonts w:ascii="Franklin Gothic Book" w:eastAsia="Times New Roman" w:hAnsi="Franklin Gothic Book" w:cstheme="minorHAnsi"/>
                <w:b/>
                <w:bCs/>
              </w:rPr>
            </w:pPr>
            <w:r w:rsidRPr="00102D7F">
              <w:rPr>
                <w:rFonts w:ascii="Franklin Gothic Book" w:eastAsia="Times New Roman" w:hAnsi="Franklin Gothic Book" w:cstheme="minorHAnsi"/>
                <w:b/>
                <w:bCs/>
              </w:rPr>
              <w:t>Microsoft Tools</w:t>
            </w:r>
          </w:p>
        </w:tc>
        <w:tc>
          <w:tcPr>
            <w:tcW w:w="80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E2F3" w:themeFill="accent1" w:themeFillTint="33"/>
          </w:tcPr>
          <w:p w:rsidR="00102D7F" w:rsidRPr="000C3C4A" w:rsidP="002D015E" w14:paraId="77CB5282" w14:textId="00CC1F4E">
            <w:pPr>
              <w:spacing w:line="257" w:lineRule="auto"/>
              <w:rPr>
                <w:rFonts w:ascii="Franklin Gothic Book" w:eastAsia="Times New Roman" w:hAnsi="Franklin Gothic Book" w:cstheme="minorHAnsi"/>
              </w:rPr>
            </w:pPr>
            <w:r w:rsidRPr="00102D7F">
              <w:rPr>
                <w:rFonts w:ascii="Franklin Gothic Book" w:eastAsia="Times New Roman" w:hAnsi="Franklin Gothic Book" w:cstheme="minorHAnsi"/>
              </w:rPr>
              <w:t>MS Office (Excel, Word, Power Point), MS Visio, SharePoint</w:t>
            </w:r>
          </w:p>
        </w:tc>
      </w:tr>
    </w:tbl>
    <w:p w:rsidR="00045DCC" w:rsidRPr="00EB1B47" w:rsidP="00EB1B47" w14:paraId="59D1BA36" w14:textId="61C9F520">
      <w:pPr>
        <w:spacing w:before="40" w:after="0" w:line="257" w:lineRule="auto"/>
        <w:rPr>
          <w:rFonts w:ascii="Franklin Gothic Book" w:hAnsi="Franklin Gothic Book"/>
        </w:rPr>
      </w:pPr>
    </w:p>
    <w:p w:rsidR="00C333B4" w:rsidRPr="0054553C" w:rsidP="00857878" w14:paraId="0B54200B" w14:textId="2A249E18">
      <w:pPr>
        <w:pStyle w:val="Heading21"/>
        <w:spacing w:before="200" w:after="120" w:line="257" w:lineRule="auto"/>
        <w:rPr>
          <w:rFonts w:asciiTheme="majorBidi" w:hAnsiTheme="majorBidi" w:cstheme="majorBidi"/>
          <w:b/>
          <w:bCs/>
          <w:color w:val="2F5496" w:themeColor="accent1" w:themeShade="BF"/>
          <w:sz w:val="28"/>
          <w:szCs w:val="28"/>
        </w:rPr>
      </w:pPr>
      <w:r w:rsidRPr="0054553C">
        <w:rPr>
          <w:rFonts w:asciiTheme="majorBidi" w:hAnsiTheme="majorBidi" w:cstheme="majorBidi"/>
          <w:b/>
          <w:bCs/>
          <w:color w:val="2F5496" w:themeColor="accent1" w:themeShade="BF"/>
          <w:sz w:val="28"/>
          <w:szCs w:val="28"/>
        </w:rPr>
        <w:t>Professional Experience</w:t>
      </w:r>
    </w:p>
    <w:p w:rsidR="00554283" w:rsidRPr="000C3C4A" w:rsidP="00857878" w14:paraId="093F3811" w14:textId="5E46C896">
      <w:pPr>
        <w:pStyle w:val="FirstCompanyBlock"/>
        <w:tabs>
          <w:tab w:val="clear" w:pos="10800"/>
          <w:tab w:val="right" w:pos="11340"/>
        </w:tabs>
        <w:spacing w:before="120" w:after="0" w:line="257" w:lineRule="auto"/>
        <w:contextualSpacing w:val="0"/>
        <w:jc w:val="both"/>
        <w:rPr>
          <w:rFonts w:ascii="Franklin Gothic Book" w:eastAsia="Helvetica Neue" w:hAnsi="Franklin Gothic Book" w:cs="Helvetica Neue"/>
          <w:color w:val="2F5496" w:themeColor="accent1" w:themeShade="BF"/>
          <w:lang w:val="en-GB"/>
        </w:rPr>
      </w:pPr>
      <w:r w:rsidRPr="00062D1B">
        <w:rPr>
          <w:rFonts w:ascii="Franklin Gothic Book" w:eastAsia="Helvetica Neue" w:hAnsi="Franklin Gothic Book" w:cs="Helvetica Neue"/>
          <w:color w:val="2F5496" w:themeColor="accent1" w:themeShade="BF"/>
          <w:lang w:val="en-GB"/>
        </w:rPr>
        <w:t>Security Risk Analyst</w:t>
      </w:r>
      <w:r>
        <w:rPr>
          <w:rFonts w:ascii="Franklin Gothic Book" w:eastAsia="Helvetica Neue" w:hAnsi="Franklin Gothic Book" w:cs="Helvetica Neue"/>
          <w:color w:val="2F5496" w:themeColor="accent1" w:themeShade="BF"/>
          <w:lang w:val="en-GB"/>
        </w:rPr>
        <w:t xml:space="preserve"> - </w:t>
      </w:r>
      <w:r w:rsidRPr="00692726">
        <w:rPr>
          <w:rFonts w:ascii="Franklin Gothic Book" w:eastAsia="Helvetica Neue" w:hAnsi="Franklin Gothic Book" w:cs="Helvetica Neue"/>
          <w:b w:val="0"/>
          <w:bCs w:val="0"/>
          <w:color w:val="2F5496" w:themeColor="accent1" w:themeShade="BF"/>
          <w:lang w:val="en-GB"/>
        </w:rPr>
        <w:t>Top Group Technologies, Largo, MD</w:t>
      </w:r>
      <w:r w:rsidRPr="000C3C4A" w:rsidR="00A8579C">
        <w:rPr>
          <w:rFonts w:ascii="Franklin Gothic Book" w:eastAsia="Helvetica Neue" w:hAnsi="Franklin Gothic Book" w:cs="Helvetica Neue"/>
          <w:color w:val="2F5496" w:themeColor="accent1" w:themeShade="BF"/>
          <w:lang w:val="en-GB"/>
        </w:rPr>
        <w:tab/>
      </w:r>
      <w:r>
        <w:rPr>
          <w:rFonts w:ascii="Franklin Gothic Book" w:eastAsia="Helvetica Neue" w:hAnsi="Franklin Gothic Book" w:cs="Helvetica Neue"/>
          <w:color w:val="2F5496" w:themeColor="accent1" w:themeShade="BF"/>
          <w:lang w:val="en-GB"/>
        </w:rPr>
        <w:t>202</w:t>
      </w:r>
      <w:r w:rsidR="000D4865">
        <w:rPr>
          <w:rFonts w:ascii="Franklin Gothic Book" w:eastAsia="Helvetica Neue" w:hAnsi="Franklin Gothic Book" w:cs="Helvetica Neue"/>
          <w:color w:val="2F5496" w:themeColor="accent1" w:themeShade="BF"/>
          <w:lang w:val="en-GB"/>
        </w:rPr>
        <w:t>1</w:t>
      </w:r>
      <w:r w:rsidRPr="000C3C4A">
        <w:rPr>
          <w:rFonts w:ascii="Franklin Gothic Book" w:eastAsia="Helvetica Neue" w:hAnsi="Franklin Gothic Book" w:cs="Helvetica Neue"/>
          <w:color w:val="2F5496" w:themeColor="accent1" w:themeShade="BF"/>
          <w:lang w:val="en-GB"/>
        </w:rPr>
        <w:t xml:space="preserve"> — Pres</w:t>
      </w:r>
      <w:r>
        <w:rPr>
          <w:rFonts w:ascii="Franklin Gothic Book" w:eastAsia="Helvetica Neue" w:hAnsi="Franklin Gothic Book" w:cs="Helvetica Neue"/>
          <w:color w:val="2F5496" w:themeColor="accent1" w:themeShade="BF"/>
          <w:lang w:val="en-GB"/>
        </w:rPr>
        <w:t>ent</w:t>
      </w:r>
    </w:p>
    <w:p w:rsidR="007001DE" w:rsidP="00692726" w14:paraId="2E384223" w14:textId="77777777">
      <w:pPr>
        <w:spacing w:before="40" w:after="0" w:line="257" w:lineRule="auto"/>
        <w:jc w:val="both"/>
      </w:pPr>
      <w:r>
        <w:t>I have developed and executed advanced strategies to proactively mitigate identified risks, addressing potential vulnerabilities and threats to enhance system integrity. I have created and disseminated comprehensive security policies and standards, providing expert consultation to technical teams to improve risk management and ensure compliance with global security regulations. Additionally, I have overseen the enforcement of IT security policies and utilized vulnerability assessment tools to maintain a robust and impenetrable security framework. My experience includes conducting thorough risk assessments across systems, networks, and operational processes, effectively identifying and addressing security threats to significantly elevate the organizational security posture.</w:t>
      </w:r>
    </w:p>
    <w:p w:rsidR="007001DE" w:rsidP="00692726" w14:paraId="2D594F3B" w14:textId="77777777">
      <w:pPr>
        <w:spacing w:before="40" w:after="0" w:line="257" w:lineRule="auto"/>
        <w:jc w:val="both"/>
      </w:pPr>
    </w:p>
    <w:p w:rsidR="00692726" w:rsidRPr="00692726" w:rsidP="00692726" w14:paraId="1837FE51" w14:textId="3F4DF914">
      <w:pPr>
        <w:spacing w:before="40" w:after="0" w:line="257" w:lineRule="auto"/>
        <w:jc w:val="both"/>
        <w:rPr>
          <w:rFonts w:ascii="Franklin Gothic Book" w:eastAsia="Helvetica Neue" w:hAnsi="Franklin Gothic Book" w:cs="Helvetica Neue"/>
          <w:i/>
          <w:iCs/>
          <w:color w:val="2F5496" w:themeColor="accent1" w:themeShade="BF"/>
          <w:u w:val="single"/>
          <w:lang w:val="en-GB"/>
        </w:rPr>
      </w:pPr>
      <w:r w:rsidRPr="00692726">
        <w:rPr>
          <w:rFonts w:ascii="Franklin Gothic Book" w:eastAsia="Helvetica Neue" w:hAnsi="Franklin Gothic Book" w:cs="Helvetica Neue"/>
          <w:i/>
          <w:iCs/>
          <w:color w:val="2F5496" w:themeColor="accent1" w:themeShade="BF"/>
          <w:u w:val="single"/>
          <w:lang w:val="en-GB"/>
        </w:rPr>
        <w:t>Major Contributions:</w:t>
      </w:r>
    </w:p>
    <w:p w:rsidR="00692726" w:rsidP="00692726" w14:paraId="471DE6A2" w14:textId="2778900E">
      <w:pPr>
        <w:pStyle w:val="ListParagraph"/>
        <w:numPr>
          <w:ilvl w:val="0"/>
          <w:numId w:val="10"/>
        </w:numPr>
        <w:spacing w:before="40" w:after="0" w:line="257" w:lineRule="auto"/>
        <w:ind w:left="360"/>
        <w:jc w:val="both"/>
        <w:rPr>
          <w:rFonts w:ascii="Franklin Gothic Book" w:hAnsi="Franklin Gothic Book"/>
          <w:spacing w:val="-3"/>
        </w:rPr>
      </w:pPr>
      <w:r>
        <w:rPr>
          <w:rFonts w:ascii="Franklin Gothic Book" w:hAnsi="Franklin Gothic Book"/>
          <w:spacing w:val="-3"/>
        </w:rPr>
        <w:t>Led the development of and implementation of comprehensive cyber security frameworks, ensuring alignment with NIST</w:t>
      </w:r>
      <w:r w:rsidR="0059494B">
        <w:rPr>
          <w:rFonts w:ascii="Franklin Gothic Book" w:hAnsi="Franklin Gothic Book"/>
          <w:spacing w:val="-3"/>
        </w:rPr>
        <w:t xml:space="preserve"> CST, ISO 27001, and other regulatory standards to enhance organizational security posture.</w:t>
      </w:r>
    </w:p>
    <w:p w:rsidR="00C224A1" w:rsidP="00692726" w14:paraId="3DCDDA01" w14:textId="4D66CDA1">
      <w:pPr>
        <w:pStyle w:val="ListParagraph"/>
        <w:numPr>
          <w:ilvl w:val="0"/>
          <w:numId w:val="10"/>
        </w:numPr>
        <w:spacing w:before="40" w:after="0" w:line="257" w:lineRule="auto"/>
        <w:ind w:left="360"/>
        <w:jc w:val="both"/>
        <w:rPr>
          <w:rFonts w:ascii="Franklin Gothic Book" w:hAnsi="Franklin Gothic Book"/>
          <w:spacing w:val="-3"/>
        </w:rPr>
      </w:pPr>
      <w:r>
        <w:rPr>
          <w:rFonts w:ascii="Franklin Gothic Book" w:hAnsi="Franklin Gothic Book"/>
          <w:spacing w:val="-3"/>
        </w:rPr>
        <w:t>Redesigned and optimized the third</w:t>
      </w:r>
      <w:r w:rsidR="00780D47">
        <w:rPr>
          <w:rFonts w:ascii="Franklin Gothic Book" w:hAnsi="Franklin Gothic Book"/>
          <w:spacing w:val="-3"/>
        </w:rPr>
        <w:t xml:space="preserve">-party risk assessment process, resulting in a 30% </w:t>
      </w:r>
      <w:r w:rsidR="00D5069D">
        <w:rPr>
          <w:rFonts w:ascii="Franklin Gothic Book" w:hAnsi="Franklin Gothic Book"/>
          <w:spacing w:val="-3"/>
        </w:rPr>
        <w:t>reduction in identified high-risk vendors and improving overall risk management efficiency.</w:t>
      </w:r>
    </w:p>
    <w:p w:rsidR="00C224A1" w:rsidRPr="00FC2366" w:rsidP="00FC2366" w14:paraId="7738B573" w14:textId="444CA4ED">
      <w:pPr>
        <w:pStyle w:val="ListParagraph"/>
        <w:numPr>
          <w:ilvl w:val="0"/>
          <w:numId w:val="10"/>
        </w:numPr>
        <w:spacing w:before="40" w:after="0" w:line="257" w:lineRule="auto"/>
        <w:ind w:left="360"/>
        <w:jc w:val="both"/>
        <w:rPr>
          <w:rFonts w:ascii="Franklin Gothic Book" w:hAnsi="Franklin Gothic Book"/>
          <w:spacing w:val="-3"/>
        </w:rPr>
      </w:pPr>
      <w:r>
        <w:rPr>
          <w:rFonts w:ascii="Franklin Gothic Book" w:hAnsi="Franklin Gothic Book"/>
          <w:spacing w:val="-3"/>
        </w:rPr>
        <w:t xml:space="preserve">Developed and deployed a real-time vendor risk management dashboard, cutting assessment time by 50% and mitigating </w:t>
      </w:r>
      <w:r w:rsidR="000C6C58">
        <w:rPr>
          <w:rFonts w:ascii="Franklin Gothic Book" w:hAnsi="Franklin Gothic Book"/>
          <w:spacing w:val="-3"/>
        </w:rPr>
        <w:t>potential liabilities by 20%, enhancing compliance and operational integrity.</w:t>
      </w:r>
    </w:p>
    <w:p w:rsidR="00692726" w:rsidRPr="00692726" w:rsidP="00692726" w14:paraId="61259EF4" w14:textId="519F5E88">
      <w:pPr>
        <w:pStyle w:val="ListParagraph"/>
        <w:numPr>
          <w:ilvl w:val="0"/>
          <w:numId w:val="10"/>
        </w:numPr>
        <w:spacing w:before="40" w:after="0" w:line="257" w:lineRule="auto"/>
        <w:ind w:left="360"/>
        <w:jc w:val="both"/>
        <w:rPr>
          <w:rFonts w:ascii="Franklin Gothic Book" w:hAnsi="Franklin Gothic Book"/>
          <w:spacing w:val="-3"/>
        </w:rPr>
      </w:pPr>
      <w:r w:rsidRPr="00692726">
        <w:rPr>
          <w:rFonts w:ascii="Franklin Gothic Book" w:hAnsi="Franklin Gothic Book"/>
          <w:spacing w:val="-3"/>
        </w:rPr>
        <w:t xml:space="preserve">Conducted </w:t>
      </w:r>
      <w:r w:rsidR="00AD00B9">
        <w:rPr>
          <w:rFonts w:ascii="Franklin Gothic Book" w:hAnsi="Franklin Gothic Book"/>
          <w:spacing w:val="-3"/>
        </w:rPr>
        <w:t xml:space="preserve">in-depth risk assessments and regulatory compliance reviews, including audits of NIST 800-53, ISO 27001/2, and HIPAA standards, providing strategic recommendations to </w:t>
      </w:r>
      <w:r w:rsidR="00DF0076">
        <w:rPr>
          <w:rFonts w:ascii="Franklin Gothic Book" w:hAnsi="Franklin Gothic Book"/>
          <w:spacing w:val="-3"/>
        </w:rPr>
        <w:t>strengthen cybersecurity defenses.</w:t>
      </w:r>
    </w:p>
    <w:p w:rsidR="00554283" w:rsidP="00692726" w14:paraId="5880058E" w14:textId="69FA6EF4">
      <w:pPr>
        <w:pStyle w:val="ListParagraph"/>
        <w:numPr>
          <w:ilvl w:val="0"/>
          <w:numId w:val="10"/>
        </w:numPr>
        <w:spacing w:before="40" w:after="0" w:line="257" w:lineRule="auto"/>
        <w:ind w:left="360"/>
        <w:jc w:val="both"/>
        <w:rPr>
          <w:rFonts w:ascii="Franklin Gothic Book" w:hAnsi="Franklin Gothic Book"/>
          <w:spacing w:val="-3"/>
        </w:rPr>
      </w:pPr>
      <w:r>
        <w:rPr>
          <w:rFonts w:ascii="Franklin Gothic Book" w:hAnsi="Franklin Gothic Book"/>
          <w:spacing w:val="-3"/>
        </w:rPr>
        <w:t>Negotiated and managed stringent data protection agreements, ensuring compliance with GDPR, CCPA, and other global regulations while safeguarding sensitive information and minimizing legal risks.</w:t>
      </w:r>
    </w:p>
    <w:p w:rsidR="003B35DF" w:rsidP="00692726" w14:paraId="4B04E5E4" w14:textId="4CC0B6E5">
      <w:pPr>
        <w:pStyle w:val="ListParagraph"/>
        <w:numPr>
          <w:ilvl w:val="0"/>
          <w:numId w:val="10"/>
        </w:numPr>
        <w:spacing w:before="40" w:after="0" w:line="257" w:lineRule="auto"/>
        <w:ind w:left="360"/>
        <w:jc w:val="both"/>
        <w:rPr>
          <w:rFonts w:ascii="Franklin Gothic Book" w:hAnsi="Franklin Gothic Book"/>
          <w:spacing w:val="-3"/>
        </w:rPr>
      </w:pPr>
      <w:r>
        <w:rPr>
          <w:rFonts w:ascii="Franklin Gothic Book" w:hAnsi="Franklin Gothic Book"/>
          <w:spacing w:val="-3"/>
        </w:rPr>
        <w:t>Implemented a robust incident response plan that reduced average resolution time by 50%, enhancing organizational resilience and readiness to address cybersecurity threats effectively.</w:t>
      </w:r>
    </w:p>
    <w:p w:rsidR="00477E66" w:rsidP="00692726" w14:paraId="49B95DB6" w14:textId="3AAC9C56">
      <w:pPr>
        <w:pStyle w:val="ListParagraph"/>
        <w:numPr>
          <w:ilvl w:val="0"/>
          <w:numId w:val="10"/>
        </w:numPr>
        <w:spacing w:before="40" w:after="0" w:line="257" w:lineRule="auto"/>
        <w:ind w:left="360"/>
        <w:jc w:val="both"/>
        <w:rPr>
          <w:rFonts w:ascii="Franklin Gothic Book" w:hAnsi="Franklin Gothic Book"/>
          <w:spacing w:val="-3"/>
        </w:rPr>
      </w:pPr>
      <w:r>
        <w:rPr>
          <w:rFonts w:ascii="Franklin Gothic Book" w:hAnsi="Franklin Gothic Book"/>
          <w:spacing w:val="-3"/>
        </w:rPr>
        <w:t xml:space="preserve">Created and executed a comprehensive security awareness training program, achieving a 70% reduction in successful </w:t>
      </w:r>
      <w:r w:rsidR="00221C7D">
        <w:rPr>
          <w:rFonts w:ascii="Franklin Gothic Book" w:hAnsi="Franklin Gothic Book"/>
          <w:spacing w:val="-3"/>
        </w:rPr>
        <w:t>phishing attempts and significantly bolstering employee security awareness.</w:t>
      </w:r>
    </w:p>
    <w:p w:rsidR="00BF3DBA" w:rsidP="00692726" w14:paraId="4C650C2D" w14:textId="50713809">
      <w:pPr>
        <w:pStyle w:val="ListParagraph"/>
        <w:numPr>
          <w:ilvl w:val="0"/>
          <w:numId w:val="10"/>
        </w:numPr>
        <w:spacing w:before="40" w:after="0" w:line="257" w:lineRule="auto"/>
        <w:ind w:left="360"/>
        <w:jc w:val="both"/>
        <w:rPr>
          <w:rFonts w:ascii="Franklin Gothic Book" w:hAnsi="Franklin Gothic Book"/>
          <w:spacing w:val="-3"/>
        </w:rPr>
      </w:pPr>
      <w:r>
        <w:rPr>
          <w:rFonts w:ascii="Franklin Gothic Book" w:hAnsi="Franklin Gothic Book"/>
          <w:spacing w:val="-3"/>
        </w:rPr>
        <w:t>Utilized advanced GRC automation tools, including RSA Archer and ServiceNow GRC, to streamline compliance processes, enhance</w:t>
      </w:r>
      <w:r w:rsidR="00891608">
        <w:rPr>
          <w:rFonts w:ascii="Franklin Gothic Book" w:hAnsi="Franklin Gothic Book"/>
          <w:spacing w:val="-3"/>
        </w:rPr>
        <w:t xml:space="preserve"> risk management, and support strategic decision—making.</w:t>
      </w:r>
    </w:p>
    <w:p w:rsidR="00891608" w:rsidRPr="00692726" w:rsidP="00692726" w14:paraId="1521DF27" w14:textId="53605EE7">
      <w:pPr>
        <w:pStyle w:val="ListParagraph"/>
        <w:numPr>
          <w:ilvl w:val="0"/>
          <w:numId w:val="10"/>
        </w:numPr>
        <w:spacing w:before="40" w:after="0" w:line="257" w:lineRule="auto"/>
        <w:ind w:left="360"/>
        <w:jc w:val="both"/>
        <w:rPr>
          <w:rFonts w:ascii="Franklin Gothic Book" w:hAnsi="Franklin Gothic Book"/>
          <w:spacing w:val="-3"/>
        </w:rPr>
      </w:pPr>
      <w:r>
        <w:rPr>
          <w:rFonts w:ascii="Franklin Gothic Book" w:hAnsi="Franklin Gothic Book"/>
          <w:spacing w:val="-3"/>
        </w:rPr>
        <w:t xml:space="preserve">Collaborate with cross-functional teams to define and deliver strategic cybersecurity solutions, effectively communicating </w:t>
      </w:r>
      <w:r w:rsidR="00C142EB">
        <w:rPr>
          <w:rFonts w:ascii="Franklin Gothic Book" w:hAnsi="Franklin Gothic Book"/>
          <w:spacing w:val="-3"/>
        </w:rPr>
        <w:t>technical concepts and risk assessments to diverse audiences and stakeholders.</w:t>
      </w:r>
    </w:p>
    <w:p w:rsidR="00554283" w:rsidRPr="000C3C4A" w:rsidP="0099758B" w14:paraId="36E1955D" w14:textId="384CE16C">
      <w:pPr>
        <w:pStyle w:val="FirstCompanyBlock"/>
        <w:tabs>
          <w:tab w:val="clear" w:pos="10800"/>
          <w:tab w:val="right" w:pos="11340"/>
        </w:tabs>
        <w:spacing w:before="360" w:after="0" w:line="257" w:lineRule="auto"/>
        <w:contextualSpacing w:val="0"/>
        <w:jc w:val="both"/>
        <w:rPr>
          <w:rFonts w:ascii="Franklin Gothic Book" w:eastAsia="Helvetica Neue" w:hAnsi="Franklin Gothic Book" w:cs="Helvetica Neue"/>
          <w:color w:val="2F5496" w:themeColor="accent1" w:themeShade="BF"/>
          <w:lang w:val="en-GB"/>
        </w:rPr>
      </w:pPr>
      <w:r w:rsidRPr="00062D1B">
        <w:rPr>
          <w:rFonts w:ascii="Franklin Gothic Book" w:eastAsia="Helvetica Neue" w:hAnsi="Franklin Gothic Book" w:cs="Helvetica Neue"/>
          <w:color w:val="2F5496" w:themeColor="accent1" w:themeShade="BF"/>
          <w:lang w:val="en-GB"/>
        </w:rPr>
        <w:t>Pharmacy Craftsman</w:t>
      </w:r>
      <w:r>
        <w:rPr>
          <w:rFonts w:ascii="Franklin Gothic Book" w:eastAsia="Helvetica Neue" w:hAnsi="Franklin Gothic Book" w:cs="Helvetica Neue"/>
          <w:color w:val="2F5496" w:themeColor="accent1" w:themeShade="BF"/>
          <w:lang w:val="en-GB"/>
        </w:rPr>
        <w:t xml:space="preserve"> - </w:t>
      </w:r>
      <w:bookmarkStart w:id="0" w:name="_Hlk170317421"/>
      <w:r w:rsidRPr="00062D1B">
        <w:rPr>
          <w:rFonts w:ascii="Franklin Gothic Book" w:eastAsia="Helvetica Neue" w:hAnsi="Franklin Gothic Book" w:cs="Helvetica Neue"/>
          <w:color w:val="2F5496" w:themeColor="accent1" w:themeShade="BF"/>
          <w:lang w:val="en-GB"/>
        </w:rPr>
        <w:t>USAF</w:t>
      </w:r>
      <w:r w:rsidRPr="000C3C4A" w:rsidR="00AE1ECD">
        <w:rPr>
          <w:rFonts w:ascii="Franklin Gothic Book" w:eastAsia="Helvetica Neue" w:hAnsi="Franklin Gothic Book" w:cs="Helvetica Neue"/>
          <w:b w:val="0"/>
          <w:bCs w:val="0"/>
          <w:color w:val="2F5496" w:themeColor="accent1" w:themeShade="BF"/>
          <w:lang w:val="en-GB"/>
        </w:rPr>
        <w:t xml:space="preserve"> </w:t>
      </w:r>
      <w:bookmarkEnd w:id="0"/>
      <w:r w:rsidRPr="000C3C4A" w:rsidR="00D82584">
        <w:rPr>
          <w:rFonts w:ascii="Franklin Gothic Book" w:eastAsia="Helvetica Neue" w:hAnsi="Franklin Gothic Book" w:cs="Helvetica Neue"/>
          <w:b w:val="0"/>
          <w:bCs w:val="0"/>
          <w:color w:val="2F5496" w:themeColor="accent1" w:themeShade="BF"/>
          <w:lang w:val="en-GB"/>
        </w:rPr>
        <w:tab/>
      </w:r>
      <w:r>
        <w:rPr>
          <w:rFonts w:ascii="Franklin Gothic Book" w:eastAsia="Helvetica Neue" w:hAnsi="Franklin Gothic Book" w:cs="Helvetica Neue"/>
          <w:color w:val="2F5496" w:themeColor="accent1" w:themeShade="BF"/>
          <w:lang w:val="en-GB"/>
        </w:rPr>
        <w:t>2000</w:t>
      </w:r>
      <w:r w:rsidRPr="000C3C4A">
        <w:rPr>
          <w:rFonts w:ascii="Franklin Gothic Book" w:eastAsia="Helvetica Neue" w:hAnsi="Franklin Gothic Book" w:cs="Helvetica Neue"/>
          <w:color w:val="2F5496" w:themeColor="accent1" w:themeShade="BF"/>
          <w:lang w:val="en-GB"/>
        </w:rPr>
        <w:t xml:space="preserve"> — 20</w:t>
      </w:r>
      <w:r w:rsidR="00884C00">
        <w:rPr>
          <w:rFonts w:ascii="Franklin Gothic Book" w:eastAsia="Helvetica Neue" w:hAnsi="Franklin Gothic Book" w:cs="Helvetica Neue"/>
          <w:color w:val="2F5496" w:themeColor="accent1" w:themeShade="BF"/>
          <w:lang w:val="en-GB"/>
        </w:rPr>
        <w:t>20</w:t>
      </w:r>
    </w:p>
    <w:p w:rsidR="001B49E2" w:rsidP="009E344B" w14:paraId="3F2B7217" w14:textId="7EDB01B9">
      <w:pPr>
        <w:spacing w:before="40" w:after="120" w:line="257" w:lineRule="auto"/>
        <w:jc w:val="both"/>
        <w:rPr>
          <w:rFonts w:ascii="Franklin Gothic Book" w:hAnsi="Franklin Gothic Book"/>
        </w:rPr>
      </w:pPr>
      <w:r w:rsidRPr="009E344B">
        <w:rPr>
          <w:rFonts w:ascii="Franklin Gothic Book" w:hAnsi="Franklin Gothic Book"/>
        </w:rPr>
        <w:t>Directed Wing Inspection Team operations, managing the Medical Group’s emergency response capabilities; identified 35 observations and 8 discrepancies</w:t>
      </w:r>
      <w:r w:rsidR="009F7DCC">
        <w:rPr>
          <w:rFonts w:ascii="Franklin Gothic Book" w:hAnsi="Franklin Gothic Book"/>
        </w:rPr>
        <w:t xml:space="preserve"> and </w:t>
      </w:r>
      <w:r w:rsidRPr="009E344B">
        <w:rPr>
          <w:rFonts w:ascii="Franklin Gothic Book" w:hAnsi="Franklin Gothic Book"/>
        </w:rPr>
        <w:t>implement</w:t>
      </w:r>
      <w:r w:rsidR="009F7DCC">
        <w:rPr>
          <w:rFonts w:ascii="Franklin Gothic Book" w:hAnsi="Franklin Gothic Book"/>
        </w:rPr>
        <w:t>ed</w:t>
      </w:r>
      <w:r w:rsidRPr="009E344B">
        <w:rPr>
          <w:rFonts w:ascii="Franklin Gothic Book" w:hAnsi="Franklin Gothic Book"/>
        </w:rPr>
        <w:t xml:space="preserve"> critical process improvements that equipped 184 medics to effectively protect 11,000 Wing personnel during disaster scenarios.</w:t>
      </w:r>
    </w:p>
    <w:p w:rsidR="00AD6B15" w:rsidP="009E344B" w14:paraId="5B51247A" w14:textId="4DCC4360">
      <w:pPr>
        <w:spacing w:before="40" w:after="120" w:line="257" w:lineRule="auto"/>
        <w:jc w:val="both"/>
        <w:rPr>
          <w:rFonts w:ascii="Franklin Gothic Book" w:hAnsi="Franklin Gothic Book"/>
        </w:rPr>
      </w:pPr>
      <w:r w:rsidRPr="00692726">
        <w:rPr>
          <w:rFonts w:ascii="Franklin Gothic Book" w:eastAsia="Helvetica Neue" w:hAnsi="Franklin Gothic Book" w:cs="Helvetica Neue"/>
          <w:i/>
          <w:iCs/>
          <w:color w:val="2F5496" w:themeColor="accent1" w:themeShade="BF"/>
          <w:u w:val="single"/>
          <w:lang w:val="en-GB"/>
        </w:rPr>
        <w:t>Major Contributions:</w:t>
      </w:r>
    </w:p>
    <w:p w:rsidR="00062D1B" w:rsidP="00C27291" w14:paraId="5E00D8B2" w14:textId="39DE59C6">
      <w:pPr>
        <w:pStyle w:val="ListParagraph"/>
        <w:numPr>
          <w:ilvl w:val="0"/>
          <w:numId w:val="6"/>
        </w:numPr>
        <w:spacing w:before="40" w:after="0" w:line="257" w:lineRule="auto"/>
        <w:ind w:left="360"/>
        <w:jc w:val="both"/>
        <w:rPr>
          <w:rFonts w:ascii="Franklin Gothic Book" w:hAnsi="Franklin Gothic Book"/>
        </w:rPr>
      </w:pPr>
      <w:r>
        <w:rPr>
          <w:rFonts w:ascii="Franklin Gothic Book" w:hAnsi="Franklin Gothic Book"/>
        </w:rPr>
        <w:t xml:space="preserve">Served as a </w:t>
      </w:r>
      <w:r w:rsidRPr="009E344B" w:rsidR="009E344B">
        <w:rPr>
          <w:rFonts w:ascii="Franklin Gothic Book" w:hAnsi="Franklin Gothic Book"/>
        </w:rPr>
        <w:t xml:space="preserve">pharmacy subject matter expert across three military treatment facilities; </w:t>
      </w:r>
      <w:bookmarkStart w:id="1" w:name="_Hlk170317416"/>
      <w:r w:rsidRPr="009E344B" w:rsidR="009E344B">
        <w:rPr>
          <w:rFonts w:ascii="Franklin Gothic Book" w:hAnsi="Franklin Gothic Book"/>
        </w:rPr>
        <w:t>played a pivotal role in transitioning to a $5.5</w:t>
      </w:r>
      <w:r w:rsidR="00CE6B4C">
        <w:rPr>
          <w:rFonts w:ascii="Franklin Gothic Book" w:hAnsi="Franklin Gothic Book"/>
        </w:rPr>
        <w:t xml:space="preserve">B </w:t>
      </w:r>
      <w:r w:rsidRPr="009E344B" w:rsidR="009E344B">
        <w:rPr>
          <w:rFonts w:ascii="Franklin Gothic Book" w:hAnsi="Franklin Gothic Book"/>
        </w:rPr>
        <w:t>Department of Defense electronic health record system, enhancing service accessibility for 579,000 beneficiaries, and fostering seamless integration of military and Veteran’s Administration healthcare services.</w:t>
      </w:r>
    </w:p>
    <w:bookmarkEnd w:id="1"/>
    <w:p w:rsidR="009F7DCC" w:rsidP="00C27291" w14:paraId="456A62D8" w14:textId="776C065B">
      <w:pPr>
        <w:pStyle w:val="ListParagraph"/>
        <w:numPr>
          <w:ilvl w:val="0"/>
          <w:numId w:val="6"/>
        </w:numPr>
        <w:spacing w:before="40" w:after="0" w:line="257" w:lineRule="auto"/>
        <w:ind w:left="360"/>
        <w:jc w:val="both"/>
        <w:rPr>
          <w:rFonts w:ascii="Franklin Gothic Book" w:hAnsi="Franklin Gothic Book"/>
        </w:rPr>
      </w:pPr>
      <w:r>
        <w:rPr>
          <w:rFonts w:ascii="Franklin Gothic Book" w:hAnsi="Franklin Gothic Book"/>
        </w:rPr>
        <w:t xml:space="preserve">Led, trained, and mentored </w:t>
      </w:r>
      <w:r w:rsidRPr="009F7DCC">
        <w:rPr>
          <w:rFonts w:ascii="Franklin Gothic Book" w:hAnsi="Franklin Gothic Book"/>
        </w:rPr>
        <w:t>109 members on 22 essential tasks</w:t>
      </w:r>
      <w:r>
        <w:rPr>
          <w:rFonts w:ascii="Franklin Gothic Book" w:hAnsi="Franklin Gothic Book"/>
        </w:rPr>
        <w:t xml:space="preserve"> to meet defined goals</w:t>
      </w:r>
      <w:r w:rsidR="00593F96">
        <w:rPr>
          <w:rFonts w:ascii="Franklin Gothic Book" w:hAnsi="Franklin Gothic Book"/>
        </w:rPr>
        <w:t xml:space="preserve"> and objectives.</w:t>
      </w:r>
    </w:p>
    <w:p w:rsidR="00E622DE" w:rsidP="00C27291" w14:paraId="7CD19B21" w14:textId="28BC7016">
      <w:pPr>
        <w:pStyle w:val="ListParagraph"/>
        <w:numPr>
          <w:ilvl w:val="0"/>
          <w:numId w:val="6"/>
        </w:numPr>
        <w:spacing w:before="40" w:after="0" w:line="257" w:lineRule="auto"/>
        <w:ind w:left="360"/>
        <w:jc w:val="both"/>
        <w:rPr>
          <w:rFonts w:ascii="Franklin Gothic Book" w:hAnsi="Franklin Gothic Book"/>
        </w:rPr>
      </w:pPr>
      <w:r w:rsidRPr="00C27291">
        <w:rPr>
          <w:rFonts w:ascii="Franklin Gothic Book" w:hAnsi="Franklin Gothic Book"/>
        </w:rPr>
        <w:t xml:space="preserve">Achieved top compliance recognition as the Air Force #1 facility by ensuring stringent adherence to national drug contract requirements; </w:t>
      </w:r>
      <w:r w:rsidRPr="00C27291" w:rsidR="005C7AF6">
        <w:rPr>
          <w:rFonts w:ascii="Franklin Gothic Book" w:hAnsi="Franklin Gothic Book"/>
        </w:rPr>
        <w:t>directed</w:t>
      </w:r>
      <w:r w:rsidRPr="00C27291">
        <w:rPr>
          <w:rFonts w:ascii="Franklin Gothic Book" w:hAnsi="Franklin Gothic Book"/>
        </w:rPr>
        <w:t xml:space="preserve"> a team that meticulously reviewed 18,400 items valued at $212K, attaining a remarkable 99.2% compliance rate with Department of Defense standards</w:t>
      </w:r>
      <w:r>
        <w:rPr>
          <w:rFonts w:ascii="Franklin Gothic Book" w:hAnsi="Franklin Gothic Book"/>
        </w:rPr>
        <w:t>.</w:t>
      </w:r>
    </w:p>
    <w:p w:rsidR="0051421C" w:rsidP="00C27291" w14:paraId="5337AEEF" w14:textId="05D7F64B">
      <w:pPr>
        <w:pStyle w:val="ListParagraph"/>
        <w:numPr>
          <w:ilvl w:val="0"/>
          <w:numId w:val="6"/>
        </w:numPr>
        <w:spacing w:before="40" w:after="0" w:line="257" w:lineRule="auto"/>
        <w:ind w:left="360"/>
        <w:jc w:val="both"/>
        <w:rPr>
          <w:rFonts w:ascii="Franklin Gothic Book" w:hAnsi="Franklin Gothic Book"/>
        </w:rPr>
      </w:pPr>
      <w:r>
        <w:rPr>
          <w:rFonts w:ascii="Franklin Gothic Book" w:hAnsi="Franklin Gothic Book"/>
        </w:rPr>
        <w:t>Executed Wing Inspection</w:t>
      </w:r>
      <w:r w:rsidR="003A7221">
        <w:rPr>
          <w:rFonts w:ascii="Franklin Gothic Book" w:hAnsi="Franklin Gothic Book"/>
        </w:rPr>
        <w:t xml:space="preserve"> Team lead responsibilities</w:t>
      </w:r>
      <w:r w:rsidR="00E900A0">
        <w:rPr>
          <w:rFonts w:ascii="Franklin Gothic Book" w:hAnsi="Franklin Gothic Book"/>
        </w:rPr>
        <w:t xml:space="preserve">, directed the Medical Group emergency response capabilities </w:t>
      </w:r>
      <w:r w:rsidR="002829F6">
        <w:rPr>
          <w:rFonts w:ascii="Franklin Gothic Book" w:hAnsi="Franklin Gothic Book"/>
        </w:rPr>
        <w:t>during Ready Eagle &amp; Wing exercise, aligned 184 medics to safeguard 11,00 Wing personnel in disaster situations.</w:t>
      </w:r>
    </w:p>
    <w:p w:rsidR="002829F6" w:rsidP="00C27291" w14:paraId="11FC3D22" w14:textId="41659144">
      <w:pPr>
        <w:pStyle w:val="ListParagraph"/>
        <w:numPr>
          <w:ilvl w:val="0"/>
          <w:numId w:val="6"/>
        </w:numPr>
        <w:spacing w:before="40" w:after="0" w:line="257" w:lineRule="auto"/>
        <w:ind w:left="360"/>
        <w:jc w:val="both"/>
        <w:rPr>
          <w:rFonts w:ascii="Franklin Gothic Book" w:hAnsi="Franklin Gothic Book"/>
        </w:rPr>
      </w:pPr>
      <w:r>
        <w:rPr>
          <w:rFonts w:ascii="Franklin Gothic Book" w:hAnsi="Franklin Gothic Book"/>
        </w:rPr>
        <w:t xml:space="preserve">Implemented a new clinical tracking program for </w:t>
      </w:r>
      <w:r w:rsidR="00256BDE">
        <w:rPr>
          <w:rFonts w:ascii="Franklin Gothic Book" w:hAnsi="Franklin Gothic Book"/>
        </w:rPr>
        <w:t xml:space="preserve">the facility, authored 22 inspection checklist aligned with The Joint Commission </w:t>
      </w:r>
      <w:r w:rsidR="004E6D0F">
        <w:rPr>
          <w:rFonts w:ascii="Franklin Gothic Book" w:hAnsi="Franklin Gothic Book"/>
        </w:rPr>
        <w:t>compliance standards and ensured safe medication practices.</w:t>
      </w:r>
    </w:p>
    <w:p w:rsidR="004E6D0F" w:rsidP="00C27291" w14:paraId="5EA34561" w14:textId="456A9220">
      <w:pPr>
        <w:pStyle w:val="ListParagraph"/>
        <w:numPr>
          <w:ilvl w:val="0"/>
          <w:numId w:val="6"/>
        </w:numPr>
        <w:spacing w:before="40" w:after="0" w:line="257" w:lineRule="auto"/>
        <w:ind w:left="360"/>
        <w:jc w:val="both"/>
        <w:rPr>
          <w:rFonts w:ascii="Franklin Gothic Book" w:hAnsi="Franklin Gothic Book"/>
        </w:rPr>
      </w:pPr>
      <w:r>
        <w:rPr>
          <w:rFonts w:ascii="Franklin Gothic Book" w:hAnsi="Franklin Gothic Book"/>
        </w:rPr>
        <w:t xml:space="preserve">Pharmacy expert for the </w:t>
      </w:r>
      <w:r w:rsidR="00EC008E">
        <w:rPr>
          <w:rFonts w:ascii="Franklin Gothic Book" w:hAnsi="Franklin Gothic Book"/>
        </w:rPr>
        <w:t>standardization of Wright-Patterson’s transition to the</w:t>
      </w:r>
      <w:r w:rsidR="006961B9">
        <w:rPr>
          <w:rFonts w:ascii="Franklin Gothic Book" w:hAnsi="Franklin Gothic Book"/>
        </w:rPr>
        <w:t xml:space="preserve"> new electronic health record, trained 75 members on 22 task</w:t>
      </w:r>
      <w:r w:rsidR="00BC4631">
        <w:rPr>
          <w:rFonts w:ascii="Franklin Gothic Book" w:hAnsi="Franklin Gothic Book"/>
        </w:rPr>
        <w:t xml:space="preserve">s, innovated access to care for 67,000 joint beneficiaries </w:t>
      </w:r>
      <w:r w:rsidR="00457ADF">
        <w:rPr>
          <w:rFonts w:ascii="Franklin Gothic Book" w:hAnsi="Franklin Gothic Book"/>
        </w:rPr>
        <w:t>and Veteran’s Administration care.</w:t>
      </w:r>
    </w:p>
    <w:p w:rsidR="00457ADF" w:rsidP="00C27291" w14:paraId="297F70CB" w14:textId="1C4A3097">
      <w:pPr>
        <w:pStyle w:val="ListParagraph"/>
        <w:numPr>
          <w:ilvl w:val="0"/>
          <w:numId w:val="6"/>
        </w:numPr>
        <w:spacing w:before="40" w:after="0" w:line="257" w:lineRule="auto"/>
        <w:ind w:left="360"/>
        <w:jc w:val="both"/>
        <w:rPr>
          <w:rFonts w:ascii="Franklin Gothic Book" w:hAnsi="Franklin Gothic Book"/>
        </w:rPr>
      </w:pPr>
      <w:r>
        <w:rPr>
          <w:rFonts w:ascii="Franklin Gothic Book" w:hAnsi="Franklin Gothic Book"/>
        </w:rPr>
        <w:t>Primed the 17</w:t>
      </w:r>
      <w:r w:rsidR="00B86C11">
        <w:rPr>
          <w:rFonts w:ascii="Franklin Gothic Book" w:hAnsi="Franklin Gothic Book"/>
        </w:rPr>
        <w:t xml:space="preserve"> MDG (Medical Group) for The Joint Commission Survey</w:t>
      </w:r>
      <w:r w:rsidR="00827D7D">
        <w:rPr>
          <w:rFonts w:ascii="Franklin Gothic Book" w:hAnsi="Franklin Gothic Book"/>
        </w:rPr>
        <w:t xml:space="preserve"> by standardization of high alert and hazardous </w:t>
      </w:r>
      <w:r w:rsidR="00D72CF6">
        <w:rPr>
          <w:rFonts w:ascii="Franklin Gothic Book" w:hAnsi="Franklin Gothic Book"/>
        </w:rPr>
        <w:t xml:space="preserve">medication storage areas, resolved </w:t>
      </w:r>
      <w:r w:rsidR="00567404">
        <w:rPr>
          <w:rFonts w:ascii="Franklin Gothic Book" w:hAnsi="Franklin Gothic Book"/>
        </w:rPr>
        <w:t>two</w:t>
      </w:r>
      <w:r w:rsidR="00D72CF6">
        <w:rPr>
          <w:rFonts w:ascii="Franklin Gothic Book" w:hAnsi="Franklin Gothic Book"/>
        </w:rPr>
        <w:t xml:space="preserve"> </w:t>
      </w:r>
      <w:r w:rsidR="00C11E99">
        <w:rPr>
          <w:rFonts w:ascii="Franklin Gothic Book" w:hAnsi="Franklin Gothic Book"/>
        </w:rPr>
        <w:t xml:space="preserve">patient events which culminated in a 99.9% compliance rate </w:t>
      </w:r>
      <w:r w:rsidR="00567404">
        <w:rPr>
          <w:rFonts w:ascii="Franklin Gothic Book" w:hAnsi="Franklin Gothic Book"/>
        </w:rPr>
        <w:t>and triennial recertification.</w:t>
      </w:r>
    </w:p>
    <w:p w:rsidR="00423CB6" w:rsidP="00C27291" w14:paraId="4077BF23" w14:textId="3536CA8F">
      <w:pPr>
        <w:pStyle w:val="ListParagraph"/>
        <w:numPr>
          <w:ilvl w:val="0"/>
          <w:numId w:val="6"/>
        </w:numPr>
        <w:spacing w:before="40" w:after="0" w:line="257" w:lineRule="auto"/>
        <w:ind w:left="360"/>
        <w:jc w:val="both"/>
        <w:rPr>
          <w:rFonts w:ascii="Franklin Gothic Book" w:hAnsi="Franklin Gothic Book"/>
        </w:rPr>
      </w:pPr>
      <w:r>
        <w:rPr>
          <w:rFonts w:ascii="Franklin Gothic Book" w:hAnsi="Franklin Gothic Book"/>
        </w:rPr>
        <w:t xml:space="preserve">Rapidly </w:t>
      </w:r>
      <w:r w:rsidR="006F56F2">
        <w:rPr>
          <w:rFonts w:ascii="Franklin Gothic Book" w:hAnsi="Franklin Gothic Book"/>
        </w:rPr>
        <w:t>responded to critical equipment failure</w:t>
      </w:r>
      <w:r w:rsidR="00D95664">
        <w:rPr>
          <w:rFonts w:ascii="Franklin Gothic Book" w:hAnsi="Franklin Gothic Book"/>
        </w:rPr>
        <w:t xml:space="preserve">, secured </w:t>
      </w:r>
      <w:r w:rsidR="008302E3">
        <w:rPr>
          <w:rFonts w:ascii="Franklin Gothic Book" w:hAnsi="Franklin Gothic Book"/>
        </w:rPr>
        <w:t xml:space="preserve">adequate storage of perishable medications </w:t>
      </w:r>
      <w:r w:rsidR="00B43E43">
        <w:rPr>
          <w:rFonts w:ascii="Franklin Gothic Book" w:hAnsi="Franklin Gothic Book"/>
        </w:rPr>
        <w:t xml:space="preserve">&amp; executed urgent </w:t>
      </w:r>
      <w:r w:rsidR="0044399F">
        <w:rPr>
          <w:rFonts w:ascii="Franklin Gothic Book" w:hAnsi="Franklin Gothic Book"/>
        </w:rPr>
        <w:t xml:space="preserve">acquisition of $35K in appliances which mitigated spoilage of $115K in DHA assets with no interruption </w:t>
      </w:r>
      <w:r w:rsidR="00834D07">
        <w:rPr>
          <w:rFonts w:ascii="Franklin Gothic Book" w:hAnsi="Franklin Gothic Book"/>
        </w:rPr>
        <w:t>to patient care.</w:t>
      </w:r>
    </w:p>
    <w:p w:rsidR="00834D07" w:rsidP="00C27291" w14:paraId="7EC556C0" w14:textId="4DCE369B">
      <w:pPr>
        <w:pStyle w:val="ListParagraph"/>
        <w:numPr>
          <w:ilvl w:val="0"/>
          <w:numId w:val="6"/>
        </w:numPr>
        <w:spacing w:before="40" w:after="0" w:line="257" w:lineRule="auto"/>
        <w:ind w:left="360"/>
        <w:jc w:val="both"/>
        <w:rPr>
          <w:rFonts w:ascii="Franklin Gothic Book" w:hAnsi="Franklin Gothic Book"/>
        </w:rPr>
      </w:pPr>
      <w:r>
        <w:rPr>
          <w:rFonts w:ascii="Franklin Gothic Book" w:hAnsi="Franklin Gothic Book"/>
        </w:rPr>
        <w:t xml:space="preserve">As </w:t>
      </w:r>
      <w:r w:rsidR="00F847CB">
        <w:rPr>
          <w:rFonts w:ascii="Franklin Gothic Book" w:hAnsi="Franklin Gothic Book"/>
        </w:rPr>
        <w:t>a pharmacy</w:t>
      </w:r>
      <w:r w:rsidR="00BA3DFE">
        <w:rPr>
          <w:rFonts w:ascii="Franklin Gothic Book" w:hAnsi="Franklin Gothic Book"/>
        </w:rPr>
        <w:t xml:space="preserve"> non-commissioned officer in charge, obtained </w:t>
      </w:r>
      <w:r w:rsidR="00A41BFB">
        <w:rPr>
          <w:rFonts w:ascii="Franklin Gothic Book" w:hAnsi="Franklin Gothic Book"/>
        </w:rPr>
        <w:t xml:space="preserve">counting equipment that elevated accountability </w:t>
      </w:r>
      <w:r w:rsidR="00EE549D">
        <w:rPr>
          <w:rFonts w:ascii="Franklin Gothic Book" w:hAnsi="Franklin Gothic Book"/>
        </w:rPr>
        <w:t xml:space="preserve">and enabled digital tracking of 1K controlled </w:t>
      </w:r>
      <w:r w:rsidR="00A92C8C">
        <w:rPr>
          <w:rFonts w:ascii="Franklin Gothic Book" w:hAnsi="Franklin Gothic Book"/>
        </w:rPr>
        <w:t xml:space="preserve">substances with efforts climaxing in whittling hands-on time by </w:t>
      </w:r>
      <w:r w:rsidR="00AB09A9">
        <w:rPr>
          <w:rFonts w:ascii="Franklin Gothic Book" w:hAnsi="Franklin Gothic Book"/>
        </w:rPr>
        <w:t>40% and effectively preventing diversion.</w:t>
      </w:r>
    </w:p>
    <w:p w:rsidR="0036469D" w:rsidP="00C27291" w14:paraId="42537B22" w14:textId="77777777">
      <w:pPr>
        <w:pStyle w:val="ListParagraph"/>
        <w:numPr>
          <w:ilvl w:val="0"/>
          <w:numId w:val="6"/>
        </w:numPr>
        <w:spacing w:before="40" w:after="0" w:line="257" w:lineRule="auto"/>
        <w:ind w:left="360"/>
        <w:jc w:val="both"/>
        <w:rPr>
          <w:rFonts w:ascii="Franklin Gothic Book" w:hAnsi="Franklin Gothic Book"/>
        </w:rPr>
      </w:pPr>
      <w:r>
        <w:rPr>
          <w:rFonts w:ascii="Franklin Gothic Book" w:hAnsi="Franklin Gothic Book"/>
        </w:rPr>
        <w:t>Galvanized team operations and elevated the custom</w:t>
      </w:r>
      <w:r w:rsidR="00F46685">
        <w:rPr>
          <w:rFonts w:ascii="Franklin Gothic Book" w:hAnsi="Franklin Gothic Book"/>
        </w:rPr>
        <w:t xml:space="preserve">er experience in preparation of 66.7K orders prior to patient arrival, </w:t>
      </w:r>
      <w:r w:rsidR="00ED4269">
        <w:rPr>
          <w:rFonts w:ascii="Franklin Gothic Book" w:hAnsi="Franklin Gothic Book"/>
        </w:rPr>
        <w:t xml:space="preserve">which slashed activation time 60% and DHA </w:t>
      </w:r>
      <w:r w:rsidR="00DF712D">
        <w:rPr>
          <w:rFonts w:ascii="Franklin Gothic Book" w:hAnsi="Franklin Gothic Book"/>
        </w:rPr>
        <w:t xml:space="preserve">praised </w:t>
      </w:r>
      <w:r w:rsidR="00342C70">
        <w:rPr>
          <w:rFonts w:ascii="Franklin Gothic Book" w:hAnsi="Franklin Gothic Book"/>
        </w:rPr>
        <w:t>Goodfellow AB pharmacy as a patient satisfaction top performer.</w:t>
      </w:r>
    </w:p>
    <w:p w:rsidR="00AB09A9" w:rsidRPr="00C27291" w:rsidP="0036469D" w14:paraId="72C39844" w14:textId="46EB0CB6">
      <w:pPr>
        <w:pStyle w:val="ListParagraph"/>
        <w:spacing w:before="40" w:after="0" w:line="257" w:lineRule="auto"/>
        <w:ind w:left="360"/>
        <w:jc w:val="both"/>
        <w:rPr>
          <w:rFonts w:ascii="Franklin Gothic Book" w:hAnsi="Franklin Gothic Book"/>
        </w:rPr>
      </w:pPr>
      <w:r>
        <w:rPr>
          <w:rFonts w:ascii="Franklin Gothic Book" w:hAnsi="Franklin Gothic Book"/>
        </w:rPr>
        <w:t xml:space="preserve"> </w:t>
      </w:r>
    </w:p>
    <w:p w:rsidR="00554283" w:rsidRPr="0054553C" w:rsidP="0099758B" w14:paraId="072BF053" w14:textId="02376B51">
      <w:pPr>
        <w:pStyle w:val="Heading21"/>
        <w:spacing w:before="360" w:after="120" w:line="257" w:lineRule="auto"/>
        <w:rPr>
          <w:rFonts w:asciiTheme="majorBidi" w:hAnsiTheme="majorBidi" w:cstheme="majorBidi"/>
          <w:b/>
          <w:bCs/>
          <w:color w:val="2F5496" w:themeColor="accent1" w:themeShade="BF"/>
          <w:sz w:val="28"/>
          <w:szCs w:val="28"/>
        </w:rPr>
      </w:pPr>
      <w:r w:rsidRPr="0054553C">
        <w:rPr>
          <w:rFonts w:asciiTheme="majorBidi" w:hAnsiTheme="majorBidi" w:cstheme="majorBidi"/>
          <w:b/>
          <w:bCs/>
          <w:color w:val="2F5496" w:themeColor="accent1" w:themeShade="BF"/>
          <w:sz w:val="28"/>
          <w:szCs w:val="28"/>
        </w:rPr>
        <w:t>Education</w:t>
      </w:r>
    </w:p>
    <w:p w:rsidR="00554283" w:rsidRPr="000C3C4A" w:rsidP="0099758B" w14:paraId="25DDA023" w14:textId="51CF3126">
      <w:pPr>
        <w:spacing w:before="240" w:after="0" w:line="257" w:lineRule="auto"/>
        <w:rPr>
          <w:rFonts w:ascii="Franklin Gothic Book" w:hAnsi="Franklin Gothic Book"/>
          <w:color w:val="2F5496" w:themeColor="accent1" w:themeShade="BF"/>
        </w:rPr>
      </w:pPr>
      <w:r w:rsidRPr="00062D1B">
        <w:rPr>
          <w:rFonts w:ascii="Franklin Gothic Book" w:hAnsi="Franklin Gothic Book"/>
          <w:b/>
          <w:bCs/>
          <w:color w:val="2F5496" w:themeColor="accent1" w:themeShade="BF"/>
        </w:rPr>
        <w:t>Bachelor of Science: Cybersecurity &amp; Data Analytics</w:t>
      </w:r>
    </w:p>
    <w:p w:rsidR="00C610C0" w:rsidRPr="00062D1B" w:rsidP="00857878" w14:paraId="024540E7" w14:textId="5AC7BD96">
      <w:pPr>
        <w:spacing w:before="60" w:after="0" w:line="257" w:lineRule="auto"/>
        <w:rPr>
          <w:rFonts w:ascii="Franklin Gothic Book" w:hAnsi="Franklin Gothic Book"/>
          <w:color w:val="auto"/>
        </w:rPr>
      </w:pPr>
      <w:r w:rsidRPr="00062D1B">
        <w:rPr>
          <w:rFonts w:ascii="Franklin Gothic Book" w:hAnsi="Franklin Gothic Book"/>
          <w:color w:val="auto"/>
        </w:rPr>
        <w:t>Southern New Hampshire University – Manchester, New Hampshire (2024)</w:t>
      </w:r>
    </w:p>
    <w:p w:rsidR="00062D1B" w:rsidP="00062D1B" w14:paraId="70CB909E" w14:textId="77777777">
      <w:pPr>
        <w:pStyle w:val="Heading21"/>
        <w:spacing w:before="360" w:after="120" w:line="257" w:lineRule="auto"/>
        <w:rPr>
          <w:rFonts w:ascii="Franklin Gothic Book" w:hAnsi="Franklin Gothic Book"/>
          <w:b/>
          <w:bCs/>
          <w:color w:val="2F5496" w:themeColor="accent1" w:themeShade="BF"/>
        </w:rPr>
      </w:pPr>
      <w:r w:rsidRPr="00062D1B">
        <w:rPr>
          <w:rFonts w:asciiTheme="majorBidi" w:hAnsiTheme="majorBidi" w:cstheme="majorBidi"/>
          <w:b/>
          <w:bCs/>
          <w:color w:val="2F5496" w:themeColor="accent1" w:themeShade="BF"/>
          <w:sz w:val="28"/>
          <w:szCs w:val="28"/>
        </w:rPr>
        <w:t>Certifications</w:t>
      </w:r>
    </w:p>
    <w:p w:rsidR="00062D1B" w:rsidRPr="00062D1B" w:rsidP="00062D1B" w14:paraId="632F1AF5" w14:textId="139FB410">
      <w:pPr>
        <w:spacing w:before="60" w:after="0" w:line="257" w:lineRule="auto"/>
        <w:rPr>
          <w:rFonts w:ascii="Franklin Gothic Book" w:hAnsi="Franklin Gothic Book"/>
          <w:color w:val="auto"/>
        </w:rPr>
      </w:pPr>
      <w:r w:rsidRPr="00062D1B">
        <w:rPr>
          <w:rFonts w:ascii="Franklin Gothic Book" w:hAnsi="Franklin Gothic Book"/>
          <w:color w:val="auto"/>
        </w:rPr>
        <w:t xml:space="preserve">(ISC)2 Certified Authorization Professional - CAP </w:t>
      </w:r>
    </w:p>
    <w:p w:rsidR="00062D1B" w:rsidRPr="00062D1B" w:rsidP="00062D1B" w14:paraId="212A1A13" w14:textId="77777777">
      <w:pPr>
        <w:spacing w:before="60" w:after="0" w:line="257" w:lineRule="auto"/>
        <w:rPr>
          <w:rFonts w:ascii="Franklin Gothic Book" w:hAnsi="Franklin Gothic Book"/>
          <w:color w:val="auto"/>
        </w:rPr>
      </w:pPr>
      <w:r w:rsidRPr="00062D1B">
        <w:rPr>
          <w:rFonts w:ascii="Franklin Gothic Book" w:hAnsi="Franklin Gothic Book"/>
          <w:color w:val="auto"/>
        </w:rPr>
        <w:t>CompTIA Security +</w:t>
      </w:r>
    </w:p>
    <w:p w:rsidR="00062D1B" w:rsidRPr="00062D1B" w:rsidP="00062D1B" w14:paraId="6737020C" w14:textId="77777777">
      <w:pPr>
        <w:spacing w:before="60" w:after="0" w:line="257" w:lineRule="auto"/>
        <w:rPr>
          <w:rFonts w:ascii="Franklin Gothic Book" w:hAnsi="Franklin Gothic Book"/>
          <w:color w:val="auto"/>
        </w:rPr>
      </w:pPr>
      <w:r w:rsidRPr="00062D1B">
        <w:rPr>
          <w:rFonts w:ascii="Franklin Gothic Book" w:hAnsi="Franklin Gothic Book"/>
          <w:color w:val="auto"/>
        </w:rPr>
        <w:t>Payment Card Industry Data Security Standard Compliance (PCI DSS)</w:t>
      </w:r>
    </w:p>
    <w:p w:rsidR="00062D1B" w:rsidRPr="00062D1B" w:rsidP="00062D1B" w14:paraId="5AA71DA3" w14:textId="44567A93">
      <w:pPr>
        <w:spacing w:before="60" w:after="0" w:line="257" w:lineRule="auto"/>
        <w:rPr>
          <w:rFonts w:ascii="Franklin Gothic Book" w:hAnsi="Franklin Gothic Book"/>
          <w:color w:val="auto"/>
        </w:rPr>
      </w:pPr>
      <w:r w:rsidRPr="00062D1B">
        <w:rPr>
          <w:rFonts w:ascii="Franklin Gothic Book" w:hAnsi="Franklin Gothic Book"/>
          <w:color w:val="auto"/>
        </w:rPr>
        <w:t>Cybersecurity CGRC/RMF</w:t>
      </w:r>
    </w:p>
    <w:sectPr w:rsidSect="000C3C4A">
      <w:footerReference w:type="default" r:id="rId6"/>
      <w:pgSz w:w="12240" w:h="15840" w:code="1"/>
      <w:pgMar w:top="576" w:right="720" w:bottom="576" w:left="720" w:header="432" w:footer="43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F470B" w:rsidRPr="00EE1463" w:rsidP="00EE1463" w14:paraId="14F75CA5" w14:textId="77777777">
    <w:pPr>
      <w:pStyle w:val="PageNumber1"/>
      <w:spacing w:after="0"/>
      <w:jc w:val="center"/>
      <w:rPr>
        <w:rFonts w:asciiTheme="majorBidi" w:hAnsiTheme="majorBidi" w:cstheme="majorBidi"/>
        <w:b/>
        <w:bCs/>
      </w:rPr>
    </w:pPr>
    <w:r w:rsidRPr="00EE1463">
      <w:rPr>
        <w:rFonts w:asciiTheme="majorBidi" w:hAnsiTheme="majorBidi" w:cstheme="majorBidi"/>
      </w:rPr>
      <w:t xml:space="preserve">Page </w:t>
    </w:r>
    <w:r w:rsidRPr="00EE1463">
      <w:rPr>
        <w:rFonts w:asciiTheme="majorBidi" w:hAnsiTheme="majorBidi" w:cstheme="majorBidi"/>
        <w:b/>
        <w:bCs/>
      </w:rPr>
      <w:fldChar w:fldCharType="begin"/>
    </w:r>
    <w:r w:rsidRPr="00EE1463">
      <w:rPr>
        <w:rFonts w:asciiTheme="majorBidi" w:hAnsiTheme="majorBidi" w:cstheme="majorBidi"/>
        <w:b/>
        <w:bCs/>
      </w:rPr>
      <w:instrText>PAGE</w:instrText>
    </w:r>
    <w:r w:rsidRPr="00EE1463">
      <w:rPr>
        <w:rFonts w:asciiTheme="majorBidi" w:hAnsiTheme="majorBidi" w:cstheme="majorBidi"/>
        <w:b/>
        <w:bCs/>
      </w:rPr>
      <w:fldChar w:fldCharType="separate"/>
    </w:r>
    <w:r w:rsidR="0099758B">
      <w:rPr>
        <w:rFonts w:asciiTheme="majorBidi" w:hAnsiTheme="majorBidi" w:cstheme="majorBidi"/>
        <w:b/>
        <w:bCs/>
        <w:noProof/>
      </w:rPr>
      <w:t>2</w:t>
    </w:r>
    <w:r w:rsidRPr="00EE1463">
      <w:rPr>
        <w:rFonts w:asciiTheme="majorBidi" w:hAnsiTheme="majorBidi" w:cstheme="majorBidi"/>
        <w:b/>
        <w:bCs/>
      </w:rPr>
      <w:fldChar w:fldCharType="end"/>
    </w:r>
    <w:r w:rsidRPr="00EE1463">
      <w:rPr>
        <w:rFonts w:asciiTheme="majorBidi" w:hAnsiTheme="majorBidi" w:cstheme="majorBidi"/>
        <w:b/>
        <w:bCs/>
      </w:rPr>
      <w:t xml:space="preserve"> | </w:t>
    </w:r>
    <w:r w:rsidRPr="00EE1463">
      <w:rPr>
        <w:rFonts w:asciiTheme="majorBidi" w:hAnsiTheme="majorBidi" w:cstheme="majorBidi"/>
        <w:b/>
        <w:bCs/>
      </w:rPr>
      <w:fldChar w:fldCharType="begin"/>
    </w:r>
    <w:r w:rsidRPr="00EE1463">
      <w:rPr>
        <w:rFonts w:asciiTheme="majorBidi" w:hAnsiTheme="majorBidi" w:cstheme="majorBidi"/>
        <w:b/>
        <w:bCs/>
      </w:rPr>
      <w:instrText>NUMPAGES</w:instrText>
    </w:r>
    <w:r w:rsidRPr="00EE1463">
      <w:rPr>
        <w:rFonts w:asciiTheme="majorBidi" w:hAnsiTheme="majorBidi" w:cstheme="majorBidi"/>
        <w:b/>
        <w:bCs/>
      </w:rPr>
      <w:fldChar w:fldCharType="separate"/>
    </w:r>
    <w:r w:rsidR="0099758B">
      <w:rPr>
        <w:rFonts w:asciiTheme="majorBidi" w:hAnsiTheme="majorBidi" w:cstheme="majorBidi"/>
        <w:b/>
        <w:bCs/>
        <w:noProof/>
      </w:rPr>
      <w:t>2</w:t>
    </w:r>
    <w:r w:rsidRPr="00EE1463">
      <w:rPr>
        <w:rFonts w:asciiTheme="majorBidi" w:hAnsiTheme="majorBidi" w:cstheme="majorBidi"/>
        <w:b/>
        <w:bCs/>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A980CF8"/>
    <w:multiLevelType w:val="hybridMultilevel"/>
    <w:tmpl w:val="0CF463A2"/>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Source Sans Pro" w:eastAsia="Source Sans Pro" w:hAnsi="Source Sans Pro" w:cs="Source Sans Pro"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BEF00D7"/>
    <w:multiLevelType w:val="hybridMultilevel"/>
    <w:tmpl w:val="D2EC44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1A92680"/>
    <w:multiLevelType w:val="hybridMultilevel"/>
    <w:tmpl w:val="6AC2F6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04237D6"/>
    <w:multiLevelType w:val="hybridMultilevel"/>
    <w:tmpl w:val="9D80BF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08016EE"/>
    <w:multiLevelType w:val="hybridMultilevel"/>
    <w:tmpl w:val="B7828C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1A57CDA"/>
    <w:multiLevelType w:val="hybridMultilevel"/>
    <w:tmpl w:val="210E5C9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F6C062C"/>
    <w:multiLevelType w:val="hybridMultilevel"/>
    <w:tmpl w:val="03D20E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63713AD"/>
    <w:multiLevelType w:val="hybridMultilevel"/>
    <w:tmpl w:val="2C88D6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9A11FBA"/>
    <w:multiLevelType w:val="hybridMultilevel"/>
    <w:tmpl w:val="D4C87B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A9F2E13"/>
    <w:multiLevelType w:val="hybridMultilevel"/>
    <w:tmpl w:val="A90CA29C"/>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Source Sans Pro" w:eastAsia="Source Sans Pro" w:hAnsi="Source Sans Pro" w:cs="Source Sans Pro"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30851FB"/>
    <w:multiLevelType w:val="hybridMultilevel"/>
    <w:tmpl w:val="C5AE4E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DEF0BCA"/>
    <w:multiLevelType w:val="hybridMultilevel"/>
    <w:tmpl w:val="CD1E91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70B0909"/>
    <w:multiLevelType w:val="hybridMultilevel"/>
    <w:tmpl w:val="B23E6F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7BF4E86"/>
    <w:multiLevelType w:val="hybridMultilevel"/>
    <w:tmpl w:val="8592A9C0"/>
    <w:lvl w:ilvl="0">
      <w:start w:val="0"/>
      <w:numFmt w:val="bullet"/>
      <w:lvlText w:val="-"/>
      <w:lvlJc w:val="left"/>
      <w:pPr>
        <w:ind w:left="720" w:hanging="360"/>
      </w:pPr>
      <w:rPr>
        <w:rFonts w:ascii="Source Sans Pro" w:eastAsia="Source Sans Pro" w:hAnsi="Source Sans Pro" w:cs="Source Sans Pro"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F932F6E"/>
    <w:multiLevelType w:val="hybridMultilevel"/>
    <w:tmpl w:val="37922F2E"/>
    <w:lvl w:ilvl="0">
      <w:start w:val="0"/>
      <w:numFmt w:val="bullet"/>
      <w:lvlText w:val="-"/>
      <w:lvlJc w:val="left"/>
      <w:pPr>
        <w:ind w:left="720" w:hanging="360"/>
      </w:pPr>
      <w:rPr>
        <w:rFonts w:ascii="Source Sans Pro" w:eastAsia="Source Sans Pro" w:hAnsi="Source Sans Pro" w:cs="Source Sans Pro"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D4E6181"/>
    <w:multiLevelType w:val="hybridMultilevel"/>
    <w:tmpl w:val="B6E02A7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nsid w:val="7F146584"/>
    <w:multiLevelType w:val="hybridMultilevel"/>
    <w:tmpl w:val="778EFA56"/>
    <w:lvl w:ilvl="0">
      <w:start w:val="0"/>
      <w:numFmt w:val="bullet"/>
      <w:lvlText w:val="-"/>
      <w:lvlJc w:val="left"/>
      <w:pPr>
        <w:ind w:left="720" w:hanging="360"/>
      </w:pPr>
      <w:rPr>
        <w:rFonts w:ascii="Source Sans Pro" w:eastAsia="Source Sans Pro" w:hAnsi="Source Sans Pro" w:cs="Source Sans Pro"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764959928">
    <w:abstractNumId w:val="15"/>
  </w:num>
  <w:num w:numId="2" w16cid:durableId="332808070">
    <w:abstractNumId w:val="10"/>
  </w:num>
  <w:num w:numId="3" w16cid:durableId="1068723200">
    <w:abstractNumId w:val="14"/>
  </w:num>
  <w:num w:numId="4" w16cid:durableId="1335497047">
    <w:abstractNumId w:val="16"/>
  </w:num>
  <w:num w:numId="5" w16cid:durableId="542448084">
    <w:abstractNumId w:val="13"/>
  </w:num>
  <w:num w:numId="6" w16cid:durableId="2030568308">
    <w:abstractNumId w:val="6"/>
  </w:num>
  <w:num w:numId="7" w16cid:durableId="891766050">
    <w:abstractNumId w:val="0"/>
  </w:num>
  <w:num w:numId="8" w16cid:durableId="1938521904">
    <w:abstractNumId w:val="11"/>
  </w:num>
  <w:num w:numId="9" w16cid:durableId="1883788480">
    <w:abstractNumId w:val="4"/>
  </w:num>
  <w:num w:numId="10" w16cid:durableId="873345575">
    <w:abstractNumId w:val="12"/>
  </w:num>
  <w:num w:numId="11" w16cid:durableId="1607613944">
    <w:abstractNumId w:val="9"/>
  </w:num>
  <w:num w:numId="12" w16cid:durableId="1956281183">
    <w:abstractNumId w:val="7"/>
  </w:num>
  <w:num w:numId="13" w16cid:durableId="1235816922">
    <w:abstractNumId w:val="3"/>
  </w:num>
  <w:num w:numId="14" w16cid:durableId="120656323">
    <w:abstractNumId w:val="8"/>
  </w:num>
  <w:num w:numId="15" w16cid:durableId="905726325">
    <w:abstractNumId w:val="2"/>
  </w:num>
  <w:num w:numId="16" w16cid:durableId="10617972">
    <w:abstractNumId w:val="5"/>
  </w:num>
  <w:num w:numId="17" w16cid:durableId="1506824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0B"/>
    <w:rsid w:val="000002A6"/>
    <w:rsid w:val="00003A33"/>
    <w:rsid w:val="00015F3E"/>
    <w:rsid w:val="000167B9"/>
    <w:rsid w:val="00020788"/>
    <w:rsid w:val="00023845"/>
    <w:rsid w:val="00023E73"/>
    <w:rsid w:val="00024A56"/>
    <w:rsid w:val="00032B18"/>
    <w:rsid w:val="00034E67"/>
    <w:rsid w:val="00045DCC"/>
    <w:rsid w:val="00047975"/>
    <w:rsid w:val="00052C7E"/>
    <w:rsid w:val="0005334C"/>
    <w:rsid w:val="00060E67"/>
    <w:rsid w:val="000626DD"/>
    <w:rsid w:val="00062D1B"/>
    <w:rsid w:val="0006307A"/>
    <w:rsid w:val="00093DC2"/>
    <w:rsid w:val="000948ED"/>
    <w:rsid w:val="00095D50"/>
    <w:rsid w:val="000A2414"/>
    <w:rsid w:val="000B696E"/>
    <w:rsid w:val="000B7162"/>
    <w:rsid w:val="000B749C"/>
    <w:rsid w:val="000C3C4A"/>
    <w:rsid w:val="000C6C58"/>
    <w:rsid w:val="000C6D8F"/>
    <w:rsid w:val="000D1EEA"/>
    <w:rsid w:val="000D269A"/>
    <w:rsid w:val="000D4865"/>
    <w:rsid w:val="00102D7F"/>
    <w:rsid w:val="00104E9D"/>
    <w:rsid w:val="00112423"/>
    <w:rsid w:val="00113B1C"/>
    <w:rsid w:val="001164AF"/>
    <w:rsid w:val="00116F7E"/>
    <w:rsid w:val="0012644C"/>
    <w:rsid w:val="001369B7"/>
    <w:rsid w:val="001378F5"/>
    <w:rsid w:val="00140359"/>
    <w:rsid w:val="00141227"/>
    <w:rsid w:val="00141333"/>
    <w:rsid w:val="00152BC5"/>
    <w:rsid w:val="001557FC"/>
    <w:rsid w:val="00155B30"/>
    <w:rsid w:val="00155FF4"/>
    <w:rsid w:val="0016356E"/>
    <w:rsid w:val="00166C6F"/>
    <w:rsid w:val="00170157"/>
    <w:rsid w:val="001757D1"/>
    <w:rsid w:val="001775B4"/>
    <w:rsid w:val="00177F87"/>
    <w:rsid w:val="001819AB"/>
    <w:rsid w:val="00185214"/>
    <w:rsid w:val="00195710"/>
    <w:rsid w:val="00197AD8"/>
    <w:rsid w:val="001B49E2"/>
    <w:rsid w:val="001B628E"/>
    <w:rsid w:val="001C0B87"/>
    <w:rsid w:val="001C4A9A"/>
    <w:rsid w:val="001C5747"/>
    <w:rsid w:val="001C7F3A"/>
    <w:rsid w:val="001D5217"/>
    <w:rsid w:val="001F030E"/>
    <w:rsid w:val="001F5224"/>
    <w:rsid w:val="001F5B2E"/>
    <w:rsid w:val="00210925"/>
    <w:rsid w:val="00215557"/>
    <w:rsid w:val="00221C7D"/>
    <w:rsid w:val="00221F5B"/>
    <w:rsid w:val="00233E74"/>
    <w:rsid w:val="00233E82"/>
    <w:rsid w:val="00241D23"/>
    <w:rsid w:val="00243EA2"/>
    <w:rsid w:val="002474D1"/>
    <w:rsid w:val="0025194B"/>
    <w:rsid w:val="00252BC5"/>
    <w:rsid w:val="0025486E"/>
    <w:rsid w:val="00255488"/>
    <w:rsid w:val="00256BDE"/>
    <w:rsid w:val="0026150F"/>
    <w:rsid w:val="002659C0"/>
    <w:rsid w:val="0027652C"/>
    <w:rsid w:val="00281760"/>
    <w:rsid w:val="00282445"/>
    <w:rsid w:val="002829F6"/>
    <w:rsid w:val="00287E29"/>
    <w:rsid w:val="002A6B4B"/>
    <w:rsid w:val="002A6BB2"/>
    <w:rsid w:val="002A7413"/>
    <w:rsid w:val="002A7AD9"/>
    <w:rsid w:val="002B0A4A"/>
    <w:rsid w:val="002B3FF7"/>
    <w:rsid w:val="002B4979"/>
    <w:rsid w:val="002B5802"/>
    <w:rsid w:val="002B6E8C"/>
    <w:rsid w:val="002C017C"/>
    <w:rsid w:val="002C6637"/>
    <w:rsid w:val="002C7CB2"/>
    <w:rsid w:val="002D015E"/>
    <w:rsid w:val="002D4102"/>
    <w:rsid w:val="002D44DE"/>
    <w:rsid w:val="002D61AB"/>
    <w:rsid w:val="002D739E"/>
    <w:rsid w:val="002E01CE"/>
    <w:rsid w:val="002E10DE"/>
    <w:rsid w:val="002F02BB"/>
    <w:rsid w:val="002F0E97"/>
    <w:rsid w:val="002F18DB"/>
    <w:rsid w:val="002F3EBD"/>
    <w:rsid w:val="002F5A45"/>
    <w:rsid w:val="002F680A"/>
    <w:rsid w:val="002F77CA"/>
    <w:rsid w:val="00303ED7"/>
    <w:rsid w:val="00306B3B"/>
    <w:rsid w:val="003074A1"/>
    <w:rsid w:val="00307FEE"/>
    <w:rsid w:val="00317593"/>
    <w:rsid w:val="00321054"/>
    <w:rsid w:val="00332C38"/>
    <w:rsid w:val="00334BB7"/>
    <w:rsid w:val="00342C70"/>
    <w:rsid w:val="00343693"/>
    <w:rsid w:val="00345F0B"/>
    <w:rsid w:val="00346ED7"/>
    <w:rsid w:val="00347D18"/>
    <w:rsid w:val="0036469D"/>
    <w:rsid w:val="00365119"/>
    <w:rsid w:val="00366F1C"/>
    <w:rsid w:val="003675F3"/>
    <w:rsid w:val="00373B5A"/>
    <w:rsid w:val="00377DC1"/>
    <w:rsid w:val="00385061"/>
    <w:rsid w:val="003A6EA6"/>
    <w:rsid w:val="003A7221"/>
    <w:rsid w:val="003B35DF"/>
    <w:rsid w:val="003C155B"/>
    <w:rsid w:val="003D180E"/>
    <w:rsid w:val="003D2275"/>
    <w:rsid w:val="003D2E92"/>
    <w:rsid w:val="003D72E2"/>
    <w:rsid w:val="003E19F9"/>
    <w:rsid w:val="003E4868"/>
    <w:rsid w:val="003F470B"/>
    <w:rsid w:val="003F58D1"/>
    <w:rsid w:val="00403918"/>
    <w:rsid w:val="00404587"/>
    <w:rsid w:val="0041376A"/>
    <w:rsid w:val="00421349"/>
    <w:rsid w:val="0042146B"/>
    <w:rsid w:val="00423CB6"/>
    <w:rsid w:val="00427223"/>
    <w:rsid w:val="004319C1"/>
    <w:rsid w:val="00441B4A"/>
    <w:rsid w:val="0044229C"/>
    <w:rsid w:val="0044399F"/>
    <w:rsid w:val="00443CF0"/>
    <w:rsid w:val="00444097"/>
    <w:rsid w:val="00446427"/>
    <w:rsid w:val="0045154D"/>
    <w:rsid w:val="00452B6B"/>
    <w:rsid w:val="004550BE"/>
    <w:rsid w:val="00457ADF"/>
    <w:rsid w:val="0046010A"/>
    <w:rsid w:val="0046653C"/>
    <w:rsid w:val="004673CA"/>
    <w:rsid w:val="00472FDB"/>
    <w:rsid w:val="00477E66"/>
    <w:rsid w:val="00487B57"/>
    <w:rsid w:val="00492608"/>
    <w:rsid w:val="004A05BE"/>
    <w:rsid w:val="004A208B"/>
    <w:rsid w:val="004A2DBE"/>
    <w:rsid w:val="004B0879"/>
    <w:rsid w:val="004B2D44"/>
    <w:rsid w:val="004B2F73"/>
    <w:rsid w:val="004D06B9"/>
    <w:rsid w:val="004D2787"/>
    <w:rsid w:val="004E348E"/>
    <w:rsid w:val="004E503F"/>
    <w:rsid w:val="004E594A"/>
    <w:rsid w:val="004E6D0F"/>
    <w:rsid w:val="004F49D6"/>
    <w:rsid w:val="00500581"/>
    <w:rsid w:val="005037A0"/>
    <w:rsid w:val="0051421C"/>
    <w:rsid w:val="005144D2"/>
    <w:rsid w:val="00516706"/>
    <w:rsid w:val="00516B48"/>
    <w:rsid w:val="00523694"/>
    <w:rsid w:val="00532332"/>
    <w:rsid w:val="00534AAB"/>
    <w:rsid w:val="00542E63"/>
    <w:rsid w:val="0054553C"/>
    <w:rsid w:val="00545BE1"/>
    <w:rsid w:val="00551C78"/>
    <w:rsid w:val="00554283"/>
    <w:rsid w:val="0055775F"/>
    <w:rsid w:val="005614E4"/>
    <w:rsid w:val="00561540"/>
    <w:rsid w:val="005619BD"/>
    <w:rsid w:val="00561BB8"/>
    <w:rsid w:val="0056307B"/>
    <w:rsid w:val="005664FE"/>
    <w:rsid w:val="00567404"/>
    <w:rsid w:val="005724C5"/>
    <w:rsid w:val="00575862"/>
    <w:rsid w:val="005769E5"/>
    <w:rsid w:val="00577612"/>
    <w:rsid w:val="00583DE2"/>
    <w:rsid w:val="0058448B"/>
    <w:rsid w:val="00585466"/>
    <w:rsid w:val="00593F86"/>
    <w:rsid w:val="00593F96"/>
    <w:rsid w:val="0059494B"/>
    <w:rsid w:val="0059647E"/>
    <w:rsid w:val="005A05B6"/>
    <w:rsid w:val="005A38D5"/>
    <w:rsid w:val="005A4725"/>
    <w:rsid w:val="005A686E"/>
    <w:rsid w:val="005B106D"/>
    <w:rsid w:val="005B1D34"/>
    <w:rsid w:val="005B230E"/>
    <w:rsid w:val="005B23CD"/>
    <w:rsid w:val="005C49CC"/>
    <w:rsid w:val="005C6304"/>
    <w:rsid w:val="005C7AF6"/>
    <w:rsid w:val="005D3168"/>
    <w:rsid w:val="005F4500"/>
    <w:rsid w:val="005F4F5A"/>
    <w:rsid w:val="006010CE"/>
    <w:rsid w:val="00606F34"/>
    <w:rsid w:val="00610E20"/>
    <w:rsid w:val="006172AB"/>
    <w:rsid w:val="00623F2F"/>
    <w:rsid w:val="006243C7"/>
    <w:rsid w:val="00624BEA"/>
    <w:rsid w:val="00632C4F"/>
    <w:rsid w:val="00633BAB"/>
    <w:rsid w:val="006357D2"/>
    <w:rsid w:val="006401B3"/>
    <w:rsid w:val="00640BB6"/>
    <w:rsid w:val="00640C71"/>
    <w:rsid w:val="00644718"/>
    <w:rsid w:val="00645805"/>
    <w:rsid w:val="006473B7"/>
    <w:rsid w:val="00657A56"/>
    <w:rsid w:val="006674A1"/>
    <w:rsid w:val="006706EE"/>
    <w:rsid w:val="00670F75"/>
    <w:rsid w:val="0067337A"/>
    <w:rsid w:val="00673910"/>
    <w:rsid w:val="006758B4"/>
    <w:rsid w:val="00676467"/>
    <w:rsid w:val="00692726"/>
    <w:rsid w:val="006961B9"/>
    <w:rsid w:val="006A1AE1"/>
    <w:rsid w:val="006A2587"/>
    <w:rsid w:val="006A5F23"/>
    <w:rsid w:val="006A662D"/>
    <w:rsid w:val="006B2ABD"/>
    <w:rsid w:val="006B5DC6"/>
    <w:rsid w:val="006B6547"/>
    <w:rsid w:val="006C2D5F"/>
    <w:rsid w:val="006C4B16"/>
    <w:rsid w:val="006D11C4"/>
    <w:rsid w:val="006D195C"/>
    <w:rsid w:val="006D243F"/>
    <w:rsid w:val="006D5926"/>
    <w:rsid w:val="006E2FCF"/>
    <w:rsid w:val="006F47B0"/>
    <w:rsid w:val="006F56F2"/>
    <w:rsid w:val="006F7F53"/>
    <w:rsid w:val="007001DE"/>
    <w:rsid w:val="007033D8"/>
    <w:rsid w:val="007144CE"/>
    <w:rsid w:val="00720085"/>
    <w:rsid w:val="0072069E"/>
    <w:rsid w:val="00722696"/>
    <w:rsid w:val="00731CE8"/>
    <w:rsid w:val="007360AD"/>
    <w:rsid w:val="00743327"/>
    <w:rsid w:val="0074671F"/>
    <w:rsid w:val="0075303A"/>
    <w:rsid w:val="007604C7"/>
    <w:rsid w:val="00761787"/>
    <w:rsid w:val="0076774D"/>
    <w:rsid w:val="00770D0B"/>
    <w:rsid w:val="007721EF"/>
    <w:rsid w:val="0077313A"/>
    <w:rsid w:val="00774E58"/>
    <w:rsid w:val="00776BA4"/>
    <w:rsid w:val="0077769F"/>
    <w:rsid w:val="00780D47"/>
    <w:rsid w:val="00780D68"/>
    <w:rsid w:val="00781187"/>
    <w:rsid w:val="0078799F"/>
    <w:rsid w:val="0079070C"/>
    <w:rsid w:val="007919FE"/>
    <w:rsid w:val="00792E1B"/>
    <w:rsid w:val="0079552C"/>
    <w:rsid w:val="00797820"/>
    <w:rsid w:val="007A01C5"/>
    <w:rsid w:val="007B387F"/>
    <w:rsid w:val="007B3B69"/>
    <w:rsid w:val="007B52B8"/>
    <w:rsid w:val="007B7DE0"/>
    <w:rsid w:val="007C0892"/>
    <w:rsid w:val="007C21FD"/>
    <w:rsid w:val="007C317C"/>
    <w:rsid w:val="007C4D65"/>
    <w:rsid w:val="007C5782"/>
    <w:rsid w:val="007C683F"/>
    <w:rsid w:val="007C6C13"/>
    <w:rsid w:val="007D10EF"/>
    <w:rsid w:val="007D528E"/>
    <w:rsid w:val="007D77C3"/>
    <w:rsid w:val="007E09D5"/>
    <w:rsid w:val="007E546D"/>
    <w:rsid w:val="007F0938"/>
    <w:rsid w:val="007F1E1B"/>
    <w:rsid w:val="007F1ED5"/>
    <w:rsid w:val="007F30A1"/>
    <w:rsid w:val="007F7176"/>
    <w:rsid w:val="007F724B"/>
    <w:rsid w:val="008000B3"/>
    <w:rsid w:val="0080370C"/>
    <w:rsid w:val="00814852"/>
    <w:rsid w:val="008164C0"/>
    <w:rsid w:val="0082282F"/>
    <w:rsid w:val="008228E2"/>
    <w:rsid w:val="008261F0"/>
    <w:rsid w:val="00827D7D"/>
    <w:rsid w:val="008302E3"/>
    <w:rsid w:val="00834D07"/>
    <w:rsid w:val="00835357"/>
    <w:rsid w:val="00852DDA"/>
    <w:rsid w:val="008537CA"/>
    <w:rsid w:val="00857878"/>
    <w:rsid w:val="0086005F"/>
    <w:rsid w:val="008607CB"/>
    <w:rsid w:val="00862641"/>
    <w:rsid w:val="00865906"/>
    <w:rsid w:val="00873C28"/>
    <w:rsid w:val="00884C00"/>
    <w:rsid w:val="00885A84"/>
    <w:rsid w:val="00886F5C"/>
    <w:rsid w:val="00891608"/>
    <w:rsid w:val="008A2CE8"/>
    <w:rsid w:val="008A4C14"/>
    <w:rsid w:val="008B5B1D"/>
    <w:rsid w:val="008B6FE7"/>
    <w:rsid w:val="008C1E2D"/>
    <w:rsid w:val="008C5798"/>
    <w:rsid w:val="008D06A9"/>
    <w:rsid w:val="008D5095"/>
    <w:rsid w:val="008D52F6"/>
    <w:rsid w:val="008D72A0"/>
    <w:rsid w:val="008E18A0"/>
    <w:rsid w:val="008F4071"/>
    <w:rsid w:val="008F493C"/>
    <w:rsid w:val="008F75DF"/>
    <w:rsid w:val="00902538"/>
    <w:rsid w:val="00907753"/>
    <w:rsid w:val="00912238"/>
    <w:rsid w:val="00913E06"/>
    <w:rsid w:val="00916413"/>
    <w:rsid w:val="0092011C"/>
    <w:rsid w:val="009304B8"/>
    <w:rsid w:val="00932C97"/>
    <w:rsid w:val="0095535B"/>
    <w:rsid w:val="00955BEA"/>
    <w:rsid w:val="00962211"/>
    <w:rsid w:val="00963698"/>
    <w:rsid w:val="00964A19"/>
    <w:rsid w:val="00970AE5"/>
    <w:rsid w:val="00974212"/>
    <w:rsid w:val="00974D99"/>
    <w:rsid w:val="0097729D"/>
    <w:rsid w:val="00977CB0"/>
    <w:rsid w:val="00977D01"/>
    <w:rsid w:val="00991A73"/>
    <w:rsid w:val="00996F56"/>
    <w:rsid w:val="0099758B"/>
    <w:rsid w:val="00997EAF"/>
    <w:rsid w:val="009A0119"/>
    <w:rsid w:val="009A3732"/>
    <w:rsid w:val="009B0850"/>
    <w:rsid w:val="009B30AD"/>
    <w:rsid w:val="009B3457"/>
    <w:rsid w:val="009C3888"/>
    <w:rsid w:val="009C5AA4"/>
    <w:rsid w:val="009E035E"/>
    <w:rsid w:val="009E23A2"/>
    <w:rsid w:val="009E2B0B"/>
    <w:rsid w:val="009E344B"/>
    <w:rsid w:val="009E3F5D"/>
    <w:rsid w:val="009F3BB8"/>
    <w:rsid w:val="009F7DCC"/>
    <w:rsid w:val="00A00945"/>
    <w:rsid w:val="00A01F1A"/>
    <w:rsid w:val="00A11142"/>
    <w:rsid w:val="00A14838"/>
    <w:rsid w:val="00A14E1A"/>
    <w:rsid w:val="00A16BC3"/>
    <w:rsid w:val="00A2663D"/>
    <w:rsid w:val="00A32A38"/>
    <w:rsid w:val="00A3662D"/>
    <w:rsid w:val="00A41BFB"/>
    <w:rsid w:val="00A504B0"/>
    <w:rsid w:val="00A52315"/>
    <w:rsid w:val="00A5330E"/>
    <w:rsid w:val="00A6107B"/>
    <w:rsid w:val="00A624E1"/>
    <w:rsid w:val="00A64B5D"/>
    <w:rsid w:val="00A70EB7"/>
    <w:rsid w:val="00A72D01"/>
    <w:rsid w:val="00A77B3E"/>
    <w:rsid w:val="00A82356"/>
    <w:rsid w:val="00A8579C"/>
    <w:rsid w:val="00A91949"/>
    <w:rsid w:val="00A927C1"/>
    <w:rsid w:val="00A92C8C"/>
    <w:rsid w:val="00A930CF"/>
    <w:rsid w:val="00A955F4"/>
    <w:rsid w:val="00A976C2"/>
    <w:rsid w:val="00AA0BEF"/>
    <w:rsid w:val="00AA679C"/>
    <w:rsid w:val="00AA7543"/>
    <w:rsid w:val="00AB09A9"/>
    <w:rsid w:val="00AB5327"/>
    <w:rsid w:val="00AC4823"/>
    <w:rsid w:val="00AD00B9"/>
    <w:rsid w:val="00AD4BA0"/>
    <w:rsid w:val="00AD53BB"/>
    <w:rsid w:val="00AD6948"/>
    <w:rsid w:val="00AD6B15"/>
    <w:rsid w:val="00AE132A"/>
    <w:rsid w:val="00AE1ECD"/>
    <w:rsid w:val="00AE6022"/>
    <w:rsid w:val="00AF1DBB"/>
    <w:rsid w:val="00AF2538"/>
    <w:rsid w:val="00AF397C"/>
    <w:rsid w:val="00AF4352"/>
    <w:rsid w:val="00AF7023"/>
    <w:rsid w:val="00B0257E"/>
    <w:rsid w:val="00B03922"/>
    <w:rsid w:val="00B04FCA"/>
    <w:rsid w:val="00B051D0"/>
    <w:rsid w:val="00B074BD"/>
    <w:rsid w:val="00B12139"/>
    <w:rsid w:val="00B12786"/>
    <w:rsid w:val="00B15934"/>
    <w:rsid w:val="00B15D03"/>
    <w:rsid w:val="00B24A28"/>
    <w:rsid w:val="00B25B85"/>
    <w:rsid w:val="00B300A4"/>
    <w:rsid w:val="00B30902"/>
    <w:rsid w:val="00B317E7"/>
    <w:rsid w:val="00B3204C"/>
    <w:rsid w:val="00B326B9"/>
    <w:rsid w:val="00B411FD"/>
    <w:rsid w:val="00B43E43"/>
    <w:rsid w:val="00B45835"/>
    <w:rsid w:val="00B53776"/>
    <w:rsid w:val="00B60F26"/>
    <w:rsid w:val="00B6412A"/>
    <w:rsid w:val="00B64E0E"/>
    <w:rsid w:val="00B65261"/>
    <w:rsid w:val="00B66F6F"/>
    <w:rsid w:val="00B67780"/>
    <w:rsid w:val="00B70757"/>
    <w:rsid w:val="00B7286E"/>
    <w:rsid w:val="00B86C11"/>
    <w:rsid w:val="00B86FA3"/>
    <w:rsid w:val="00B909AE"/>
    <w:rsid w:val="00B94B04"/>
    <w:rsid w:val="00B9637F"/>
    <w:rsid w:val="00BA15FB"/>
    <w:rsid w:val="00BA208B"/>
    <w:rsid w:val="00BA3DFE"/>
    <w:rsid w:val="00BB6E59"/>
    <w:rsid w:val="00BB7037"/>
    <w:rsid w:val="00BC1D9F"/>
    <w:rsid w:val="00BC4631"/>
    <w:rsid w:val="00BD3915"/>
    <w:rsid w:val="00BD495F"/>
    <w:rsid w:val="00BE5EF1"/>
    <w:rsid w:val="00BF2C60"/>
    <w:rsid w:val="00BF3DBA"/>
    <w:rsid w:val="00C011DB"/>
    <w:rsid w:val="00C019D9"/>
    <w:rsid w:val="00C06D19"/>
    <w:rsid w:val="00C11E99"/>
    <w:rsid w:val="00C142EB"/>
    <w:rsid w:val="00C15769"/>
    <w:rsid w:val="00C16B86"/>
    <w:rsid w:val="00C178A3"/>
    <w:rsid w:val="00C17B7D"/>
    <w:rsid w:val="00C208C1"/>
    <w:rsid w:val="00C224A1"/>
    <w:rsid w:val="00C25B25"/>
    <w:rsid w:val="00C27291"/>
    <w:rsid w:val="00C31D3E"/>
    <w:rsid w:val="00C333B4"/>
    <w:rsid w:val="00C34DF7"/>
    <w:rsid w:val="00C3633B"/>
    <w:rsid w:val="00C37C09"/>
    <w:rsid w:val="00C435F3"/>
    <w:rsid w:val="00C437FE"/>
    <w:rsid w:val="00C448C5"/>
    <w:rsid w:val="00C4511C"/>
    <w:rsid w:val="00C54948"/>
    <w:rsid w:val="00C610C0"/>
    <w:rsid w:val="00C62696"/>
    <w:rsid w:val="00C7520E"/>
    <w:rsid w:val="00C7795C"/>
    <w:rsid w:val="00C80B7E"/>
    <w:rsid w:val="00C81556"/>
    <w:rsid w:val="00C8408A"/>
    <w:rsid w:val="00C85360"/>
    <w:rsid w:val="00C904CD"/>
    <w:rsid w:val="00C9173E"/>
    <w:rsid w:val="00C95E93"/>
    <w:rsid w:val="00CA2C91"/>
    <w:rsid w:val="00CA417A"/>
    <w:rsid w:val="00CA53AF"/>
    <w:rsid w:val="00CB32C8"/>
    <w:rsid w:val="00CB7048"/>
    <w:rsid w:val="00CB723E"/>
    <w:rsid w:val="00CC185D"/>
    <w:rsid w:val="00CD280E"/>
    <w:rsid w:val="00CD49EB"/>
    <w:rsid w:val="00CD77E2"/>
    <w:rsid w:val="00CE1416"/>
    <w:rsid w:val="00CE2C13"/>
    <w:rsid w:val="00CE2EB2"/>
    <w:rsid w:val="00CE2F67"/>
    <w:rsid w:val="00CE4B31"/>
    <w:rsid w:val="00CE5F8E"/>
    <w:rsid w:val="00CE6B4C"/>
    <w:rsid w:val="00CF0CBA"/>
    <w:rsid w:val="00D115B0"/>
    <w:rsid w:val="00D162E8"/>
    <w:rsid w:val="00D217FA"/>
    <w:rsid w:val="00D30214"/>
    <w:rsid w:val="00D374F4"/>
    <w:rsid w:val="00D47AA4"/>
    <w:rsid w:val="00D5069D"/>
    <w:rsid w:val="00D516FE"/>
    <w:rsid w:val="00D52A6B"/>
    <w:rsid w:val="00D544FA"/>
    <w:rsid w:val="00D54A22"/>
    <w:rsid w:val="00D560E1"/>
    <w:rsid w:val="00D63C4A"/>
    <w:rsid w:val="00D64444"/>
    <w:rsid w:val="00D70175"/>
    <w:rsid w:val="00D710D3"/>
    <w:rsid w:val="00D72CF6"/>
    <w:rsid w:val="00D77859"/>
    <w:rsid w:val="00D820DE"/>
    <w:rsid w:val="00D82584"/>
    <w:rsid w:val="00D83B15"/>
    <w:rsid w:val="00D94EEA"/>
    <w:rsid w:val="00D95664"/>
    <w:rsid w:val="00D97045"/>
    <w:rsid w:val="00DA6577"/>
    <w:rsid w:val="00DB0320"/>
    <w:rsid w:val="00DB096F"/>
    <w:rsid w:val="00DB0ED9"/>
    <w:rsid w:val="00DB479F"/>
    <w:rsid w:val="00DB744B"/>
    <w:rsid w:val="00DC1C59"/>
    <w:rsid w:val="00DD1318"/>
    <w:rsid w:val="00DD4335"/>
    <w:rsid w:val="00DE36DA"/>
    <w:rsid w:val="00DE6065"/>
    <w:rsid w:val="00DF0076"/>
    <w:rsid w:val="00DF1013"/>
    <w:rsid w:val="00DF23A3"/>
    <w:rsid w:val="00DF670B"/>
    <w:rsid w:val="00DF712D"/>
    <w:rsid w:val="00E03936"/>
    <w:rsid w:val="00E07BD6"/>
    <w:rsid w:val="00E11482"/>
    <w:rsid w:val="00E25698"/>
    <w:rsid w:val="00E257ED"/>
    <w:rsid w:val="00E325C3"/>
    <w:rsid w:val="00E34EB0"/>
    <w:rsid w:val="00E35C1B"/>
    <w:rsid w:val="00E42E9F"/>
    <w:rsid w:val="00E455CB"/>
    <w:rsid w:val="00E53185"/>
    <w:rsid w:val="00E617F4"/>
    <w:rsid w:val="00E622DE"/>
    <w:rsid w:val="00E6312B"/>
    <w:rsid w:val="00E6378E"/>
    <w:rsid w:val="00E64499"/>
    <w:rsid w:val="00E66EF4"/>
    <w:rsid w:val="00E671C5"/>
    <w:rsid w:val="00E702CE"/>
    <w:rsid w:val="00E71842"/>
    <w:rsid w:val="00E72889"/>
    <w:rsid w:val="00E72B6B"/>
    <w:rsid w:val="00E80304"/>
    <w:rsid w:val="00E8312F"/>
    <w:rsid w:val="00E863A9"/>
    <w:rsid w:val="00E865E4"/>
    <w:rsid w:val="00E900A0"/>
    <w:rsid w:val="00E91FBA"/>
    <w:rsid w:val="00E95407"/>
    <w:rsid w:val="00EA2E50"/>
    <w:rsid w:val="00EA2EEA"/>
    <w:rsid w:val="00EB1B47"/>
    <w:rsid w:val="00EB72D8"/>
    <w:rsid w:val="00EC008E"/>
    <w:rsid w:val="00EC3F23"/>
    <w:rsid w:val="00EC688D"/>
    <w:rsid w:val="00EC6D59"/>
    <w:rsid w:val="00ED0043"/>
    <w:rsid w:val="00ED3455"/>
    <w:rsid w:val="00ED4269"/>
    <w:rsid w:val="00ED70A7"/>
    <w:rsid w:val="00EE1463"/>
    <w:rsid w:val="00EE3238"/>
    <w:rsid w:val="00EE544B"/>
    <w:rsid w:val="00EE549D"/>
    <w:rsid w:val="00EF231C"/>
    <w:rsid w:val="00EF2841"/>
    <w:rsid w:val="00F02FEA"/>
    <w:rsid w:val="00F16BDC"/>
    <w:rsid w:val="00F225A8"/>
    <w:rsid w:val="00F24ACD"/>
    <w:rsid w:val="00F25F17"/>
    <w:rsid w:val="00F32BF4"/>
    <w:rsid w:val="00F366A0"/>
    <w:rsid w:val="00F403F8"/>
    <w:rsid w:val="00F40784"/>
    <w:rsid w:val="00F41C4B"/>
    <w:rsid w:val="00F43CAA"/>
    <w:rsid w:val="00F45786"/>
    <w:rsid w:val="00F46685"/>
    <w:rsid w:val="00F52164"/>
    <w:rsid w:val="00F56E20"/>
    <w:rsid w:val="00F57EBE"/>
    <w:rsid w:val="00F61DB9"/>
    <w:rsid w:val="00F622F1"/>
    <w:rsid w:val="00F63E07"/>
    <w:rsid w:val="00F65772"/>
    <w:rsid w:val="00F67FB2"/>
    <w:rsid w:val="00F72392"/>
    <w:rsid w:val="00F72483"/>
    <w:rsid w:val="00F746D1"/>
    <w:rsid w:val="00F75CAD"/>
    <w:rsid w:val="00F7631A"/>
    <w:rsid w:val="00F80D45"/>
    <w:rsid w:val="00F847CB"/>
    <w:rsid w:val="00F95783"/>
    <w:rsid w:val="00F97CBB"/>
    <w:rsid w:val="00FA0E7C"/>
    <w:rsid w:val="00FA139B"/>
    <w:rsid w:val="00FA2007"/>
    <w:rsid w:val="00FB0860"/>
    <w:rsid w:val="00FB1068"/>
    <w:rsid w:val="00FB2BAA"/>
    <w:rsid w:val="00FB3D87"/>
    <w:rsid w:val="00FB3ECE"/>
    <w:rsid w:val="00FB48EF"/>
    <w:rsid w:val="00FC2366"/>
    <w:rsid w:val="00FC6C9D"/>
    <w:rsid w:val="00FD4457"/>
    <w:rsid w:val="00FD7BF7"/>
    <w:rsid w:val="00FE1FB0"/>
    <w:rsid w:val="00FE6884"/>
    <w:rsid w:val="00FE77F9"/>
    <w:rsid w:val="00FF19FA"/>
    <w:rsid w:val="00FF5F7B"/>
    <w:rsid w:val="00FF6BFA"/>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14:docId w14:val="42CD8E73"/>
  <w15:docId w15:val="{11DDC47F-4DB3-4182-8921-9A60D4F2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0"/>
    </w:pPr>
    <w:rPr>
      <w:rFonts w:ascii="Source Sans Pro" w:eastAsia="Source Sans Pro" w:hAnsi="Source Sans Pro" w:cs="Source Sans Pro"/>
      <w:color w:val="282828"/>
    </w:rPr>
  </w:style>
  <w:style w:type="paragraph" w:styleId="Heading1">
    <w:name w:val="heading 1"/>
    <w:basedOn w:val="Normal"/>
    <w:next w:val="Normal"/>
    <w:uiPriority w:val="9"/>
    <w:qFormat/>
    <w:pPr>
      <w:outlineLvl w:val="0"/>
    </w:pPr>
    <w:rPr>
      <w:rFonts w:ascii="IBM Plex Sans" w:eastAsia="IBM Plex Sans" w:hAnsi="IBM Plex Sans" w:cs="IBM Plex Sans"/>
      <w:color w:val="3C78D8"/>
      <w:sz w:val="46"/>
      <w:szCs w:val="46"/>
    </w:rPr>
  </w:style>
  <w:style w:type="paragraph" w:styleId="Heading2">
    <w:name w:val="heading 2"/>
    <w:basedOn w:val="Normal"/>
    <w:next w:val="Normal"/>
    <w:uiPriority w:val="9"/>
    <w:unhideWhenUsed/>
    <w:qFormat/>
    <w:pPr>
      <w:outlineLvl w:val="1"/>
    </w:pPr>
    <w:rPr>
      <w:rFonts w:ascii="IBM Plex Sans" w:eastAsia="IBM Plex Sans" w:hAnsi="IBM Plex Sans" w:cs="IBM Plex Sans"/>
      <w:color w:val="3C78D8"/>
      <w:sz w:val="36"/>
      <w:szCs w:val="36"/>
    </w:rPr>
  </w:style>
  <w:style w:type="paragraph" w:styleId="Heading3">
    <w:name w:val="heading 3"/>
    <w:basedOn w:val="Normal"/>
    <w:next w:val="Normal"/>
    <w:uiPriority w:val="9"/>
    <w:unhideWhenUsed/>
    <w:qFormat/>
    <w:pPr>
      <w:outlineLvl w:val="2"/>
    </w:pPr>
    <w:rPr>
      <w:color w:val="3C78D8"/>
    </w:rPr>
  </w:style>
  <w:style w:type="paragraph" w:styleId="Heading4">
    <w:name w:val="heading 4"/>
    <w:basedOn w:val="Normal"/>
    <w:next w:val="Normal"/>
    <w:uiPriority w:val="9"/>
    <w:unhideWhenUsed/>
    <w:qFormat/>
    <w:pPr>
      <w:spacing w:after="85"/>
      <w:outlineLvl w:val="3"/>
    </w:pPr>
    <w:rPr>
      <w:sz w:val="24"/>
      <w:szCs w:val="2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pPr>
  </w:style>
  <w:style w:type="character" w:customStyle="1" w:styleId="FootnoteTextChar">
    <w:name w:val="Footnote Text Char"/>
    <w:link w:val="FootnoteText"/>
    <w:uiPriority w:val="99"/>
    <w:semiHidden/>
    <w:unhideWhenUsed/>
    <w:rPr>
      <w:sz w:val="20"/>
      <w:szCs w:val="20"/>
    </w:rPr>
  </w:style>
  <w:style w:type="paragraph" w:customStyle="1" w:styleId="PageNumber1">
    <w:name w:val="Page Number1"/>
    <w:basedOn w:val="Normal"/>
    <w:rPr>
      <w:color w:val="3C78D8"/>
    </w:rPr>
  </w:style>
  <w:style w:type="character" w:customStyle="1" w:styleId="SocialProfileLink">
    <w:name w:val="Social Profile Link"/>
    <w:uiPriority w:val="99"/>
    <w:unhideWhenUsed/>
    <w:rPr>
      <w:color w:val="3C78D8"/>
      <w:sz w:val="18"/>
      <w:szCs w:val="18"/>
    </w:rPr>
  </w:style>
  <w:style w:type="table" w:styleId="TableGrid">
    <w:name w:val="Table Grid"/>
    <w:basedOn w:val="TableNormal"/>
    <w:uiPriority w:val="39"/>
    <w:rsid w:val="00554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style>
  <w:style w:type="paragraph" w:styleId="Header">
    <w:name w:val="header"/>
    <w:basedOn w:val="Normal"/>
    <w:link w:val="HeaderChar"/>
    <w:uiPriority w:val="99"/>
    <w:unhideWhenUsed/>
    <w:rsid w:val="00EE1463"/>
    <w:pPr>
      <w:tabs>
        <w:tab w:val="center" w:pos="4680"/>
        <w:tab w:val="right" w:pos="9360"/>
      </w:tabs>
      <w:spacing w:after="0"/>
    </w:pPr>
  </w:style>
  <w:style w:type="character" w:customStyle="1" w:styleId="HeaderChar">
    <w:name w:val="Header Char"/>
    <w:basedOn w:val="DefaultParagraphFont"/>
    <w:link w:val="Header"/>
    <w:uiPriority w:val="99"/>
    <w:rsid w:val="00EE1463"/>
    <w:rPr>
      <w:rFonts w:ascii="Source Sans Pro" w:eastAsia="Source Sans Pro" w:hAnsi="Source Sans Pro" w:cs="Source Sans Pro"/>
      <w:color w:val="282828"/>
    </w:rPr>
  </w:style>
  <w:style w:type="paragraph" w:styleId="Footer">
    <w:name w:val="footer"/>
    <w:basedOn w:val="Normal"/>
    <w:link w:val="FooterChar"/>
    <w:uiPriority w:val="99"/>
    <w:unhideWhenUsed/>
    <w:rsid w:val="00EE1463"/>
    <w:pPr>
      <w:tabs>
        <w:tab w:val="center" w:pos="4680"/>
        <w:tab w:val="right" w:pos="9360"/>
      </w:tabs>
      <w:spacing w:after="0"/>
    </w:pPr>
  </w:style>
  <w:style w:type="character" w:customStyle="1" w:styleId="FooterChar">
    <w:name w:val="Footer Char"/>
    <w:basedOn w:val="DefaultParagraphFont"/>
    <w:link w:val="Footer"/>
    <w:uiPriority w:val="99"/>
    <w:rsid w:val="00EE1463"/>
    <w:rPr>
      <w:rFonts w:ascii="Source Sans Pro" w:eastAsia="Source Sans Pro" w:hAnsi="Source Sans Pro" w:cs="Source Sans Pro"/>
      <w:color w:val="282828"/>
    </w:rPr>
  </w:style>
  <w:style w:type="paragraph" w:styleId="NoSpacing">
    <w:name w:val="No Spacing"/>
    <w:uiPriority w:val="1"/>
    <w:qFormat/>
    <w:rsid w:val="006E2FCF"/>
    <w:rPr>
      <w:rFonts w:asciiTheme="minorHAnsi" w:eastAsiaTheme="minorEastAsia" w:hAnsiTheme="minorHAnsi" w:cstheme="minorBidi"/>
      <w:sz w:val="22"/>
      <w:szCs w:val="22"/>
    </w:rPr>
  </w:style>
  <w:style w:type="table" w:styleId="GridTable4Accent3">
    <w:name w:val="Grid Table 4 Accent 3"/>
    <w:basedOn w:val="TableNormal"/>
    <w:uiPriority w:val="49"/>
    <w:rsid w:val="006E2FCF"/>
    <w:rPr>
      <w:rFonts w:asciiTheme="minorHAnsi" w:eastAsiaTheme="minorEastAsia" w:hAnsiTheme="minorHAnsi" w:cstheme="minorBid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FirstCompanyBlock">
    <w:name w:val="First Company Block"/>
    <w:basedOn w:val="Normal"/>
    <w:qFormat/>
    <w:rsid w:val="00252BC5"/>
    <w:pPr>
      <w:tabs>
        <w:tab w:val="right" w:pos="10800"/>
      </w:tabs>
      <w:spacing w:after="180"/>
      <w:contextualSpacing/>
    </w:pPr>
    <w:rPr>
      <w:rFonts w:ascii="Helvetica" w:eastAsia="Calibri" w:hAnsi="Helvetica" w:cs="Helvetica"/>
      <w:b/>
      <w:bCs/>
      <w:color w:val="005F65"/>
    </w:rPr>
  </w:style>
  <w:style w:type="character" w:styleId="UnresolvedMention">
    <w:name w:val="Unresolved Mention"/>
    <w:basedOn w:val="DefaultParagraphFont"/>
    <w:uiPriority w:val="99"/>
    <w:semiHidden/>
    <w:unhideWhenUsed/>
    <w:rsid w:val="00052C7E"/>
    <w:rPr>
      <w:color w:val="605E5C"/>
      <w:shd w:val="clear" w:color="auto" w:fill="E1DFDD"/>
    </w:rPr>
  </w:style>
  <w:style w:type="paragraph" w:customStyle="1" w:styleId="Heading20">
    <w:name w:val="Heading 2_0"/>
    <w:basedOn w:val="Normal"/>
    <w:next w:val="Normal0"/>
    <w:qFormat/>
    <w:rsid w:val="00EF7B96"/>
    <w:pPr>
      <w:keepNext/>
      <w:spacing w:before="240" w:after="60"/>
      <w:outlineLvl w:val="1"/>
    </w:pPr>
    <w:rPr>
      <w:rFonts w:ascii="Arial" w:eastAsia="Times New Roman" w:hAnsi="Arial" w:cs="Arial"/>
      <w:b/>
      <w:bCs/>
      <w:i/>
      <w:iCs/>
      <w:color w:val="auto"/>
      <w:sz w:val="28"/>
      <w:szCs w:val="28"/>
    </w:rPr>
  </w:style>
  <w:style w:type="paragraph" w:customStyle="1" w:styleId="Normal0">
    <w:name w:val="Normal_0"/>
    <w:qFormat/>
    <w:rPr>
      <w:sz w:val="24"/>
      <w:szCs w:val="24"/>
    </w:rPr>
  </w:style>
  <w:style w:type="paragraph" w:customStyle="1" w:styleId="Heading30">
    <w:name w:val="Heading 3_0"/>
    <w:basedOn w:val="Normal"/>
    <w:next w:val="Normal0"/>
    <w:qFormat/>
    <w:rsid w:val="00EF7B96"/>
    <w:pPr>
      <w:keepNext/>
      <w:spacing w:before="240" w:after="60"/>
      <w:outlineLvl w:val="2"/>
    </w:pPr>
    <w:rPr>
      <w:rFonts w:ascii="Arial" w:eastAsia="Times New Roman" w:hAnsi="Arial" w:cs="Arial"/>
      <w:b/>
      <w:bCs/>
      <w:color w:val="auto"/>
      <w:sz w:val="26"/>
      <w:szCs w:val="26"/>
    </w:rPr>
  </w:style>
  <w:style w:type="table" w:customStyle="1" w:styleId="table">
    <w:name w:val="table"/>
    <w:basedOn w:val="TableNormal"/>
    <w:tblPr/>
  </w:style>
  <w:style w:type="paragraph" w:customStyle="1" w:styleId="Heading10">
    <w:name w:val="Heading 1_0"/>
    <w:basedOn w:val="Normal"/>
    <w:next w:val="Normal"/>
    <w:uiPriority w:val="9"/>
    <w:qFormat/>
    <w:pPr>
      <w:outlineLvl w:val="0"/>
    </w:pPr>
    <w:rPr>
      <w:rFonts w:ascii="IBM Plex Sans" w:eastAsia="IBM Plex Sans" w:hAnsi="IBM Plex Sans" w:cs="IBM Plex Sans"/>
      <w:color w:val="3C78D8"/>
      <w:sz w:val="46"/>
      <w:szCs w:val="46"/>
    </w:rPr>
  </w:style>
  <w:style w:type="paragraph" w:customStyle="1" w:styleId="Heading40">
    <w:name w:val="Heading 4_0"/>
    <w:basedOn w:val="Normal"/>
    <w:next w:val="Normal"/>
    <w:uiPriority w:val="9"/>
    <w:unhideWhenUsed/>
    <w:qFormat/>
    <w:pPr>
      <w:spacing w:after="85"/>
      <w:outlineLvl w:val="3"/>
    </w:pPr>
    <w:rPr>
      <w:sz w:val="24"/>
      <w:szCs w:val="24"/>
    </w:rPr>
  </w:style>
  <w:style w:type="paragraph" w:customStyle="1" w:styleId="Heading31">
    <w:name w:val="Heading 3_1"/>
    <w:basedOn w:val="Normal"/>
    <w:next w:val="Normal"/>
    <w:uiPriority w:val="9"/>
    <w:unhideWhenUsed/>
    <w:qFormat/>
    <w:pPr>
      <w:outlineLvl w:val="2"/>
    </w:pPr>
    <w:rPr>
      <w:color w:val="3C78D8"/>
    </w:rPr>
  </w:style>
  <w:style w:type="paragraph" w:customStyle="1" w:styleId="Heading21">
    <w:name w:val="Heading 2_1"/>
    <w:basedOn w:val="Normal"/>
    <w:next w:val="Normal"/>
    <w:uiPriority w:val="9"/>
    <w:unhideWhenUsed/>
    <w:qFormat/>
    <w:pPr>
      <w:outlineLvl w:val="1"/>
    </w:pPr>
    <w:rPr>
      <w:rFonts w:ascii="IBM Plex Sans" w:eastAsia="IBM Plex Sans" w:hAnsi="IBM Plex Sans" w:cs="IBM Plex Sans"/>
      <w:color w:val="3C78D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 TargetMode="External" /><Relationship Id="rId5" Type="http://schemas.openxmlformats.org/officeDocument/2006/relationships/hyperlink" Target="http://www.linkedin.com/in/thuduraspiert"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1000</Words>
  <Characters>6785</Characters>
  <Application>Microsoft Office Word</Application>
  <DocSecurity>0</DocSecurity>
  <Lines>104</Lines>
  <Paragraphs>68</Paragraphs>
  <ScaleCrop>false</ScaleCrop>
  <HeadingPairs>
    <vt:vector size="2" baseType="variant">
      <vt:variant>
        <vt:lpstr>Title</vt:lpstr>
      </vt:variant>
      <vt:variant>
        <vt:i4>1</vt:i4>
      </vt:variant>
    </vt:vector>
  </HeadingPairs>
  <TitlesOfParts>
    <vt:vector size="1" baseType="lpstr">
      <vt:lpstr>Evangel Okafor's Resume</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Thuduras Piert's Resume</dc:title>
  <dc:creator>Thuduras Piert</dc:creator>
  <cp:lastModifiedBy>Thuduras Piert</cp:lastModifiedBy>
  <cp:revision>2</cp:revision>
  <dcterms:created xsi:type="dcterms:W3CDTF">2024-08-08T14:09:00Z</dcterms:created>
  <dcterms:modified xsi:type="dcterms:W3CDTF">2024-08-08T14:09:00Z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1283051</vt:lpwstr>
  </property>
  <property fmtid="{D5CDD505-2E9C-101B-9397-08002B2CF9AE}" pid="3" name="app_source">
    <vt:lpwstr>rezbiz</vt:lpwstr>
  </property>
  <property fmtid="{D5CDD505-2E9C-101B-9397-08002B2CF9AE}" pid="4" name="GrammarlyDocumentId">
    <vt:lpwstr>61377228b3bb21b2a1df5ed71c65e073e7d5e20bd990a2ebc4f8e43bed2a99ad</vt:lpwstr>
  </property>
  <property fmtid="{D5CDD505-2E9C-101B-9397-08002B2CF9AE}" pid="5" name="tal_id">
    <vt:lpwstr>26962858faee67813aa7c3dea4b7ddf6</vt:lpwstr>
  </property>
</Properties>
</file>