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Saurabh Srivastava</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Principal, Digital Product Risk / Program Management @ Citibank NA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yrd-t3v-2nd@mail.dice.com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6304148589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Principal, Product / Program Management PMO/BMO Head @ JP Morgan Chase &amp; Co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Product Manager, Project Manager, Program Manager, Risk Control Manager, Technology Control Manager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New York, NY,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Has Security Clearance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21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Masters @ Brenan School of Business, Dominican University</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Bachelors @ MNREC, UP Technical University</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Pre-Doctorate @ Wharton, University of Pennsylvania</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Pre-Doctorate @ Columbia University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4C329E" w:rsidP="00BD09FF" w14:paraId="7C2111E5" w14:textId="15B9EEDE">
      <w:pPr>
        <w:jc w:val="center"/>
        <w:rPr>
          <w:rFonts w:ascii="Calibri" w:hAnsi="Calibri" w:cs="Calibri"/>
          <w:b/>
          <w:bCs/>
          <w:sz w:val="28"/>
          <w:szCs w:val="28"/>
        </w:rPr>
      </w:pPr>
      <w:r>
        <w:rPr>
          <w:rFonts w:ascii="Calibri" w:hAnsi="Calibri" w:cs="Calibri"/>
          <w:b/>
          <w:bCs/>
          <w:sz w:val="28"/>
          <w:szCs w:val="28"/>
        </w:rPr>
        <w:t xml:space="preserve">SAURABH </w:t>
      </w:r>
      <w:r w:rsidR="009247CD">
        <w:rPr>
          <w:rFonts w:ascii="Calibri" w:hAnsi="Calibri" w:cs="Calibri"/>
          <w:b/>
          <w:bCs/>
          <w:sz w:val="28"/>
          <w:szCs w:val="28"/>
        </w:rPr>
        <w:t xml:space="preserve">K. </w:t>
      </w:r>
      <w:r>
        <w:rPr>
          <w:rFonts w:ascii="Calibri" w:hAnsi="Calibri" w:cs="Calibri"/>
          <w:b/>
          <w:bCs/>
          <w:sz w:val="28"/>
          <w:szCs w:val="28"/>
        </w:rPr>
        <w:t>SRIVASTAVA</w:t>
      </w:r>
    </w:p>
    <w:p w:rsidR="00FB6019" w:rsidRPr="00FB6019" w:rsidP="00FB6019" w14:paraId="181C7937" w14:textId="2A948912">
      <w:pPr>
        <w:pBdr>
          <w:bottom w:val="single" w:sz="4" w:space="3" w:color="auto"/>
        </w:pBdr>
        <w:rPr>
          <w:rFonts w:ascii="Calibri" w:hAnsi="Calibri" w:cs="Calibri"/>
        </w:rPr>
      </w:pPr>
      <w:r w:rsidRPr="00FB6019">
        <w:rPr>
          <w:rFonts w:ascii="Calibri" w:hAnsi="Calibri" w:cs="Calibri"/>
        </w:rPr>
        <w:t xml:space="preserve">Email: </w:t>
      </w:r>
      <w:hyperlink r:id="rId4" w:history="1"/>
      <w:r w:rsidRPr="00FB6019">
        <w:rPr>
          <w:rFonts w:ascii="Calibri" w:hAnsi="Calibri" w:cs="Calibri"/>
        </w:rPr>
        <w:t xml:space="preserve">                                                                                            Phone: </w:t>
      </w:r>
      <w:r w:rsidRPr="00FB6019">
        <w:rPr>
          <w:rFonts w:ascii="Calibri" w:hAnsi="Calibri" w:cs="Calibri"/>
        </w:rPr>
        <w:t xml:space="preserve">                   </w:t>
      </w:r>
    </w:p>
    <w:p w:rsidR="004C329E" w:rsidRPr="004C329E" w:rsidP="00FB6019" w14:paraId="1BB872A2" w14:textId="774D68EB">
      <w:pPr>
        <w:pBdr>
          <w:bottom w:val="single" w:sz="4" w:space="3" w:color="auto"/>
        </w:pBdr>
        <w:rPr>
          <w:rFonts w:ascii="Calibri" w:hAnsi="Calibri" w:cs="Calibri"/>
        </w:rPr>
      </w:pPr>
      <w:r w:rsidRPr="00FB6019">
        <w:rPr>
          <w:rFonts w:ascii="Calibri" w:hAnsi="Calibri" w:cs="Calibri"/>
        </w:rPr>
        <w:t xml:space="preserve">LinkedIn: </w:t>
      </w:r>
      <w:hyperlink r:id="rId5" w:history="1">
        <w:r w:rsidRPr="00FB6019">
          <w:rPr>
            <w:rStyle w:val="Hyperlink"/>
            <w:rFonts w:ascii="Calibri" w:hAnsi="Calibri" w:cs="Calibri"/>
          </w:rPr>
          <w:t>https://www.linkedin.com/in/saurabh-srivastav-57a0586b/</w:t>
        </w:r>
      </w:hyperlink>
      <w:r w:rsidRPr="00FB6019">
        <w:rPr>
          <w:rFonts w:ascii="Calibri" w:hAnsi="Calibri" w:cs="Calibri"/>
        </w:rPr>
        <w:t xml:space="preserve"> </w:t>
      </w:r>
      <w:r w:rsidRPr="00FB6019" w:rsidR="00AD4CAB">
        <w:rPr>
          <w:rFonts w:ascii="Calibri" w:hAnsi="Calibri" w:cs="Calibri"/>
        </w:rPr>
        <w:t xml:space="preserve">                                              </w:t>
      </w:r>
      <w:r w:rsidR="005A1C64">
        <w:rPr>
          <w:rFonts w:ascii="Calibri" w:hAnsi="Calibri" w:cs="Calibri"/>
        </w:rPr>
        <w:t xml:space="preserve">  </w:t>
      </w:r>
      <w:r w:rsidRPr="00FB6019" w:rsidR="00AD4CAB">
        <w:rPr>
          <w:rFonts w:ascii="Calibri" w:hAnsi="Calibri" w:cs="Calibri"/>
        </w:rPr>
        <w:t xml:space="preserve"> </w:t>
      </w:r>
      <w:r w:rsidRPr="00FB6019">
        <w:rPr>
          <w:rFonts w:ascii="Calibri" w:hAnsi="Calibri" w:cs="Calibri"/>
        </w:rPr>
        <w:t xml:space="preserve"> </w:t>
      </w:r>
      <w:r w:rsidRPr="00FB6019" w:rsidR="00F24AD1">
        <w:rPr>
          <w:rFonts w:ascii="Calibri" w:hAnsi="Calibri" w:cs="Calibri"/>
        </w:rPr>
        <w:t xml:space="preserve">New York City, NY </w:t>
      </w:r>
      <w:r w:rsidR="00F24AD1">
        <w:rPr>
          <w:rFonts w:ascii="Calibri" w:hAnsi="Calibri" w:cs="Calibri"/>
        </w:rPr>
        <w:t xml:space="preserve">                                                                                                                  </w:t>
      </w:r>
      <w:r w:rsidRPr="00FE7A25" w:rsidR="00F24AD1">
        <w:rPr>
          <w:rFonts w:ascii="Calibri" w:hAnsi="Calibri" w:cs="Calibri"/>
          <w:color w:val="0000FF"/>
        </w:rPr>
        <w:t xml:space="preserve"> </w:t>
      </w:r>
      <w:r>
        <w:rPr>
          <w:rFonts w:ascii="Calibri" w:hAnsi="Calibri" w:cs="Calibri"/>
        </w:rPr>
        <w:t xml:space="preserve"> </w:t>
      </w:r>
      <w:r w:rsidR="00AD4CAB">
        <w:rPr>
          <w:rFonts w:ascii="Calibri" w:hAnsi="Calibri" w:cs="Calibri"/>
        </w:rPr>
        <w:t xml:space="preserve">                                                                                                                                                                                     </w:t>
      </w:r>
      <w:r w:rsidR="001F7AC9">
        <w:rPr>
          <w:rFonts w:ascii="Calibri" w:hAnsi="Calibri" w:cs="Calibri"/>
        </w:rPr>
        <w:t xml:space="preserve"> </w:t>
      </w:r>
    </w:p>
    <w:p w:rsidR="004C329E" w:rsidRPr="004C329E" w:rsidP="00BC40DC" w14:paraId="0E126ED2" w14:textId="77777777">
      <w:pPr>
        <w:jc w:val="both"/>
        <w:rPr>
          <w:rFonts w:ascii="Calibri" w:hAnsi="Calibri" w:cs="Calibri"/>
        </w:rPr>
      </w:pPr>
    </w:p>
    <w:p w:rsidR="00AD4CAB" w:rsidP="0097192A" w14:paraId="4A4318E6" w14:textId="21E7922B">
      <w:pPr>
        <w:spacing w:before="100" w:beforeAutospacing="1" w:after="100" w:afterAutospacing="1"/>
        <w:contextualSpacing/>
        <w:jc w:val="center"/>
        <w:rPr>
          <w:rFonts w:ascii="Calibri" w:hAnsi="Calibri" w:cs="Calibri"/>
          <w:b/>
          <w:sz w:val="24"/>
          <w:szCs w:val="24"/>
        </w:rPr>
      </w:pPr>
      <w:r w:rsidRPr="00452CCA">
        <w:rPr>
          <w:rFonts w:ascii="Calibri" w:hAnsi="Calibri" w:cs="Calibri"/>
          <w:b/>
          <w:sz w:val="24"/>
          <w:szCs w:val="24"/>
        </w:rPr>
        <w:t xml:space="preserve">SENIOR </w:t>
      </w:r>
      <w:r w:rsidR="00174D68">
        <w:rPr>
          <w:rFonts w:ascii="Calibri" w:hAnsi="Calibri" w:cs="Calibri"/>
          <w:b/>
          <w:sz w:val="24"/>
          <w:szCs w:val="24"/>
        </w:rPr>
        <w:t>PRINCIPAL CONSULTANT (PROGRAM / PRODUCT MANAGEMENT)</w:t>
      </w:r>
    </w:p>
    <w:p w:rsidR="0097192A" w:rsidRPr="00452CCA" w:rsidP="0097192A" w14:paraId="4BDF39E3" w14:textId="77777777">
      <w:pPr>
        <w:spacing w:before="100" w:beforeAutospacing="1" w:after="100" w:afterAutospacing="1"/>
        <w:contextualSpacing/>
        <w:jc w:val="center"/>
        <w:rPr>
          <w:rFonts w:ascii="Calibri" w:hAnsi="Calibri" w:cs="Calibri"/>
          <w:b/>
          <w:sz w:val="24"/>
          <w:szCs w:val="24"/>
        </w:rPr>
      </w:pPr>
    </w:p>
    <w:p w:rsidR="00FE05F0" w:rsidP="0097192A" w14:paraId="651783EE" w14:textId="425DEE64">
      <w:pPr>
        <w:spacing w:before="100" w:beforeAutospacing="1" w:after="100" w:afterAutospacing="1"/>
        <w:contextualSpacing/>
        <w:jc w:val="both"/>
        <w:rPr>
          <w:rFonts w:ascii="Calibri" w:hAnsi="Calibri" w:cs="Calibri"/>
        </w:rPr>
      </w:pPr>
      <w:r w:rsidRPr="0097192A">
        <w:rPr>
          <w:rFonts w:ascii="Calibri" w:hAnsi="Calibri" w:cs="Calibri"/>
        </w:rPr>
        <w:t xml:space="preserve">Strategic Global Technology </w:t>
      </w:r>
      <w:r>
        <w:rPr>
          <w:rFonts w:ascii="Calibri" w:hAnsi="Calibri" w:cs="Calibri"/>
        </w:rPr>
        <w:t>consultant</w:t>
      </w:r>
      <w:r w:rsidRPr="0097192A">
        <w:rPr>
          <w:rFonts w:ascii="Calibri" w:hAnsi="Calibri" w:cs="Calibri"/>
        </w:rPr>
        <w:t xml:space="preserve"> with 18+ years of demonstrated expertise across diverse domains, encompassing CxO Program Management Strategy, Client Advisory, New Business/Product Development, AI/ML-driven Application Services Modernization &amp; Integration, and Emerging Technologies. Proficient in catalyzing revenue expansion through adept Enterprise Change Management, elevating Technology Infrastructure, and integrating Data Privacy Practices into Governance, Regulatory Risk, and Compliance Oversight Frameworks. Dedicated to fostering customer-centric product design and enhancing overall customer experience.</w:t>
      </w:r>
    </w:p>
    <w:p w:rsidR="0097192A" w:rsidP="0097192A" w14:paraId="288F49EC" w14:textId="77777777">
      <w:pPr>
        <w:spacing w:before="100" w:beforeAutospacing="1" w:after="100" w:afterAutospacing="1"/>
        <w:contextualSpacing/>
        <w:jc w:val="both"/>
        <w:rPr>
          <w:rFonts w:ascii="Calibri" w:hAnsi="Calibri" w:cs="Calibri"/>
        </w:rPr>
      </w:pPr>
    </w:p>
    <w:p w:rsidR="009247CD" w:rsidRPr="004C329E" w:rsidP="0097192A" w14:paraId="258A71D5" w14:textId="77777777">
      <w:pPr>
        <w:pBdr>
          <w:bottom w:val="single" w:sz="4" w:space="3" w:color="auto"/>
        </w:pBdr>
        <w:spacing w:before="100" w:beforeAutospacing="1" w:after="100" w:afterAutospacing="1"/>
        <w:contextualSpacing/>
        <w:rPr>
          <w:rFonts w:ascii="Calibri" w:hAnsi="Calibri" w:cs="Calibri"/>
        </w:rPr>
      </w:pPr>
      <w:r w:rsidRPr="003B1B06">
        <w:rPr>
          <w:rFonts w:ascii="Calibri" w:hAnsi="Calibri" w:cs="Calibri"/>
          <w:b/>
          <w:bCs/>
        </w:rPr>
        <w:t xml:space="preserve">CORE </w:t>
      </w:r>
      <w:r w:rsidR="00BD09FF">
        <w:rPr>
          <w:rFonts w:ascii="Calibri" w:hAnsi="Calibri" w:cs="Calibri"/>
          <w:b/>
          <w:bCs/>
        </w:rPr>
        <w:t>FUNCTION COMPETENCIES:</w:t>
      </w:r>
      <w:r w:rsidRPr="001F7AC9">
        <w:rPr>
          <w:rFonts w:ascii="Calibri" w:hAnsi="Calibri" w:cs="Calibri"/>
        </w:rPr>
        <w:t xml:space="preserve"> </w:t>
      </w:r>
      <w:r>
        <w:rPr>
          <w:rFonts w:ascii="Calibri" w:hAnsi="Calibri" w:cs="Calibri"/>
        </w:rPr>
        <w:t xml:space="preserve">                                                                                                                                                                                       </w:t>
      </w:r>
    </w:p>
    <w:tbl>
      <w:tblPr>
        <w:tblStyle w:val="TableNormal"/>
        <w:tblW w:w="10559" w:type="dxa"/>
        <w:tblLook w:val="04A0"/>
      </w:tblPr>
      <w:tblGrid>
        <w:gridCol w:w="10559"/>
      </w:tblGrid>
      <w:tr w14:paraId="0547B5B0"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P="003463C2" w14:paraId="20048158" w14:textId="77777777">
            <w:pPr>
              <w:pStyle w:val="ListParagraph"/>
              <w:numPr>
                <w:ilvl w:val="0"/>
                <w:numId w:val="11"/>
              </w:numPr>
              <w:rPr>
                <w:rFonts w:ascii="Calibri" w:eastAsia="Times New Roman" w:hAnsi="Calibri" w:cs="Calibri"/>
                <w:kern w:val="0"/>
                <w14:ligatures w14:val="none"/>
              </w:rPr>
            </w:pPr>
            <w:r>
              <w:rPr>
                <w:rFonts w:ascii="Calibri" w:hAnsi="Calibri" w:cs="Calibri"/>
              </w:rPr>
              <w:t>Enterprise PMO – Program, Product, Organization, and Enterprise Change Management</w:t>
            </w:r>
            <w:r>
              <w:rPr>
                <w:rFonts w:ascii="Calibri" w:eastAsia="Times New Roman" w:hAnsi="Calibri" w:cs="Calibri"/>
                <w:kern w:val="0"/>
                <w14:ligatures w14:val="none"/>
              </w:rPr>
              <w:t xml:space="preserve"> </w:t>
            </w:r>
          </w:p>
          <w:p w:rsidR="003463C2" w:rsidRPr="00C20A7B" w:rsidP="003463C2" w14:paraId="67E2DD11" w14:textId="23146719">
            <w:pPr>
              <w:pStyle w:val="ListParagraph"/>
              <w:numPr>
                <w:ilvl w:val="0"/>
                <w:numId w:val="11"/>
              </w:numPr>
              <w:rPr>
                <w:rFonts w:ascii="Calibri" w:eastAsia="Times New Roman" w:hAnsi="Calibri" w:cs="Calibri"/>
                <w:kern w:val="0"/>
                <w14:ligatures w14:val="none"/>
              </w:rPr>
            </w:pPr>
            <w:r>
              <w:rPr>
                <w:rFonts w:ascii="Calibri" w:eastAsia="Times New Roman" w:hAnsi="Calibri" w:cs="Calibri"/>
                <w:kern w:val="0"/>
                <w14:ligatures w14:val="none"/>
              </w:rPr>
              <w:t>M&amp;A, Application Modernization, Service Migration, Enterprise Data Risk Product, Platform &amp; Data Analytics</w:t>
            </w:r>
          </w:p>
        </w:tc>
      </w:tr>
      <w:tr w14:paraId="65C9BB48"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2B11D29E" w14:textId="77777777">
            <w:pPr>
              <w:pStyle w:val="ListParagraph"/>
              <w:numPr>
                <w:ilvl w:val="0"/>
                <w:numId w:val="11"/>
              </w:numPr>
              <w:rPr>
                <w:rFonts w:ascii="Calibri" w:eastAsia="Times New Roman" w:hAnsi="Calibri" w:cs="Calibri"/>
                <w:kern w:val="0"/>
                <w14:ligatures w14:val="none"/>
              </w:rPr>
            </w:pPr>
            <w:r>
              <w:rPr>
                <w:rFonts w:ascii="Calibri" w:eastAsia="Times New Roman" w:hAnsi="Calibri" w:cs="Calibri"/>
                <w:kern w:val="0"/>
                <w14:ligatures w14:val="none"/>
              </w:rPr>
              <w:t>Open Banking, Digital Wallet</w:t>
            </w:r>
            <w:r w:rsidRPr="00C20A7B">
              <w:rPr>
                <w:rFonts w:ascii="Calibri" w:eastAsia="Times New Roman" w:hAnsi="Calibri" w:cs="Calibri"/>
                <w:kern w:val="0"/>
                <w14:ligatures w14:val="none"/>
              </w:rPr>
              <w:t xml:space="preserve"> &amp; Cards (B2B, B2C, and D2C) Payment Processing API</w:t>
            </w:r>
          </w:p>
        </w:tc>
      </w:tr>
      <w:tr w14:paraId="57AFACCE"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0722A8BA" w14:textId="77777777">
            <w:pPr>
              <w:pStyle w:val="ListParagraph"/>
              <w:numPr>
                <w:ilvl w:val="0"/>
                <w:numId w:val="11"/>
              </w:numPr>
              <w:rPr>
                <w:rFonts w:ascii="Calibri" w:eastAsia="Times New Roman" w:hAnsi="Calibri" w:cs="Calibri"/>
                <w:kern w:val="0"/>
                <w14:ligatures w14:val="none"/>
              </w:rPr>
            </w:pPr>
            <w:r>
              <w:rPr>
                <w:rFonts w:ascii="Calibri" w:eastAsia="Times New Roman" w:hAnsi="Calibri" w:cs="Calibri"/>
                <w:kern w:val="0"/>
                <w14:ligatures w14:val="none"/>
              </w:rPr>
              <w:t xml:space="preserve">Business Strategy &amp; Planning, Team Leadership, </w:t>
            </w:r>
            <w:r w:rsidRPr="00C20A7B">
              <w:rPr>
                <w:rFonts w:ascii="Calibri" w:eastAsia="Times New Roman" w:hAnsi="Calibri" w:cs="Calibri"/>
                <w:kern w:val="0"/>
                <w14:ligatures w14:val="none"/>
              </w:rPr>
              <w:t>Stakeholder Management &amp; Executive Reporting</w:t>
            </w:r>
          </w:p>
        </w:tc>
      </w:tr>
      <w:tr w14:paraId="55512D62"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09852E62" w14:textId="42060627">
            <w:pPr>
              <w:pStyle w:val="ListParagraph"/>
              <w:numPr>
                <w:ilvl w:val="0"/>
                <w:numId w:val="11"/>
              </w:numPr>
              <w:rPr>
                <w:rFonts w:ascii="Calibri" w:eastAsia="Times New Roman" w:hAnsi="Calibri" w:cs="Calibri"/>
                <w:kern w:val="0"/>
                <w14:ligatures w14:val="none"/>
              </w:rPr>
            </w:pPr>
            <w:r w:rsidRPr="00C20A7B">
              <w:rPr>
                <w:rFonts w:ascii="Calibri" w:eastAsia="Times New Roman" w:hAnsi="Calibri" w:cs="Calibri"/>
                <w:kern w:val="0"/>
                <w14:ligatures w14:val="none"/>
              </w:rPr>
              <w:t xml:space="preserve">Regulatory Engagement, Operation Risk &amp; Compliance </w:t>
            </w:r>
            <w:r>
              <w:rPr>
                <w:rFonts w:ascii="Calibri" w:eastAsia="Times New Roman" w:hAnsi="Calibri" w:cs="Calibri"/>
                <w:kern w:val="0"/>
                <w14:ligatures w14:val="none"/>
              </w:rPr>
              <w:t>(GRC, AML/KYC, Sanctions, MCA/RCSA, Internal Audit)</w:t>
            </w:r>
          </w:p>
        </w:tc>
      </w:tr>
      <w:tr w14:paraId="087B19F3"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2646E2E4" w14:textId="77777777">
            <w:pPr>
              <w:pStyle w:val="ListParagraph"/>
              <w:numPr>
                <w:ilvl w:val="0"/>
                <w:numId w:val="11"/>
              </w:numPr>
              <w:rPr>
                <w:rFonts w:ascii="Calibri" w:eastAsia="Times New Roman" w:hAnsi="Calibri" w:cs="Calibri"/>
                <w:kern w:val="0"/>
                <w14:ligatures w14:val="none"/>
              </w:rPr>
            </w:pPr>
            <w:r>
              <w:rPr>
                <w:rFonts w:ascii="Calibri" w:eastAsia="Times New Roman" w:hAnsi="Calibri" w:cs="Calibri"/>
                <w:kern w:val="0"/>
                <w14:ligatures w14:val="none"/>
              </w:rPr>
              <w:t xml:space="preserve">Data Privacy, IAM, </w:t>
            </w:r>
            <w:r w:rsidRPr="00C20A7B">
              <w:rPr>
                <w:rFonts w:ascii="Calibri" w:eastAsia="Times New Roman" w:hAnsi="Calibri" w:cs="Calibri"/>
                <w:kern w:val="0"/>
                <w14:ligatures w14:val="none"/>
              </w:rPr>
              <w:t xml:space="preserve">Cyber Security Policies, Standards, </w:t>
            </w:r>
            <w:r>
              <w:rPr>
                <w:rFonts w:ascii="Calibri" w:eastAsia="Times New Roman" w:hAnsi="Calibri" w:cs="Calibri"/>
                <w:kern w:val="0"/>
                <w14:ligatures w14:val="none"/>
              </w:rPr>
              <w:t xml:space="preserve">SIEM, SOAR </w:t>
            </w:r>
            <w:r w:rsidRPr="00C20A7B">
              <w:rPr>
                <w:rFonts w:ascii="Calibri" w:eastAsia="Times New Roman" w:hAnsi="Calibri" w:cs="Calibri"/>
                <w:kern w:val="0"/>
                <w14:ligatures w14:val="none"/>
              </w:rPr>
              <w:t>(Advanced / Predictive)</w:t>
            </w:r>
            <w:r>
              <w:rPr>
                <w:rFonts w:ascii="Calibri" w:eastAsia="Times New Roman" w:hAnsi="Calibri" w:cs="Calibri"/>
                <w:kern w:val="0"/>
                <w14:ligatures w14:val="none"/>
              </w:rPr>
              <w:t>, and SOC</w:t>
            </w:r>
          </w:p>
        </w:tc>
      </w:tr>
      <w:tr w14:paraId="7964D105"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759F3FF0" w14:textId="77777777">
            <w:pPr>
              <w:pStyle w:val="ListParagraph"/>
              <w:numPr>
                <w:ilvl w:val="0"/>
                <w:numId w:val="11"/>
              </w:numPr>
              <w:rPr>
                <w:rFonts w:ascii="Calibri" w:eastAsia="Times New Roman" w:hAnsi="Calibri" w:cs="Calibri"/>
                <w:kern w:val="0"/>
                <w14:ligatures w14:val="none"/>
              </w:rPr>
            </w:pPr>
            <w:r>
              <w:rPr>
                <w:rFonts w:ascii="Calibri" w:eastAsia="Times New Roman" w:hAnsi="Calibri" w:cs="Calibri"/>
                <w:kern w:val="0"/>
                <w14:ligatures w14:val="none"/>
              </w:rPr>
              <w:t>AI</w:t>
            </w:r>
            <w:r w:rsidRPr="00C20A7B">
              <w:rPr>
                <w:rFonts w:ascii="Calibri" w:eastAsia="Times New Roman" w:hAnsi="Calibri" w:cs="Calibri"/>
                <w:kern w:val="0"/>
                <w14:ligatures w14:val="none"/>
              </w:rPr>
              <w:t>/ ML Emerging Technologies</w:t>
            </w:r>
            <w:r>
              <w:rPr>
                <w:rFonts w:ascii="Calibri" w:eastAsia="Times New Roman" w:hAnsi="Calibri" w:cs="Calibri"/>
                <w:kern w:val="0"/>
                <w14:ligatures w14:val="none"/>
              </w:rPr>
              <w:t xml:space="preserve">, </w:t>
            </w:r>
            <w:r>
              <w:rPr>
                <w:rFonts w:ascii="Calibri" w:eastAsia="Times New Roman" w:hAnsi="Calibri" w:cs="Calibri"/>
                <w:kern w:val="0"/>
                <w14:ligatures w14:val="none"/>
              </w:rPr>
              <w:t>GenAI</w:t>
            </w:r>
            <w:r>
              <w:rPr>
                <w:rFonts w:ascii="Calibri" w:eastAsia="Times New Roman" w:hAnsi="Calibri" w:cs="Calibri"/>
                <w:kern w:val="0"/>
                <w14:ligatures w14:val="none"/>
              </w:rPr>
              <w:t xml:space="preserve">, </w:t>
            </w:r>
            <w:r>
              <w:rPr>
                <w:rFonts w:ascii="Calibri" w:eastAsia="Times New Roman" w:hAnsi="Calibri" w:cs="Calibri"/>
                <w:kern w:val="0"/>
                <w14:ligatures w14:val="none"/>
              </w:rPr>
              <w:t>ChatGPT</w:t>
            </w:r>
            <w:r>
              <w:rPr>
                <w:rFonts w:ascii="Calibri" w:eastAsia="Times New Roman" w:hAnsi="Calibri" w:cs="Calibri"/>
                <w:kern w:val="0"/>
                <w14:ligatures w14:val="none"/>
              </w:rPr>
              <w:t xml:space="preserve">, MS </w:t>
            </w:r>
            <w:r>
              <w:rPr>
                <w:rFonts w:ascii="Calibri" w:eastAsia="Times New Roman" w:hAnsi="Calibri" w:cs="Calibri"/>
                <w:kern w:val="0"/>
                <w14:ligatures w14:val="none"/>
              </w:rPr>
              <w:t>AzureAI</w:t>
            </w:r>
            <w:r>
              <w:rPr>
                <w:rFonts w:ascii="Calibri" w:eastAsia="Times New Roman" w:hAnsi="Calibri" w:cs="Calibri"/>
                <w:kern w:val="0"/>
                <w14:ligatures w14:val="none"/>
              </w:rPr>
              <w:t xml:space="preserve">, </w:t>
            </w:r>
            <w:r>
              <w:rPr>
                <w:rFonts w:ascii="Calibri" w:eastAsia="Times New Roman" w:hAnsi="Calibri" w:cs="Calibri"/>
                <w:kern w:val="0"/>
                <w14:ligatures w14:val="none"/>
              </w:rPr>
              <w:t>GogleAI</w:t>
            </w:r>
            <w:r w:rsidRPr="00C20A7B">
              <w:rPr>
                <w:rFonts w:ascii="Calibri" w:eastAsia="Times New Roman" w:hAnsi="Calibri" w:cs="Calibri"/>
                <w:kern w:val="0"/>
                <w14:ligatures w14:val="none"/>
              </w:rPr>
              <w:t xml:space="preserve"> &amp; Cloud Computing</w:t>
            </w:r>
          </w:p>
        </w:tc>
      </w:tr>
      <w:tr w14:paraId="277FE4E0" w14:textId="77777777" w:rsidTr="003463C2">
        <w:tblPrEx>
          <w:tblW w:w="10559" w:type="dxa"/>
          <w:tblLook w:val="04A0"/>
        </w:tblPrEx>
        <w:trPr>
          <w:trHeight w:val="277"/>
        </w:trPr>
        <w:tc>
          <w:tcPr>
            <w:tcW w:w="10559" w:type="dxa"/>
            <w:tcBorders>
              <w:top w:val="nil"/>
              <w:left w:val="nil"/>
              <w:bottom w:val="nil"/>
              <w:right w:val="nil"/>
            </w:tcBorders>
            <w:shd w:val="clear" w:color="auto" w:fill="auto"/>
            <w:noWrap/>
            <w:vAlign w:val="bottom"/>
            <w:hideMark/>
          </w:tcPr>
          <w:p w:rsidR="003463C2" w:rsidRPr="00C20A7B" w:rsidP="003463C2" w14:paraId="2BB3B051" w14:textId="77777777">
            <w:pPr>
              <w:pStyle w:val="ListParagraph"/>
              <w:numPr>
                <w:ilvl w:val="0"/>
                <w:numId w:val="11"/>
              </w:numPr>
              <w:rPr>
                <w:rFonts w:ascii="Calibri" w:eastAsia="Times New Roman" w:hAnsi="Calibri" w:cs="Calibri"/>
                <w:kern w:val="0"/>
                <w14:ligatures w14:val="none"/>
              </w:rPr>
            </w:pPr>
            <w:r w:rsidRPr="00F120C8">
              <w:rPr>
                <w:rFonts w:ascii="Calibri" w:eastAsia="Times New Roman" w:hAnsi="Calibri" w:cs="Calibri"/>
                <w:kern w:val="0"/>
                <w14:ligatures w14:val="none"/>
              </w:rPr>
              <w:t xml:space="preserve">Global Resource Location Strategy, </w:t>
            </w:r>
            <w:r w:rsidRPr="00C20A7B">
              <w:rPr>
                <w:rFonts w:ascii="Calibri" w:eastAsia="Times New Roman" w:hAnsi="Calibri" w:cs="Calibri"/>
                <w:kern w:val="0"/>
                <w14:ligatures w14:val="none"/>
              </w:rPr>
              <w:t>BCP / DR and Succession Planning</w:t>
            </w:r>
          </w:p>
        </w:tc>
      </w:tr>
    </w:tbl>
    <w:p w:rsidR="00D874F4" w:rsidP="0097192A" w14:paraId="2CC31AD6" w14:textId="77777777">
      <w:pPr>
        <w:spacing w:before="100" w:beforeAutospacing="1" w:after="100" w:afterAutospacing="1"/>
        <w:contextualSpacing/>
        <w:jc w:val="both"/>
        <w:rPr>
          <w:rFonts w:ascii="Calibri" w:hAnsi="Calibri" w:cs="Calibri"/>
        </w:rPr>
      </w:pPr>
    </w:p>
    <w:p w:rsidR="009247CD" w:rsidRPr="004C329E" w:rsidP="0097192A" w14:paraId="2518C429" w14:textId="77777777">
      <w:pPr>
        <w:pBdr>
          <w:bottom w:val="single" w:sz="4" w:space="3" w:color="auto"/>
        </w:pBdr>
        <w:spacing w:before="100" w:beforeAutospacing="1" w:after="100" w:afterAutospacing="1"/>
        <w:contextualSpacing/>
        <w:rPr>
          <w:rFonts w:ascii="Calibri" w:hAnsi="Calibri" w:cs="Calibri"/>
        </w:rPr>
      </w:pPr>
      <w:r>
        <w:rPr>
          <w:rFonts w:ascii="Calibri" w:hAnsi="Calibri" w:cs="Calibri"/>
          <w:b/>
          <w:bCs/>
        </w:rPr>
        <w:t>PROFESSIONAL EXPERIENCE</w:t>
      </w:r>
      <w:r>
        <w:rPr>
          <w:rFonts w:ascii="Calibri" w:hAnsi="Calibri" w:cs="Calibri"/>
          <w:b/>
          <w:bCs/>
        </w:rPr>
        <w:t>:</w:t>
      </w:r>
      <w:r w:rsidRPr="001F7AC9">
        <w:rPr>
          <w:rFonts w:ascii="Calibri" w:hAnsi="Calibri" w:cs="Calibri"/>
        </w:rPr>
        <w:t xml:space="preserve"> </w:t>
      </w:r>
      <w:r>
        <w:rPr>
          <w:rFonts w:ascii="Calibri" w:hAnsi="Calibri" w:cs="Calibri"/>
        </w:rPr>
        <w:t xml:space="preserve">                                                                                                                                                                                       </w:t>
      </w:r>
    </w:p>
    <w:p w:rsidR="000F742E" w:rsidRPr="004C329E" w:rsidP="0097192A" w14:paraId="1E4DC5EB" w14:textId="77777777">
      <w:pPr>
        <w:spacing w:before="100" w:beforeAutospacing="1" w:after="100" w:afterAutospacing="1"/>
        <w:contextualSpacing/>
        <w:jc w:val="both"/>
        <w:rPr>
          <w:rFonts w:ascii="Calibri" w:hAnsi="Calibri" w:cs="Calibri"/>
        </w:rPr>
      </w:pPr>
    </w:p>
    <w:p w:rsidR="000F742E" w:rsidRPr="000F742E" w:rsidP="009247CD" w14:paraId="52F4C018" w14:textId="2A55E414">
      <w:pPr>
        <w:tabs>
          <w:tab w:val="left" w:pos="10170"/>
        </w:tabs>
        <w:jc w:val="both"/>
        <w:rPr>
          <w:rFonts w:ascii="Calibri" w:hAnsi="Calibri" w:cs="Calibri"/>
          <w:b/>
          <w:bCs/>
        </w:rPr>
      </w:pPr>
      <w:r>
        <w:rPr>
          <w:rFonts w:ascii="Calibri" w:hAnsi="Calibri" w:cs="Calibri"/>
          <w:b/>
          <w:bCs/>
        </w:rPr>
        <w:t>Citib</w:t>
      </w:r>
      <w:r w:rsidRPr="000F742E">
        <w:rPr>
          <w:rFonts w:ascii="Calibri" w:hAnsi="Calibri" w:cs="Calibri"/>
          <w:b/>
          <w:bCs/>
        </w:rPr>
        <w:t>ank</w:t>
      </w:r>
      <w:r w:rsidRPr="004C329E">
        <w:rPr>
          <w:rFonts w:ascii="Calibri" w:hAnsi="Calibri" w:cs="Calibri"/>
        </w:rPr>
        <w:t xml:space="preserve"> NA, N</w:t>
      </w:r>
      <w:r>
        <w:rPr>
          <w:rFonts w:ascii="Calibri" w:hAnsi="Calibri" w:cs="Calibri"/>
        </w:rPr>
        <w:t>ew York, N</w:t>
      </w:r>
      <w:r w:rsidRPr="004C329E">
        <w:rPr>
          <w:rFonts w:ascii="Calibri" w:hAnsi="Calibri" w:cs="Calibri"/>
        </w:rPr>
        <w:t>Y</w:t>
      </w:r>
      <w:r>
        <w:rPr>
          <w:rFonts w:ascii="Calibri" w:hAnsi="Calibri" w:cs="Calibri"/>
        </w:rPr>
        <w:t xml:space="preserve">  </w:t>
      </w:r>
      <w:r w:rsidR="00E971B2">
        <w:rPr>
          <w:rFonts w:ascii="Calibri" w:hAnsi="Calibri" w:cs="Calibri"/>
        </w:rPr>
        <w:t xml:space="preserve">                                                                                                      </w:t>
      </w:r>
      <w:r w:rsidR="00F75961">
        <w:rPr>
          <w:rFonts w:ascii="Calibri" w:hAnsi="Calibri" w:cs="Calibri"/>
        </w:rPr>
        <w:t xml:space="preserve">        </w:t>
      </w:r>
      <w:r w:rsidR="009247CD">
        <w:rPr>
          <w:rFonts w:ascii="Calibri" w:hAnsi="Calibri" w:cs="Calibri"/>
        </w:rPr>
        <w:t xml:space="preserve">   </w:t>
      </w:r>
      <w:r w:rsidRPr="000F742E">
        <w:rPr>
          <w:rFonts w:ascii="Calibri" w:hAnsi="Calibri" w:cs="Calibri"/>
          <w:b/>
          <w:bCs/>
        </w:rPr>
        <w:t>September</w:t>
      </w:r>
      <w:r w:rsidR="000513B2">
        <w:rPr>
          <w:rFonts w:ascii="Calibri" w:hAnsi="Calibri" w:cs="Calibri"/>
          <w:b/>
          <w:bCs/>
        </w:rPr>
        <w:t xml:space="preserve"> </w:t>
      </w:r>
      <w:r w:rsidRPr="000F742E">
        <w:rPr>
          <w:rFonts w:ascii="Calibri" w:hAnsi="Calibri" w:cs="Calibri"/>
          <w:b/>
          <w:bCs/>
        </w:rPr>
        <w:t>2017 - Current</w:t>
      </w:r>
    </w:p>
    <w:p w:rsidR="000F742E" w:rsidRPr="000F742E" w:rsidP="00BC40DC" w14:paraId="43AFB474" w14:textId="328ACF30">
      <w:pPr>
        <w:jc w:val="both"/>
        <w:rPr>
          <w:rFonts w:ascii="Calibri" w:hAnsi="Calibri" w:cs="Calibri"/>
          <w:b/>
          <w:bCs/>
        </w:rPr>
      </w:pPr>
      <w:r>
        <w:rPr>
          <w:rFonts w:ascii="Calibri" w:hAnsi="Calibri" w:cs="Calibri"/>
          <w:b/>
          <w:bCs/>
        </w:rPr>
        <w:t>Sr Principal</w:t>
      </w:r>
      <w:r w:rsidRPr="000F742E" w:rsidR="004C329E">
        <w:rPr>
          <w:rFonts w:ascii="Calibri" w:hAnsi="Calibri" w:cs="Calibri"/>
          <w:b/>
          <w:bCs/>
        </w:rPr>
        <w:t>, Risk Products, Platforms and Analytics</w:t>
      </w:r>
    </w:p>
    <w:p w:rsidR="0097192A" w:rsidRPr="0097192A" w:rsidP="0097192A" w14:paraId="07550C92" w14:textId="3452DDBC">
      <w:pPr>
        <w:pStyle w:val="ListParagraph"/>
        <w:numPr>
          <w:ilvl w:val="0"/>
          <w:numId w:val="13"/>
        </w:numPr>
        <w:ind w:left="360"/>
        <w:jc w:val="both"/>
        <w:rPr>
          <w:rFonts w:ascii="Calibri" w:hAnsi="Calibri" w:cs="Calibri"/>
        </w:rPr>
      </w:pPr>
      <w:r w:rsidRPr="0097192A">
        <w:rPr>
          <w:rFonts w:ascii="Calibri" w:hAnsi="Calibri" w:cs="Calibri"/>
        </w:rPr>
        <w:t>Oversaw a US</w:t>
      </w:r>
      <w:r w:rsidR="00114455">
        <w:rPr>
          <w:rFonts w:ascii="Calibri" w:hAnsi="Calibri" w:cs="Calibri"/>
        </w:rPr>
        <w:t xml:space="preserve">$ </w:t>
      </w:r>
      <w:r w:rsidRPr="0097192A">
        <w:rPr>
          <w:rFonts w:ascii="Calibri" w:hAnsi="Calibri" w:cs="Calibri"/>
        </w:rPr>
        <w:t>96M+ MYP Budget spanning 28+ projects and 460+ global headcount, as part of a comprehensive Bank Modernization &amp; Digital Transformation initiative under CIO leadership. Spearheaded enterprise-wide efforts to integrate Gen AI/ML, Cloud Computing, M&amp;A, Corporate Resource Location Strategy, HR/Talent/LMS transformation, Agile/DevOps adoption, Single Sourcing of Data, Architecture Convergence, and Platform Rationalization. Achieved significant milestones in Market Reach Expansion and Revenue Growth, with a focus on bolstering Digital Payments Risk Data Governance &amp; Controls.</w:t>
      </w:r>
    </w:p>
    <w:p w:rsidR="0097192A" w:rsidRPr="0097192A" w:rsidP="0097192A" w14:paraId="64CFE280" w14:textId="56668411">
      <w:pPr>
        <w:pStyle w:val="ListParagraph"/>
        <w:numPr>
          <w:ilvl w:val="0"/>
          <w:numId w:val="13"/>
        </w:numPr>
        <w:ind w:left="360"/>
        <w:jc w:val="both"/>
        <w:rPr>
          <w:rFonts w:ascii="Calibri" w:hAnsi="Calibri" w:cs="Calibri"/>
        </w:rPr>
      </w:pPr>
      <w:r w:rsidRPr="0097192A">
        <w:rPr>
          <w:rFonts w:ascii="Calibri" w:hAnsi="Calibri" w:cs="Calibri"/>
        </w:rPr>
        <w:t xml:space="preserve">Delivered regulatory commitments (24), MRA (12), and Consent Order (8), ensuring properly packaged responses to the OCC and regulatory exams. I defined and published a multiyear roadmap for a risk data-focused centralized analytics/reporting IT asset rationalization, which got buy-in for the cloud business case and defined target potential savings of up to </w:t>
      </w:r>
      <w:r w:rsidR="00114455">
        <w:rPr>
          <w:rFonts w:ascii="Calibri" w:hAnsi="Calibri" w:cs="Calibri"/>
        </w:rPr>
        <w:t>US$</w:t>
      </w:r>
      <w:r w:rsidRPr="0097192A">
        <w:rPr>
          <w:rFonts w:ascii="Calibri" w:hAnsi="Calibri" w:cs="Calibri"/>
        </w:rPr>
        <w:t xml:space="preserve">8M+ over three years. </w:t>
      </w:r>
    </w:p>
    <w:p w:rsidR="0097192A" w:rsidRPr="0097192A" w:rsidP="0097192A" w14:paraId="163141D0" w14:textId="77777777">
      <w:pPr>
        <w:pStyle w:val="ListParagraph"/>
        <w:numPr>
          <w:ilvl w:val="0"/>
          <w:numId w:val="13"/>
        </w:numPr>
        <w:ind w:left="360"/>
        <w:jc w:val="both"/>
        <w:rPr>
          <w:rFonts w:ascii="Calibri" w:hAnsi="Calibri" w:cs="Calibri"/>
        </w:rPr>
      </w:pPr>
      <w:r w:rsidRPr="0097192A">
        <w:rPr>
          <w:rFonts w:ascii="Calibri" w:hAnsi="Calibri" w:cs="Calibri"/>
        </w:rPr>
        <w:t xml:space="preserve">Engage in the full spectrum of services across Cyber Security Operation Risk &amp; Compliance Controls landscape (Cyber Fusion Center, Security Operations Center, Network Security, Endpoint Security, Incident Response, Forensics, Threat Intelligence, Vulnerability Management, Penetration Testing &amp; Red / Blue / Purple Teaming, Fraud Investigation Analytics, and Insider Threat) to Security Architecture and Engineering (Network, Platform, Cloud, and Applications Security). </w:t>
      </w:r>
    </w:p>
    <w:p w:rsidR="0097192A" w:rsidRPr="0097192A" w:rsidP="0097192A" w14:paraId="7AB67EF5" w14:textId="49116A1D">
      <w:pPr>
        <w:pStyle w:val="ListParagraph"/>
        <w:numPr>
          <w:ilvl w:val="0"/>
          <w:numId w:val="13"/>
        </w:numPr>
        <w:ind w:left="360"/>
        <w:jc w:val="both"/>
        <w:rPr>
          <w:rFonts w:ascii="Calibri" w:hAnsi="Calibri" w:cs="Calibri"/>
        </w:rPr>
      </w:pPr>
      <w:r w:rsidRPr="0097192A">
        <w:rPr>
          <w:rFonts w:ascii="Calibri" w:hAnsi="Calibri" w:cs="Calibri"/>
        </w:rPr>
        <w:t xml:space="preserve">Led Business Use Casing, Defining BoW prioritization, Budgeting, Resourcing through T-Shirt Sizing Demand vs Capacity aligning with firm Global location Strategy, Product / Program Road Mapping, Quality Toll Gating, P/L Tracking, Staging Environment Readiness, and Release Planning. </w:t>
      </w:r>
    </w:p>
    <w:p w:rsidR="0097192A" w:rsidRPr="0097192A" w:rsidP="0097192A" w14:paraId="46317843" w14:textId="5773CD68">
      <w:pPr>
        <w:pStyle w:val="ListParagraph"/>
        <w:numPr>
          <w:ilvl w:val="0"/>
          <w:numId w:val="13"/>
        </w:numPr>
        <w:ind w:left="360"/>
        <w:jc w:val="both"/>
        <w:rPr>
          <w:rFonts w:ascii="Calibri" w:hAnsi="Calibri" w:cs="Calibri"/>
        </w:rPr>
      </w:pPr>
      <w:r>
        <w:rPr>
          <w:rFonts w:ascii="Calibri" w:hAnsi="Calibri" w:cs="Calibri"/>
        </w:rPr>
        <w:t xml:space="preserve">Found a </w:t>
      </w:r>
      <w:r w:rsidRPr="00202165">
        <w:rPr>
          <w:rFonts w:ascii="Calibri" w:hAnsi="Calibri" w:cs="Calibri"/>
        </w:rPr>
        <w:t>Change Advisory Board to</w:t>
      </w:r>
      <w:r>
        <w:rPr>
          <w:rFonts w:ascii="Calibri" w:hAnsi="Calibri" w:cs="Calibri"/>
        </w:rPr>
        <w:t xml:space="preserve"> execute Change Control, </w:t>
      </w:r>
      <w:r w:rsidRPr="0097192A">
        <w:rPr>
          <w:rFonts w:ascii="Calibri" w:hAnsi="Calibri" w:cs="Calibri"/>
        </w:rPr>
        <w:t>define Key Milestone &amp; Resource Task Allocation, follow up on progress &amp; roadblocks, and timely review of mitigation strategy to successful closure.</w:t>
      </w:r>
    </w:p>
    <w:p w:rsidR="0097192A" w:rsidRPr="0097192A" w:rsidP="0097192A" w14:paraId="72DF7489" w14:textId="77777777">
      <w:pPr>
        <w:pStyle w:val="ListParagraph"/>
        <w:numPr>
          <w:ilvl w:val="0"/>
          <w:numId w:val="13"/>
        </w:numPr>
        <w:ind w:left="360"/>
        <w:jc w:val="both"/>
        <w:rPr>
          <w:rFonts w:ascii="Calibri" w:hAnsi="Calibri" w:cs="Calibri"/>
        </w:rPr>
      </w:pPr>
      <w:r w:rsidRPr="0097192A">
        <w:rPr>
          <w:rFonts w:ascii="Calibri" w:hAnsi="Calibri" w:cs="Calibri"/>
        </w:rPr>
        <w:t xml:space="preserve">I developed a Business Case to adopt emerging technologies and build complex systems at scale, enabling human-in-the-loop workflows (prompt generation, response rewrites, side-by-side evals) for Gen AI/ML, MS </w:t>
      </w:r>
      <w:r w:rsidRPr="0097192A">
        <w:rPr>
          <w:rFonts w:ascii="Calibri" w:hAnsi="Calibri" w:cs="Calibri"/>
        </w:rPr>
        <w:t xml:space="preserve">Azure AI, </w:t>
      </w:r>
      <w:r w:rsidRPr="0097192A">
        <w:rPr>
          <w:rFonts w:ascii="Calibri" w:hAnsi="Calibri" w:cs="Calibri"/>
        </w:rPr>
        <w:t>GoogleAI</w:t>
      </w:r>
      <w:r w:rsidRPr="0097192A">
        <w:rPr>
          <w:rFonts w:ascii="Calibri" w:hAnsi="Calibri" w:cs="Calibri"/>
        </w:rPr>
        <w:t xml:space="preserve">, </w:t>
      </w:r>
      <w:r w:rsidRPr="0097192A">
        <w:rPr>
          <w:rFonts w:ascii="Calibri" w:hAnsi="Calibri" w:cs="Calibri"/>
        </w:rPr>
        <w:t>GenAI</w:t>
      </w:r>
      <w:r w:rsidRPr="0097192A">
        <w:rPr>
          <w:rFonts w:ascii="Calibri" w:hAnsi="Calibri" w:cs="Calibri"/>
        </w:rPr>
        <w:t xml:space="preserve"> &amp; Blockchain integration initiatives. This strategy delivered high-quality data for training/model tuning in almost real-time delivery.</w:t>
      </w:r>
    </w:p>
    <w:p w:rsidR="0097192A" w:rsidRPr="0097192A" w:rsidP="0097192A" w14:paraId="01868F94" w14:textId="77777777">
      <w:pPr>
        <w:pStyle w:val="ListParagraph"/>
        <w:numPr>
          <w:ilvl w:val="0"/>
          <w:numId w:val="13"/>
        </w:numPr>
        <w:ind w:left="360"/>
        <w:jc w:val="both"/>
        <w:rPr>
          <w:rFonts w:ascii="Calibri" w:hAnsi="Calibri" w:cs="Calibri"/>
        </w:rPr>
      </w:pPr>
      <w:r w:rsidRPr="0097192A">
        <w:rPr>
          <w:rFonts w:ascii="Calibri" w:hAnsi="Calibri" w:cs="Calibri"/>
        </w:rPr>
        <w:t>Oversaw PI Planning, Defining EPIC, Feature Identification, Requirement/Backlog Grooming, Release/Sprint Planning, Architect/Design Review, Code Versioning, Kanban Board Tracking, and QA/UAT Planning &amp; ALM Defect Triage, Sprint Demo &amp; Retrospective/Lesson Learned Meetings.</w:t>
      </w:r>
    </w:p>
    <w:p w:rsidR="0097192A" w:rsidRPr="0097192A" w:rsidP="0097192A" w14:paraId="223ED225" w14:textId="77777777">
      <w:pPr>
        <w:pStyle w:val="ListParagraph"/>
        <w:numPr>
          <w:ilvl w:val="0"/>
          <w:numId w:val="13"/>
        </w:numPr>
        <w:ind w:left="360"/>
        <w:jc w:val="both"/>
        <w:rPr>
          <w:rFonts w:ascii="Calibri" w:hAnsi="Calibri" w:cs="Calibri"/>
        </w:rPr>
      </w:pPr>
      <w:r w:rsidRPr="0097192A">
        <w:rPr>
          <w:rFonts w:ascii="Calibri" w:hAnsi="Calibri" w:cs="Calibri"/>
        </w:rPr>
        <w:t>I organized enterprise data into 22 domains, which enabled standardizing and centralizing the business analytics, reporting, and data wrangling capabilities supporting ongoing research in security tools, techniques, and procedures. I pursued advanced threat detection initiatives based on aggressive security principles, control automation, machine learning algorithms, and threat mitigation techniques.</w:t>
      </w:r>
    </w:p>
    <w:p w:rsidR="0097192A" w:rsidRPr="0097192A" w:rsidP="0097192A" w14:paraId="5F10A3D1" w14:textId="5552EFFB">
      <w:pPr>
        <w:pStyle w:val="ListParagraph"/>
        <w:numPr>
          <w:ilvl w:val="0"/>
          <w:numId w:val="13"/>
        </w:numPr>
        <w:ind w:left="360"/>
        <w:jc w:val="both"/>
        <w:rPr>
          <w:rFonts w:ascii="Calibri" w:hAnsi="Calibri" w:cs="Calibri"/>
        </w:rPr>
      </w:pPr>
      <w:r w:rsidRPr="0097192A">
        <w:rPr>
          <w:rFonts w:ascii="Calibri" w:hAnsi="Calibri" w:cs="Calibri"/>
        </w:rPr>
        <w:t xml:space="preserve">My </w:t>
      </w:r>
      <w:r w:rsidR="000A2E4F">
        <w:rPr>
          <w:rFonts w:ascii="Calibri" w:hAnsi="Calibri" w:cs="Calibri"/>
        </w:rPr>
        <w:t>efforts</w:t>
      </w:r>
      <w:r w:rsidRPr="0097192A">
        <w:rPr>
          <w:rFonts w:ascii="Calibri" w:hAnsi="Calibri" w:cs="Calibri"/>
        </w:rPr>
        <w:t xml:space="preserve"> played a vital role in integrating </w:t>
      </w:r>
      <w:r w:rsidRPr="0097192A">
        <w:rPr>
          <w:rFonts w:ascii="Calibri" w:hAnsi="Calibri" w:cs="Calibri"/>
        </w:rPr>
        <w:t>GenAI</w:t>
      </w:r>
      <w:r w:rsidRPr="0097192A">
        <w:rPr>
          <w:rFonts w:ascii="Calibri" w:hAnsi="Calibri" w:cs="Calibri"/>
        </w:rPr>
        <w:t xml:space="preserve"> with Internal Audit, Tableau Risk Data Assessment, and SPLUNK Reporting frameworks, delivering advanced capabilities to triage data of anomalous events collected by User Behavior Analytics (UBA), User Activity Monitoring (UAM), DLP, SCADA, SIEM/DFIR technologies, and other tools. I used my skills to decipher underlying trends, uncover anomalies, and discern obscure patterns and attributes of potential Insider threat activities and Predictive Analytics.</w:t>
      </w:r>
    </w:p>
    <w:p w:rsidR="008C3D5D" w:rsidRPr="004C329E" w:rsidP="00D874F4" w14:paraId="42A4F931" w14:textId="77777777">
      <w:pPr>
        <w:jc w:val="both"/>
        <w:rPr>
          <w:rFonts w:ascii="Calibri" w:hAnsi="Calibri" w:cs="Calibri"/>
        </w:rPr>
      </w:pPr>
    </w:p>
    <w:p w:rsidR="008C3D5D" w:rsidRPr="008C3D5D" w:rsidP="00731B56" w14:paraId="17C0C2EA" w14:textId="2A324EA6">
      <w:pPr>
        <w:tabs>
          <w:tab w:val="right" w:pos="10242"/>
        </w:tabs>
        <w:jc w:val="both"/>
        <w:rPr>
          <w:rFonts w:ascii="Calibri" w:hAnsi="Calibri" w:cs="Calibri"/>
          <w:b/>
          <w:bCs/>
        </w:rPr>
      </w:pPr>
      <w:r w:rsidRPr="008C3D5D">
        <w:rPr>
          <w:rFonts w:ascii="Calibri" w:hAnsi="Calibri" w:cs="Calibri"/>
          <w:b/>
          <w:bCs/>
        </w:rPr>
        <w:t>JP Morgan Chase &amp; Co</w:t>
      </w:r>
      <w:r w:rsidRPr="004C329E">
        <w:rPr>
          <w:rFonts w:ascii="Calibri" w:hAnsi="Calibri" w:cs="Calibri"/>
        </w:rPr>
        <w:t xml:space="preserve">, </w:t>
      </w:r>
      <w:r w:rsidRPr="004C329E" w:rsidR="00731B56">
        <w:rPr>
          <w:rFonts w:ascii="Calibri" w:hAnsi="Calibri" w:cs="Calibri"/>
        </w:rPr>
        <w:t>N</w:t>
      </w:r>
      <w:r w:rsidR="00731B56">
        <w:rPr>
          <w:rFonts w:ascii="Calibri" w:hAnsi="Calibri" w:cs="Calibri"/>
        </w:rPr>
        <w:t>ew York, N</w:t>
      </w:r>
      <w:r w:rsidRPr="004C329E" w:rsidR="00731B56">
        <w:rPr>
          <w:rFonts w:ascii="Calibri" w:hAnsi="Calibri" w:cs="Calibri"/>
        </w:rPr>
        <w:t>Y</w:t>
      </w:r>
      <w:r w:rsidR="00731B56">
        <w:rPr>
          <w:rFonts w:ascii="Calibri" w:hAnsi="Calibri" w:cs="Calibri"/>
        </w:rPr>
        <w:t xml:space="preserve">                                                                                    </w:t>
      </w:r>
      <w:r w:rsidRPr="008C3D5D">
        <w:rPr>
          <w:rFonts w:ascii="Calibri" w:hAnsi="Calibri" w:cs="Calibri"/>
          <w:b/>
          <w:bCs/>
        </w:rPr>
        <w:t>November 2014 - August 2017</w:t>
      </w:r>
    </w:p>
    <w:p w:rsidR="008C3D5D" w:rsidRPr="008C3D5D" w:rsidP="00BC40DC" w14:paraId="1376AC16" w14:textId="5831B065">
      <w:pPr>
        <w:jc w:val="both"/>
        <w:rPr>
          <w:rFonts w:ascii="Calibri" w:hAnsi="Calibri" w:cs="Calibri"/>
          <w:b/>
          <w:bCs/>
        </w:rPr>
      </w:pPr>
      <w:r>
        <w:rPr>
          <w:rFonts w:ascii="Calibri" w:hAnsi="Calibri" w:cs="Calibri"/>
          <w:b/>
          <w:bCs/>
        </w:rPr>
        <w:t>Sr Principal</w:t>
      </w:r>
      <w:r w:rsidR="00731B56">
        <w:rPr>
          <w:rFonts w:ascii="Calibri" w:hAnsi="Calibri" w:cs="Calibri"/>
          <w:b/>
          <w:bCs/>
        </w:rPr>
        <w:t xml:space="preserve">, </w:t>
      </w:r>
      <w:r w:rsidRPr="008C3D5D" w:rsidR="004C329E">
        <w:rPr>
          <w:rFonts w:ascii="Calibri" w:hAnsi="Calibri" w:cs="Calibri"/>
          <w:b/>
          <w:bCs/>
        </w:rPr>
        <w:t>Oversight &amp; Control System Technology</w:t>
      </w:r>
    </w:p>
    <w:p w:rsidR="008151CE" w:rsidRPr="008151CE" w:rsidP="008151CE" w14:paraId="0B017129" w14:textId="69649DC5">
      <w:pPr>
        <w:numPr>
          <w:ilvl w:val="0"/>
          <w:numId w:val="4"/>
        </w:numPr>
        <w:tabs>
          <w:tab w:val="right" w:pos="10242"/>
        </w:tabs>
        <w:jc w:val="both"/>
        <w:rPr>
          <w:rFonts w:ascii="Calibri" w:hAnsi="Calibri" w:cs="Calibri"/>
        </w:rPr>
      </w:pPr>
      <w:r w:rsidRPr="008151CE">
        <w:rPr>
          <w:rFonts w:ascii="Calibri" w:hAnsi="Calibri" w:cs="Calibri"/>
        </w:rPr>
        <w:t>Orchestrated portfolio management for Oversight &amp; Control (O&amp;C) initiatives within a $95+ million / 600+ Control Systems Technology (CST) global organization, aligning technology solutions with regulatory mandates and the firm’s risk and controls agenda</w:t>
      </w:r>
      <w:r>
        <w:rPr>
          <w:rFonts w:ascii="Calibri" w:hAnsi="Calibri" w:cs="Calibri"/>
        </w:rPr>
        <w:t xml:space="preserve"> – RADAR, Controls Room, NBIA &amp; FORCE</w:t>
      </w:r>
      <w:r w:rsidRPr="008151CE">
        <w:rPr>
          <w:rFonts w:ascii="Calibri" w:hAnsi="Calibri" w:cs="Calibri"/>
        </w:rPr>
        <w:t>. Oversaw CST Data Management Services, PMO, and F&amp;BMO, while leading a team of 8 direct reports and managing a matrix team of 90+.</w:t>
      </w:r>
    </w:p>
    <w:p w:rsidR="008151CE" w:rsidRPr="008151CE" w:rsidP="008151CE" w14:paraId="515EDC14" w14:textId="237E1BD7">
      <w:pPr>
        <w:numPr>
          <w:ilvl w:val="0"/>
          <w:numId w:val="4"/>
        </w:numPr>
        <w:tabs>
          <w:tab w:val="right" w:pos="10242"/>
        </w:tabs>
        <w:jc w:val="both"/>
        <w:rPr>
          <w:rFonts w:ascii="Calibri" w:hAnsi="Calibri" w:cs="Calibri"/>
        </w:rPr>
      </w:pPr>
      <w:r w:rsidRPr="008151CE">
        <w:rPr>
          <w:rFonts w:ascii="Calibri" w:hAnsi="Calibri" w:cs="Calibri"/>
        </w:rPr>
        <w:t>Engineered robust portfolio reporting standards, elevating the quality and precision of senior management scorecards and status reports. Achieved compliance with BCBS 239 Basel Committee on Banking Supervision standards by enhancing data quality, entitlements, and data models.</w:t>
      </w:r>
    </w:p>
    <w:p w:rsidR="008151CE" w:rsidRPr="008151CE" w:rsidP="008151CE" w14:paraId="3F2DCF38" w14:textId="55259587">
      <w:pPr>
        <w:numPr>
          <w:ilvl w:val="0"/>
          <w:numId w:val="4"/>
        </w:numPr>
        <w:tabs>
          <w:tab w:val="right" w:pos="10242"/>
        </w:tabs>
        <w:jc w:val="both"/>
        <w:rPr>
          <w:rFonts w:ascii="Calibri" w:hAnsi="Calibri" w:cs="Calibri"/>
        </w:rPr>
      </w:pPr>
      <w:r w:rsidRPr="008151CE">
        <w:rPr>
          <w:rFonts w:ascii="Calibri" w:hAnsi="Calibri" w:cs="Calibri"/>
        </w:rPr>
        <w:t>Founded</w:t>
      </w:r>
      <w:r w:rsidRPr="008151CE">
        <w:rPr>
          <w:rFonts w:ascii="Calibri" w:hAnsi="Calibri" w:cs="Calibri"/>
        </w:rPr>
        <w:t xml:space="preserve"> the establishment of a Data Management Services </w:t>
      </w:r>
      <w:r>
        <w:rPr>
          <w:rFonts w:ascii="Calibri" w:hAnsi="Calibri" w:cs="Calibri"/>
        </w:rPr>
        <w:t>CoE (DMO)</w:t>
      </w:r>
      <w:r w:rsidRPr="008151CE">
        <w:rPr>
          <w:rFonts w:ascii="Calibri" w:hAnsi="Calibri" w:cs="Calibri"/>
        </w:rPr>
        <w:t xml:space="preserve">, enhancing data asset </w:t>
      </w:r>
      <w:r>
        <w:rPr>
          <w:rFonts w:ascii="Calibri" w:hAnsi="Calibri" w:cs="Calibri"/>
        </w:rPr>
        <w:t>m</w:t>
      </w:r>
      <w:r w:rsidRPr="008151CE">
        <w:rPr>
          <w:rFonts w:ascii="Calibri" w:hAnsi="Calibri" w:cs="Calibri"/>
        </w:rPr>
        <w:t xml:space="preserve">anagement. Led a cross-functional </w:t>
      </w:r>
      <w:r>
        <w:rPr>
          <w:rFonts w:ascii="Calibri" w:hAnsi="Calibri" w:cs="Calibri"/>
        </w:rPr>
        <w:t>d</w:t>
      </w:r>
      <w:r w:rsidRPr="008151CE">
        <w:rPr>
          <w:rFonts w:ascii="Calibri" w:hAnsi="Calibri" w:cs="Calibri"/>
        </w:rPr>
        <w:t xml:space="preserve">ata </w:t>
      </w:r>
      <w:r>
        <w:rPr>
          <w:rFonts w:ascii="Calibri" w:hAnsi="Calibri" w:cs="Calibri"/>
        </w:rPr>
        <w:t>m</w:t>
      </w:r>
      <w:r w:rsidRPr="008151CE">
        <w:rPr>
          <w:rFonts w:ascii="Calibri" w:hAnsi="Calibri" w:cs="Calibri"/>
        </w:rPr>
        <w:t xml:space="preserve">anagement working group across JPMC to disseminate data best practices, processes, and tools, aligning CST with firm-wide data </w:t>
      </w:r>
      <w:r>
        <w:rPr>
          <w:rFonts w:ascii="Calibri" w:hAnsi="Calibri" w:cs="Calibri"/>
        </w:rPr>
        <w:t>m</w:t>
      </w:r>
      <w:r w:rsidRPr="008151CE">
        <w:rPr>
          <w:rFonts w:ascii="Calibri" w:hAnsi="Calibri" w:cs="Calibri"/>
        </w:rPr>
        <w:t>anagement strategy and standards.</w:t>
      </w:r>
    </w:p>
    <w:p w:rsidR="008151CE" w:rsidRPr="008151CE" w:rsidP="008151CE" w14:paraId="7890154F" w14:textId="2144AFF6">
      <w:pPr>
        <w:numPr>
          <w:ilvl w:val="0"/>
          <w:numId w:val="4"/>
        </w:numPr>
        <w:tabs>
          <w:tab w:val="right" w:pos="10242"/>
        </w:tabs>
        <w:jc w:val="both"/>
        <w:rPr>
          <w:rFonts w:ascii="Calibri" w:hAnsi="Calibri" w:cs="Calibri"/>
        </w:rPr>
      </w:pPr>
      <w:r w:rsidRPr="008151CE">
        <w:rPr>
          <w:rFonts w:ascii="Calibri" w:hAnsi="Calibri" w:cs="Calibri"/>
        </w:rPr>
        <w:t>Strengthened O&amp;C portfolio governance and fostered consistent tools and best practices by instituting a formal PMO</w:t>
      </w:r>
      <w:r w:rsidRPr="008151CE">
        <w:rPr>
          <w:rFonts w:ascii="Calibri" w:hAnsi="Calibri" w:cs="Calibri"/>
        </w:rPr>
        <w:t>, F&amp;BMO</w:t>
      </w:r>
      <w:r>
        <w:rPr>
          <w:rFonts w:ascii="Calibri" w:hAnsi="Calibri" w:cs="Calibri"/>
        </w:rPr>
        <w:t>,</w:t>
      </w:r>
      <w:r w:rsidRPr="008151CE">
        <w:rPr>
          <w:rFonts w:ascii="Calibri" w:hAnsi="Calibri" w:cs="Calibri"/>
        </w:rPr>
        <w:t xml:space="preserve"> </w:t>
      </w:r>
      <w:r>
        <w:rPr>
          <w:rFonts w:ascii="Calibri" w:hAnsi="Calibri" w:cs="Calibri"/>
        </w:rPr>
        <w:t>delivered o</w:t>
      </w:r>
      <w:r w:rsidRPr="008151CE">
        <w:rPr>
          <w:rFonts w:ascii="Calibri" w:hAnsi="Calibri" w:cs="Calibri"/>
        </w:rPr>
        <w:t>ptimized organizational performance by bolstering F&amp;BM capabilities across financial, resource, vendor, and talent Management, resulting in $6 million in savings through infrastructure optimization. Enhanced financial Management by implementing standing operating procedures, resource models, and training plans, ensuring adherence to firm-wide financial target metrics.</w:t>
      </w:r>
    </w:p>
    <w:p w:rsidR="008151CE" w:rsidRPr="008151CE" w:rsidP="008151CE" w14:paraId="4A8E7880" w14:textId="46BD3C11">
      <w:pPr>
        <w:numPr>
          <w:ilvl w:val="0"/>
          <w:numId w:val="4"/>
        </w:numPr>
        <w:tabs>
          <w:tab w:val="right" w:pos="10242"/>
        </w:tabs>
        <w:jc w:val="both"/>
        <w:rPr>
          <w:rFonts w:ascii="Calibri" w:hAnsi="Calibri" w:cs="Calibri"/>
        </w:rPr>
      </w:pPr>
      <w:r w:rsidRPr="008151CE">
        <w:rPr>
          <w:rFonts w:ascii="Calibri" w:hAnsi="Calibri" w:cs="Calibri"/>
        </w:rPr>
        <w:t xml:space="preserve">Spearheaded the </w:t>
      </w:r>
      <w:r>
        <w:rPr>
          <w:rFonts w:ascii="Calibri" w:hAnsi="Calibri" w:cs="Calibri"/>
        </w:rPr>
        <w:t>re</w:t>
      </w:r>
      <w:r w:rsidRPr="008151CE">
        <w:rPr>
          <w:rFonts w:ascii="Calibri" w:hAnsi="Calibri" w:cs="Calibri"/>
        </w:rPr>
        <w:t>design and implementation of an automated generic risk data upload model, reducing data onboarding timelines from 3 months to 2 weeks. Drove automation in global risk management through innovative adoption of Machine Learning, AI, and Robotics technologies.</w:t>
      </w:r>
    </w:p>
    <w:p w:rsidR="008151CE" w:rsidRPr="008151CE" w:rsidP="008151CE" w14:paraId="56B1A9A1" w14:textId="53552448">
      <w:pPr>
        <w:numPr>
          <w:ilvl w:val="0"/>
          <w:numId w:val="4"/>
        </w:numPr>
        <w:tabs>
          <w:tab w:val="right" w:pos="10242"/>
        </w:tabs>
        <w:jc w:val="both"/>
        <w:rPr>
          <w:rFonts w:ascii="Calibri" w:hAnsi="Calibri" w:cs="Calibri"/>
        </w:rPr>
      </w:pPr>
      <w:r w:rsidRPr="008151CE">
        <w:rPr>
          <w:rFonts w:ascii="Calibri" w:hAnsi="Calibri" w:cs="Calibri"/>
        </w:rPr>
        <w:t>Successfully piloted the build-out of a new, larger global data center and seamlessly migrated 200 employees in US operations over a single weekend with zero disruption to global services, demonstrating proficiency in BCP/DR planning.</w:t>
      </w:r>
    </w:p>
    <w:p w:rsidR="0097192A" w:rsidRPr="0097192A" w:rsidP="008151CE" w14:paraId="0BD13EF1" w14:textId="01352CB4">
      <w:pPr>
        <w:numPr>
          <w:ilvl w:val="0"/>
          <w:numId w:val="4"/>
        </w:numPr>
        <w:tabs>
          <w:tab w:val="right" w:pos="10242"/>
        </w:tabs>
        <w:jc w:val="both"/>
        <w:rPr>
          <w:rFonts w:ascii="Calibri" w:hAnsi="Calibri" w:cs="Calibri"/>
        </w:rPr>
      </w:pPr>
      <w:r w:rsidRPr="008151CE">
        <w:rPr>
          <w:rFonts w:ascii="Calibri" w:hAnsi="Calibri" w:cs="Calibri"/>
        </w:rPr>
        <w:t>Executed Corporate Global Location Strategy by spearheading the rollout of global operations, establishing two new data centers, ensuring LOB compliance with SAS70 and SSAE16 standards, and developing Disaster Recovery/Business Continuity plans for key operations.</w:t>
      </w:r>
    </w:p>
    <w:p w:rsidR="0097192A" w:rsidP="00731B56" w14:paraId="0AD82A9D" w14:textId="77777777">
      <w:pPr>
        <w:tabs>
          <w:tab w:val="right" w:pos="10242"/>
        </w:tabs>
        <w:jc w:val="both"/>
        <w:rPr>
          <w:rFonts w:ascii="Calibri" w:hAnsi="Calibri" w:cs="Calibri"/>
          <w:b/>
          <w:bCs/>
        </w:rPr>
      </w:pPr>
    </w:p>
    <w:p w:rsidR="008C3D5D" w:rsidP="00731B56" w14:paraId="0EF38BF7" w14:textId="184D0F0E">
      <w:pPr>
        <w:tabs>
          <w:tab w:val="right" w:pos="10242"/>
        </w:tabs>
        <w:jc w:val="both"/>
        <w:rPr>
          <w:rFonts w:ascii="Calibri" w:hAnsi="Calibri" w:cs="Calibri"/>
        </w:rPr>
      </w:pPr>
      <w:r w:rsidRPr="008C3D5D">
        <w:rPr>
          <w:rFonts w:ascii="Calibri" w:hAnsi="Calibri" w:cs="Calibri"/>
          <w:b/>
          <w:bCs/>
        </w:rPr>
        <w:t>Citi</w:t>
      </w:r>
      <w:r w:rsidR="00114455">
        <w:rPr>
          <w:rFonts w:ascii="Calibri" w:hAnsi="Calibri" w:cs="Calibri"/>
          <w:b/>
          <w:bCs/>
        </w:rPr>
        <w:t>b</w:t>
      </w:r>
      <w:r w:rsidRPr="008C3D5D">
        <w:rPr>
          <w:rFonts w:ascii="Calibri" w:hAnsi="Calibri" w:cs="Calibri"/>
          <w:b/>
          <w:bCs/>
        </w:rPr>
        <w:t>ank</w:t>
      </w:r>
      <w:r w:rsidR="00114455">
        <w:rPr>
          <w:rFonts w:ascii="Calibri" w:hAnsi="Calibri" w:cs="Calibri"/>
          <w:b/>
          <w:bCs/>
        </w:rPr>
        <w:t xml:space="preserve"> NA</w:t>
      </w:r>
      <w:r w:rsidRPr="008C3D5D">
        <w:rPr>
          <w:rFonts w:ascii="Calibri" w:hAnsi="Calibri" w:cs="Calibri"/>
          <w:b/>
          <w:bCs/>
        </w:rPr>
        <w:t>,</w:t>
      </w:r>
      <w:r w:rsidRPr="004C329E">
        <w:rPr>
          <w:rFonts w:ascii="Calibri" w:hAnsi="Calibri" w:cs="Calibri"/>
        </w:rPr>
        <w:t xml:space="preserve"> </w:t>
      </w:r>
      <w:r w:rsidRPr="004C329E" w:rsidR="00731B56">
        <w:rPr>
          <w:rFonts w:ascii="Calibri" w:hAnsi="Calibri" w:cs="Calibri"/>
        </w:rPr>
        <w:t>N</w:t>
      </w:r>
      <w:r w:rsidR="00731B56">
        <w:rPr>
          <w:rFonts w:ascii="Calibri" w:hAnsi="Calibri" w:cs="Calibri"/>
        </w:rPr>
        <w:t>ew York, N</w:t>
      </w:r>
      <w:r w:rsidRPr="004C329E" w:rsidR="00731B56">
        <w:rPr>
          <w:rFonts w:ascii="Calibri" w:hAnsi="Calibri" w:cs="Calibri"/>
        </w:rPr>
        <w:t>Y</w:t>
      </w:r>
      <w:r w:rsidR="00731B56">
        <w:rPr>
          <w:rFonts w:ascii="Calibri" w:hAnsi="Calibri" w:cs="Calibri"/>
        </w:rPr>
        <w:t xml:space="preserve">                                                                                                         </w:t>
      </w:r>
      <w:r w:rsidRPr="008C3D5D">
        <w:rPr>
          <w:rFonts w:ascii="Calibri" w:hAnsi="Calibri" w:cs="Calibri"/>
          <w:b/>
          <w:bCs/>
        </w:rPr>
        <w:t>August 20</w:t>
      </w:r>
      <w:r w:rsidRPr="008C3D5D" w:rsidR="004C329E">
        <w:rPr>
          <w:rFonts w:ascii="Calibri" w:hAnsi="Calibri" w:cs="Calibri"/>
          <w:b/>
          <w:bCs/>
        </w:rPr>
        <w:t xml:space="preserve">10 </w:t>
      </w:r>
      <w:r w:rsidR="00FF2F20">
        <w:rPr>
          <w:rFonts w:ascii="Calibri" w:hAnsi="Calibri" w:cs="Calibri"/>
          <w:b/>
          <w:bCs/>
        </w:rPr>
        <w:t>–</w:t>
      </w:r>
      <w:r w:rsidRPr="008C3D5D" w:rsidR="004C329E">
        <w:rPr>
          <w:rFonts w:ascii="Calibri" w:hAnsi="Calibri" w:cs="Calibri"/>
          <w:b/>
          <w:bCs/>
        </w:rPr>
        <w:t xml:space="preserve"> </w:t>
      </w:r>
      <w:r w:rsidRPr="008C3D5D">
        <w:rPr>
          <w:rFonts w:ascii="Calibri" w:hAnsi="Calibri" w:cs="Calibri"/>
          <w:b/>
          <w:bCs/>
        </w:rPr>
        <w:t>November</w:t>
      </w:r>
      <w:r w:rsidR="00FF2F20">
        <w:rPr>
          <w:rFonts w:ascii="Calibri" w:hAnsi="Calibri" w:cs="Calibri"/>
          <w:b/>
          <w:bCs/>
        </w:rPr>
        <w:t xml:space="preserve"> </w:t>
      </w:r>
      <w:r w:rsidRPr="008C3D5D">
        <w:rPr>
          <w:rFonts w:ascii="Calibri" w:hAnsi="Calibri" w:cs="Calibri"/>
          <w:b/>
          <w:bCs/>
        </w:rPr>
        <w:t>20</w:t>
      </w:r>
      <w:r w:rsidRPr="008C3D5D" w:rsidR="004C329E">
        <w:rPr>
          <w:rFonts w:ascii="Calibri" w:hAnsi="Calibri" w:cs="Calibri"/>
          <w:b/>
          <w:bCs/>
        </w:rPr>
        <w:t>14</w:t>
      </w:r>
    </w:p>
    <w:p w:rsidR="008C3D5D" w:rsidRPr="008C3D5D" w:rsidP="00BC40DC" w14:paraId="5048BB8A" w14:textId="792792FD">
      <w:pPr>
        <w:jc w:val="both"/>
        <w:rPr>
          <w:rFonts w:ascii="Calibri" w:hAnsi="Calibri" w:cs="Calibri"/>
          <w:b/>
          <w:bCs/>
        </w:rPr>
      </w:pPr>
      <w:r>
        <w:rPr>
          <w:rFonts w:ascii="Calibri" w:hAnsi="Calibri" w:cs="Calibri"/>
          <w:b/>
          <w:bCs/>
        </w:rPr>
        <w:t xml:space="preserve">Principal, </w:t>
      </w:r>
      <w:r w:rsidR="00B93E4B">
        <w:rPr>
          <w:rFonts w:ascii="Calibri" w:hAnsi="Calibri" w:cs="Calibri"/>
          <w:b/>
          <w:bCs/>
        </w:rPr>
        <w:t>Pro</w:t>
      </w:r>
      <w:r w:rsidR="0097192A">
        <w:rPr>
          <w:rFonts w:ascii="Calibri" w:hAnsi="Calibri" w:cs="Calibri"/>
          <w:b/>
          <w:bCs/>
        </w:rPr>
        <w:t>gram</w:t>
      </w:r>
      <w:r w:rsidR="00B93E4B">
        <w:rPr>
          <w:rFonts w:ascii="Calibri" w:hAnsi="Calibri" w:cs="Calibri"/>
          <w:b/>
          <w:bCs/>
        </w:rPr>
        <w:t xml:space="preserve"> Manager</w:t>
      </w:r>
      <w:r w:rsidR="0097192A">
        <w:rPr>
          <w:rFonts w:ascii="Calibri" w:hAnsi="Calibri" w:cs="Calibri"/>
          <w:b/>
          <w:bCs/>
        </w:rPr>
        <w:t xml:space="preserve"> Head</w:t>
      </w:r>
      <w:r w:rsidRPr="008C3D5D" w:rsidR="004C329E">
        <w:rPr>
          <w:rFonts w:ascii="Calibri" w:hAnsi="Calibri" w:cs="Calibri"/>
          <w:b/>
          <w:bCs/>
        </w:rPr>
        <w:t>, Card Payment Risk, Receivables &amp; Wholesale Card</w:t>
      </w:r>
    </w:p>
    <w:p w:rsidR="0097192A" w:rsidRPr="0097192A" w:rsidP="0097192A" w14:paraId="6784FC97" w14:textId="77777777">
      <w:pPr>
        <w:pStyle w:val="ListParagraph"/>
        <w:numPr>
          <w:ilvl w:val="0"/>
          <w:numId w:val="5"/>
        </w:numPr>
        <w:jc w:val="both"/>
        <w:rPr>
          <w:rFonts w:ascii="Calibri" w:hAnsi="Calibri" w:cs="Calibri"/>
        </w:rPr>
      </w:pPr>
      <w:r w:rsidRPr="0097192A">
        <w:rPr>
          <w:rFonts w:ascii="Calibri" w:hAnsi="Calibri" w:cs="Calibri"/>
        </w:rPr>
        <w:t>Retooled and modernized all aspects of Retail/Commercial Bank Card, Treasury Payment Process / Settlement, Receivables &amp; Risk. Spearheaded reengineering initiatives for the GPRT data platform generating 5000+ daily settlements between Citi and its clients. Improved processing speed, accelerated client onboarding process, addressed operation pain points (120+ key controls), reduced production incidents (by 26%), and the cost of application support (by 34%).</w:t>
      </w:r>
    </w:p>
    <w:p w:rsidR="0097192A" w:rsidRPr="0097192A" w:rsidP="0097192A" w14:paraId="73DB0A10" w14:textId="0399D999">
      <w:pPr>
        <w:pStyle w:val="ListParagraph"/>
        <w:numPr>
          <w:ilvl w:val="0"/>
          <w:numId w:val="5"/>
        </w:numPr>
        <w:jc w:val="both"/>
        <w:rPr>
          <w:rFonts w:ascii="Calibri" w:hAnsi="Calibri" w:cs="Calibri"/>
        </w:rPr>
      </w:pPr>
      <w:r w:rsidRPr="0097192A">
        <w:rPr>
          <w:rFonts w:ascii="Calibri" w:hAnsi="Calibri" w:cs="Calibri"/>
        </w:rPr>
        <w:t xml:space="preserve">Consolidated redundant server rooms in post-M&amp;A integration bringing </w:t>
      </w:r>
      <w:r w:rsidR="00114455">
        <w:rPr>
          <w:rFonts w:ascii="Calibri" w:hAnsi="Calibri" w:cs="Calibri"/>
        </w:rPr>
        <w:t xml:space="preserve">US </w:t>
      </w:r>
      <w:r w:rsidRPr="0097192A">
        <w:rPr>
          <w:rFonts w:ascii="Calibri" w:hAnsi="Calibri" w:cs="Calibri"/>
        </w:rPr>
        <w:t xml:space="preserve">$1.8m CAPEX &amp; </w:t>
      </w:r>
      <w:r w:rsidR="00114455">
        <w:rPr>
          <w:rFonts w:ascii="Calibri" w:hAnsi="Calibri" w:cs="Calibri"/>
        </w:rPr>
        <w:t xml:space="preserve">US </w:t>
      </w:r>
      <w:r w:rsidRPr="0097192A">
        <w:rPr>
          <w:rFonts w:ascii="Calibri" w:hAnsi="Calibri" w:cs="Calibri"/>
        </w:rPr>
        <w:t xml:space="preserve">$580K+ in annual operating expenses savings. Scaled the payment engine to handle 10+ times of transaction volume, significantly enhanced FX capabilities, launched new capabilities doubling the distribution network to handle 150+ countries; </w:t>
      </w:r>
      <w:r w:rsidRPr="0097192A">
        <w:rPr>
          <w:rFonts w:ascii="Calibri" w:hAnsi="Calibri" w:cs="Calibri"/>
        </w:rPr>
        <w:t xml:space="preserve">supported 4 consecutive years of 22% annual growth tracked through delivering Strategic &amp; Operation Risk Score Card- </w:t>
      </w:r>
      <w:r w:rsidRPr="0097192A">
        <w:rPr>
          <w:rFonts w:ascii="Calibri" w:hAnsi="Calibri" w:cs="Calibri"/>
        </w:rPr>
        <w:t>TQi</w:t>
      </w:r>
      <w:r w:rsidRPr="0097192A">
        <w:rPr>
          <w:rFonts w:ascii="Calibri" w:hAnsi="Calibri" w:cs="Calibri"/>
        </w:rPr>
        <w:t>, reporting controls maturity through 100+function data points for 280+ applications.</w:t>
      </w:r>
    </w:p>
    <w:p w:rsidR="0097192A" w:rsidRPr="0097192A" w:rsidP="0097192A" w14:paraId="351E0684" w14:textId="77777777">
      <w:pPr>
        <w:pStyle w:val="ListParagraph"/>
        <w:numPr>
          <w:ilvl w:val="0"/>
          <w:numId w:val="5"/>
        </w:numPr>
        <w:jc w:val="both"/>
        <w:rPr>
          <w:rFonts w:ascii="Calibri" w:hAnsi="Calibri" w:cs="Calibri"/>
        </w:rPr>
      </w:pPr>
      <w:r w:rsidRPr="0097192A">
        <w:rPr>
          <w:rFonts w:ascii="Calibri" w:hAnsi="Calibri" w:cs="Calibri"/>
        </w:rPr>
        <w:t>Collaborated with Executive Board level stakeholders and external payment partners for network expansion which enabled the bank to connect with local ACH, RTGS, mobile disbursements, and digital wallets and assist in driving solution architecture, developing a deep understanding of local clearing networks, mechanics behind new disbursement methods like mobile and digital wallets, redesigning processes for Core Payments including Retail and Corporate payments, particularly with ACH, Wires, EFT, SWIFT, TSYS, Faster Payment, Payment Messaging, ISO20022, Direct Pay B2C&amp; B2B payments.</w:t>
      </w:r>
    </w:p>
    <w:p w:rsidR="0097192A" w:rsidRPr="0097192A" w:rsidP="0097192A" w14:paraId="5BECD5C9" w14:textId="77777777">
      <w:pPr>
        <w:pStyle w:val="ListParagraph"/>
        <w:numPr>
          <w:ilvl w:val="0"/>
          <w:numId w:val="5"/>
        </w:numPr>
        <w:jc w:val="both"/>
        <w:rPr>
          <w:rFonts w:ascii="Calibri" w:hAnsi="Calibri" w:cs="Calibri"/>
        </w:rPr>
      </w:pPr>
      <w:r w:rsidRPr="0097192A">
        <w:rPr>
          <w:rFonts w:ascii="Calibri" w:hAnsi="Calibri" w:cs="Calibri"/>
        </w:rPr>
        <w:t>Influenced key players during the development of enterprise data strategies and built functional constructs within the IT organization to drive and implement identified technology solutions by working closely with multiple business groups to understand and capture modeling capability needs.</w:t>
      </w:r>
    </w:p>
    <w:p w:rsidR="0097192A" w:rsidRPr="0097192A" w:rsidP="0097192A" w14:paraId="27D26613" w14:textId="77777777">
      <w:pPr>
        <w:pStyle w:val="ListParagraph"/>
        <w:numPr>
          <w:ilvl w:val="0"/>
          <w:numId w:val="5"/>
        </w:numPr>
        <w:jc w:val="both"/>
        <w:rPr>
          <w:rFonts w:ascii="Calibri" w:hAnsi="Calibri" w:cs="Calibri"/>
        </w:rPr>
      </w:pPr>
      <w:r w:rsidRPr="0097192A">
        <w:rPr>
          <w:rFonts w:ascii="Calibri" w:hAnsi="Calibri" w:cs="Calibri"/>
        </w:rPr>
        <w:t>Led development and rolled out real-time transactional processing framework for middle/</w:t>
      </w:r>
      <w:r w:rsidRPr="0097192A">
        <w:rPr>
          <w:rFonts w:ascii="Calibri" w:hAnsi="Calibri" w:cs="Calibri"/>
        </w:rPr>
        <w:t>back office</w:t>
      </w:r>
      <w:r w:rsidRPr="0097192A">
        <w:rPr>
          <w:rFonts w:ascii="Calibri" w:hAnsi="Calibri" w:cs="Calibri"/>
        </w:rPr>
        <w:t xml:space="preserve"> processing and settlement services across various LOBs in a multi-year roadmap that streamlined trade processing, prime brokerage, sub-ledger, and settlement processing.</w:t>
      </w:r>
    </w:p>
    <w:p w:rsidR="004C329E" w:rsidRPr="0097192A" w:rsidP="0097192A" w14:paraId="33F4E9CF" w14:textId="477D832E">
      <w:pPr>
        <w:pStyle w:val="ListParagraph"/>
        <w:numPr>
          <w:ilvl w:val="0"/>
          <w:numId w:val="5"/>
        </w:numPr>
        <w:jc w:val="both"/>
        <w:rPr>
          <w:rFonts w:ascii="Calibri" w:hAnsi="Calibri" w:cs="Calibri"/>
        </w:rPr>
      </w:pPr>
      <w:r w:rsidRPr="0097192A">
        <w:rPr>
          <w:rFonts w:ascii="Calibri" w:hAnsi="Calibri" w:cs="Calibri"/>
        </w:rPr>
        <w:t>Modernized technology for 4,500 financial analyst desk users, resulting in a ~ 45% drop in overall operating costs. Enabled platform to run an additional 5000 virtual machines while building next-gen infrastructure design enabling accelerated delivery timeline by 28%.</w:t>
      </w:r>
    </w:p>
    <w:p w:rsidR="008C3D5D" w:rsidP="00BC40DC" w14:paraId="0156D329" w14:textId="77777777">
      <w:pPr>
        <w:jc w:val="both"/>
        <w:rPr>
          <w:rFonts w:ascii="Calibri" w:hAnsi="Calibri" w:cs="Calibri"/>
        </w:rPr>
      </w:pPr>
    </w:p>
    <w:p w:rsidR="006B6EF8" w:rsidRPr="004C329E" w:rsidP="006B6EF8" w14:paraId="375D3238" w14:textId="77777777">
      <w:pPr>
        <w:pBdr>
          <w:bottom w:val="single" w:sz="4" w:space="3" w:color="auto"/>
        </w:pBdr>
        <w:rPr>
          <w:rFonts w:ascii="Calibri" w:hAnsi="Calibri" w:cs="Calibri"/>
        </w:rPr>
      </w:pPr>
      <w:r>
        <w:rPr>
          <w:rFonts w:ascii="Calibri" w:hAnsi="Calibri" w:cs="Calibri"/>
          <w:b/>
          <w:bCs/>
        </w:rPr>
        <w:t>ADDITIONAL EXPERIENCE</w:t>
      </w:r>
      <w:r>
        <w:rPr>
          <w:rFonts w:ascii="Calibri" w:hAnsi="Calibri" w:cs="Calibri"/>
          <w:b/>
          <w:bCs/>
        </w:rPr>
        <w:t>:</w:t>
      </w:r>
      <w:r w:rsidRPr="001F7AC9">
        <w:rPr>
          <w:rFonts w:ascii="Calibri" w:hAnsi="Calibri" w:cs="Calibri"/>
        </w:rPr>
        <w:t xml:space="preserve"> </w:t>
      </w:r>
      <w:r>
        <w:rPr>
          <w:rFonts w:ascii="Calibri" w:hAnsi="Calibri" w:cs="Calibri"/>
        </w:rPr>
        <w:t xml:space="preserve">                                                                                                                                                                                       </w:t>
      </w:r>
    </w:p>
    <w:p w:rsidR="006B6EF8" w:rsidRPr="004C329E" w:rsidP="006B6EF8" w14:paraId="0D5C4F9C" w14:textId="77777777">
      <w:pPr>
        <w:jc w:val="both"/>
        <w:rPr>
          <w:rFonts w:ascii="Calibri" w:hAnsi="Calibri" w:cs="Calibri"/>
        </w:rPr>
      </w:pPr>
    </w:p>
    <w:p w:rsidR="008C3D5D" w:rsidRPr="006B6EF8" w:rsidP="00BC40DC" w14:paraId="6574F4A4" w14:textId="20659465">
      <w:pPr>
        <w:tabs>
          <w:tab w:val="right" w:pos="9900"/>
        </w:tabs>
        <w:jc w:val="both"/>
        <w:rPr>
          <w:rFonts w:ascii="Calibri" w:hAnsi="Calibri" w:cs="Calibri"/>
        </w:rPr>
      </w:pPr>
      <w:r w:rsidRPr="006B6EF8">
        <w:rPr>
          <w:rFonts w:ascii="Calibri" w:hAnsi="Calibri" w:cs="Calibri"/>
          <w:b/>
          <w:bCs/>
        </w:rPr>
        <w:t>PMO, Program Manager</w:t>
      </w:r>
      <w:r w:rsidRPr="006B6EF8">
        <w:rPr>
          <w:rFonts w:ascii="Calibri" w:hAnsi="Calibri" w:cs="Calibri"/>
          <w:bCs/>
        </w:rPr>
        <w:t xml:space="preserve"> at </w:t>
      </w:r>
      <w:r w:rsidRPr="006B6EF8" w:rsidR="004C329E">
        <w:rPr>
          <w:rFonts w:ascii="Calibri" w:hAnsi="Calibri" w:cs="Calibri"/>
          <w:b/>
          <w:bCs/>
        </w:rPr>
        <w:t>Moody’s Analytics</w:t>
      </w:r>
      <w:r w:rsidRPr="006B6EF8" w:rsidR="004C329E">
        <w:rPr>
          <w:rFonts w:ascii="Calibri" w:hAnsi="Calibri" w:cs="Calibri"/>
        </w:rPr>
        <w:t>, N</w:t>
      </w:r>
      <w:r w:rsidRPr="006B6EF8">
        <w:rPr>
          <w:rFonts w:ascii="Calibri" w:hAnsi="Calibri" w:cs="Calibri"/>
        </w:rPr>
        <w:t xml:space="preserve">ew </w:t>
      </w:r>
      <w:r w:rsidRPr="006B6EF8" w:rsidR="004C329E">
        <w:rPr>
          <w:rFonts w:ascii="Calibri" w:hAnsi="Calibri" w:cs="Calibri"/>
        </w:rPr>
        <w:t>Y</w:t>
      </w:r>
      <w:r w:rsidRPr="006B6EF8">
        <w:rPr>
          <w:rFonts w:ascii="Calibri" w:hAnsi="Calibri" w:cs="Calibri"/>
        </w:rPr>
        <w:t>ork, NY from November 2008 to August 2010</w:t>
      </w:r>
      <w:r w:rsidRPr="006B6EF8">
        <w:rPr>
          <w:rFonts w:ascii="Calibri" w:hAnsi="Calibri" w:cs="Calibri"/>
        </w:rPr>
        <w:tab/>
      </w:r>
    </w:p>
    <w:p w:rsidR="008C3D5D" w:rsidRPr="006B6EF8" w:rsidP="00BC40DC" w14:paraId="49EDCC99" w14:textId="015DF406">
      <w:pPr>
        <w:tabs>
          <w:tab w:val="right" w:pos="9900"/>
        </w:tabs>
        <w:jc w:val="both"/>
        <w:rPr>
          <w:rFonts w:ascii="Calibri" w:hAnsi="Calibri" w:cs="Calibri"/>
          <w:bCs/>
        </w:rPr>
      </w:pPr>
      <w:r w:rsidRPr="006B6EF8">
        <w:rPr>
          <w:rFonts w:ascii="Calibri" w:hAnsi="Calibri" w:cs="Calibri"/>
          <w:b/>
          <w:bCs/>
        </w:rPr>
        <w:t xml:space="preserve">Principal </w:t>
      </w:r>
      <w:r w:rsidRPr="006B6EF8" w:rsidR="004C329E">
        <w:rPr>
          <w:rFonts w:ascii="Calibri" w:hAnsi="Calibri" w:cs="Calibri"/>
          <w:b/>
          <w:bCs/>
        </w:rPr>
        <w:t>Technical Program Manager</w:t>
      </w:r>
      <w:r w:rsidRPr="006B6EF8" w:rsidR="004C329E">
        <w:rPr>
          <w:rFonts w:ascii="Calibri" w:hAnsi="Calibri" w:cs="Calibri"/>
          <w:bCs/>
        </w:rPr>
        <w:t xml:space="preserve"> </w:t>
      </w:r>
      <w:r w:rsidRPr="006B6EF8">
        <w:rPr>
          <w:rFonts w:ascii="Calibri" w:hAnsi="Calibri" w:cs="Calibri"/>
          <w:bCs/>
        </w:rPr>
        <w:t xml:space="preserve">at </w:t>
      </w:r>
      <w:r w:rsidRPr="006B6EF8">
        <w:rPr>
          <w:rFonts w:ascii="Calibri" w:hAnsi="Calibri" w:cs="Calibri"/>
          <w:b/>
          <w:bCs/>
        </w:rPr>
        <w:t>Microsoft</w:t>
      </w:r>
      <w:r w:rsidRPr="006B6EF8" w:rsidR="004C329E">
        <w:rPr>
          <w:rFonts w:ascii="Calibri" w:hAnsi="Calibri" w:cs="Calibri"/>
        </w:rPr>
        <w:t xml:space="preserve">, </w:t>
      </w:r>
      <w:r w:rsidRPr="006B6EF8">
        <w:rPr>
          <w:rFonts w:ascii="Calibri" w:hAnsi="Calibri" w:cs="Calibri"/>
        </w:rPr>
        <w:t xml:space="preserve">Redmond, </w:t>
      </w:r>
      <w:r w:rsidRPr="006B6EF8" w:rsidR="004C329E">
        <w:rPr>
          <w:rFonts w:ascii="Calibri" w:hAnsi="Calibri" w:cs="Calibri"/>
        </w:rPr>
        <w:t>WA</w:t>
      </w:r>
      <w:r w:rsidRPr="006B6EF8">
        <w:rPr>
          <w:rFonts w:ascii="Calibri" w:hAnsi="Calibri" w:cs="Calibri"/>
        </w:rPr>
        <w:t xml:space="preserve"> from April 2008 to November 2008</w:t>
      </w:r>
      <w:r w:rsidRPr="006B6EF8">
        <w:rPr>
          <w:rFonts w:ascii="Calibri" w:hAnsi="Calibri" w:cs="Calibri"/>
        </w:rPr>
        <w:tab/>
      </w:r>
    </w:p>
    <w:p w:rsidR="001B73C5" w:rsidP="00BC40DC" w14:paraId="24D2BF80" w14:textId="3A4B9726">
      <w:pPr>
        <w:tabs>
          <w:tab w:val="right" w:pos="9900"/>
        </w:tabs>
        <w:jc w:val="both"/>
        <w:rPr>
          <w:rFonts w:ascii="Calibri" w:hAnsi="Calibri" w:cs="Calibri"/>
        </w:rPr>
      </w:pPr>
      <w:r w:rsidRPr="006B6EF8">
        <w:rPr>
          <w:rFonts w:ascii="Calibri" w:hAnsi="Calibri" w:cs="Calibri"/>
          <w:b/>
          <w:bCs/>
        </w:rPr>
        <w:t>Managing Consultant</w:t>
      </w:r>
      <w:r w:rsidRPr="006B6EF8">
        <w:rPr>
          <w:rFonts w:ascii="Calibri" w:hAnsi="Calibri" w:cs="Calibri"/>
          <w:b/>
        </w:rPr>
        <w:t xml:space="preserve"> </w:t>
      </w:r>
      <w:r w:rsidRPr="006B6EF8">
        <w:rPr>
          <w:rFonts w:ascii="Calibri" w:hAnsi="Calibri" w:cs="Calibri"/>
        </w:rPr>
        <w:t xml:space="preserve">at </w:t>
      </w:r>
      <w:r w:rsidRPr="006B6EF8" w:rsidR="008C3D5D">
        <w:rPr>
          <w:rFonts w:ascii="Calibri" w:hAnsi="Calibri" w:cs="Calibri"/>
          <w:b/>
        </w:rPr>
        <w:t>Motorola</w:t>
      </w:r>
      <w:r w:rsidRPr="006B6EF8">
        <w:rPr>
          <w:rFonts w:ascii="Calibri" w:hAnsi="Calibri" w:cs="Calibri"/>
        </w:rPr>
        <w:t xml:space="preserve">, </w:t>
      </w:r>
      <w:r w:rsidR="006B6EF8">
        <w:rPr>
          <w:rFonts w:ascii="Calibri" w:hAnsi="Calibri" w:cs="Calibri"/>
        </w:rPr>
        <w:t xml:space="preserve">Schaumberg, </w:t>
      </w:r>
      <w:r w:rsidRPr="006B6EF8">
        <w:rPr>
          <w:rFonts w:ascii="Calibri" w:hAnsi="Calibri" w:cs="Calibri"/>
        </w:rPr>
        <w:t>IL</w:t>
      </w:r>
      <w:r w:rsidR="006B6EF8">
        <w:rPr>
          <w:rFonts w:ascii="Calibri" w:hAnsi="Calibri" w:cs="Calibri"/>
        </w:rPr>
        <w:t xml:space="preserve"> from August 2005 to March 2008.</w:t>
      </w:r>
    </w:p>
    <w:p w:rsidR="00D874F4" w:rsidP="00D874F4" w14:paraId="1C6EC969" w14:textId="77777777">
      <w:pPr>
        <w:jc w:val="both"/>
        <w:rPr>
          <w:rFonts w:ascii="Calibri" w:hAnsi="Calibri" w:cs="Calibri"/>
          <w:b/>
          <w:bCs/>
        </w:rPr>
      </w:pPr>
    </w:p>
    <w:p w:rsidR="00D874F4" w:rsidRPr="004C329E" w:rsidP="00D874F4" w14:paraId="61317B4A" w14:textId="77777777">
      <w:pPr>
        <w:pBdr>
          <w:bottom w:val="single" w:sz="4" w:space="3" w:color="auto"/>
        </w:pBdr>
        <w:rPr>
          <w:rFonts w:ascii="Calibri" w:hAnsi="Calibri" w:cs="Calibri"/>
        </w:rPr>
      </w:pPr>
      <w:r w:rsidRPr="000F742E">
        <w:rPr>
          <w:rFonts w:ascii="Calibri" w:hAnsi="Calibri" w:cs="Calibri"/>
          <w:b/>
          <w:bCs/>
        </w:rPr>
        <w:t>EDUCATION</w:t>
      </w:r>
      <w:r>
        <w:rPr>
          <w:rFonts w:ascii="Calibri" w:hAnsi="Calibri" w:cs="Calibri"/>
          <w:b/>
          <w:bCs/>
        </w:rPr>
        <w:t>:</w:t>
      </w:r>
      <w:r w:rsidRPr="001F7AC9">
        <w:rPr>
          <w:rFonts w:ascii="Calibri" w:hAnsi="Calibri" w:cs="Calibri"/>
        </w:rPr>
        <w:t xml:space="preserve"> </w:t>
      </w:r>
      <w:r>
        <w:rPr>
          <w:rFonts w:ascii="Calibri" w:hAnsi="Calibri" w:cs="Calibri"/>
        </w:rPr>
        <w:t xml:space="preserve">                                                                                                                                                                                       </w:t>
      </w:r>
    </w:p>
    <w:p w:rsidR="00D874F4" w:rsidRPr="004C329E" w:rsidP="00D874F4" w14:paraId="42539DEC" w14:textId="77777777">
      <w:pPr>
        <w:jc w:val="both"/>
        <w:rPr>
          <w:rFonts w:ascii="Calibri" w:hAnsi="Calibri" w:cs="Calibri"/>
        </w:rPr>
      </w:pPr>
    </w:p>
    <w:tbl>
      <w:tblPr>
        <w:tblStyle w:val="TableNormal"/>
        <w:tblW w:w="11502" w:type="dxa"/>
        <w:tblInd w:w="-162" w:type="dxa"/>
        <w:tblLook w:val="04A0"/>
      </w:tblPr>
      <w:tblGrid>
        <w:gridCol w:w="11502"/>
      </w:tblGrid>
      <w:tr w14:paraId="17D59CC1"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hideMark/>
          </w:tcPr>
          <w:p w:rsidR="00D874F4" w:rsidRPr="00F43D96" w:rsidP="00D874F4" w14:paraId="1CDE50FC" w14:textId="77777777">
            <w:pPr>
              <w:pStyle w:val="ListParagraph"/>
              <w:numPr>
                <w:ilvl w:val="0"/>
                <w:numId w:val="9"/>
              </w:numPr>
              <w:ind w:left="325" w:hanging="180"/>
              <w:rPr>
                <w:rFonts w:ascii="Arial" w:hAnsi="Arial" w:cs="Arial"/>
                <w:bCs/>
                <w:sz w:val="19"/>
                <w:szCs w:val="19"/>
              </w:rPr>
            </w:pPr>
            <w:r w:rsidRPr="00151E40">
              <w:rPr>
                <w:rFonts w:ascii="Arial" w:hAnsi="Arial" w:cs="Arial"/>
                <w:bCs/>
                <w:sz w:val="19"/>
                <w:szCs w:val="19"/>
              </w:rPr>
              <w:t>MBA (MIS &amp; Finance), Graduated in 2006, from  Brennan School of Business, Dominican University, IL, US</w:t>
            </w:r>
          </w:p>
        </w:tc>
      </w:tr>
      <w:tr w14:paraId="7868F2E0"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hideMark/>
          </w:tcPr>
          <w:p w:rsidR="00D874F4" w:rsidRPr="00F43D96" w:rsidP="00D874F4" w14:paraId="78EB5D58" w14:textId="77777777">
            <w:pPr>
              <w:pStyle w:val="ListParagraph"/>
              <w:numPr>
                <w:ilvl w:val="0"/>
                <w:numId w:val="9"/>
              </w:numPr>
              <w:ind w:left="325" w:hanging="180"/>
              <w:rPr>
                <w:rFonts w:ascii="Arial" w:hAnsi="Arial" w:cs="Arial"/>
                <w:bCs/>
                <w:sz w:val="19"/>
                <w:szCs w:val="19"/>
              </w:rPr>
            </w:pPr>
            <w:r w:rsidRPr="00151E40">
              <w:rPr>
                <w:rFonts w:ascii="Arial" w:hAnsi="Arial" w:cs="Arial"/>
                <w:bCs/>
                <w:sz w:val="19"/>
                <w:szCs w:val="19"/>
              </w:rPr>
              <w:t>B. Tech. (Computer Engineering), Graduated in 2004 from MNREC, UPTU, India.</w:t>
            </w:r>
            <w:r w:rsidRPr="00F43D96">
              <w:rPr>
                <w:rFonts w:ascii="Arial" w:hAnsi="Arial" w:cs="Arial"/>
                <w:bCs/>
                <w:sz w:val="19"/>
                <w:szCs w:val="19"/>
              </w:rPr>
              <w:t xml:space="preserve"> </w:t>
            </w:r>
          </w:p>
        </w:tc>
      </w:tr>
    </w:tbl>
    <w:p w:rsidR="00D874F4" w:rsidRPr="000F742E" w:rsidP="00D874F4" w14:paraId="6D3A6998" w14:textId="77777777">
      <w:pPr>
        <w:jc w:val="both"/>
        <w:rPr>
          <w:rFonts w:ascii="Calibri" w:hAnsi="Calibri" w:cs="Calibri"/>
          <w:b/>
          <w:bCs/>
        </w:rPr>
      </w:pPr>
    </w:p>
    <w:p w:rsidR="00D874F4" w:rsidRPr="004C329E" w:rsidP="00D874F4" w14:paraId="74F1CD8C" w14:textId="77777777">
      <w:pPr>
        <w:pBdr>
          <w:bottom w:val="single" w:sz="4" w:space="3" w:color="auto"/>
        </w:pBdr>
        <w:rPr>
          <w:rFonts w:ascii="Calibri" w:hAnsi="Calibri" w:cs="Calibri"/>
        </w:rPr>
      </w:pPr>
      <w:r>
        <w:rPr>
          <w:rFonts w:ascii="Calibri" w:hAnsi="Calibri" w:cs="Calibri"/>
          <w:b/>
          <w:bCs/>
        </w:rPr>
        <w:t>PROFESSIONAL TRAINING:</w:t>
      </w:r>
      <w:r w:rsidRPr="001F7AC9">
        <w:rPr>
          <w:rFonts w:ascii="Calibri" w:hAnsi="Calibri" w:cs="Calibri"/>
        </w:rPr>
        <w:t xml:space="preserve"> </w:t>
      </w:r>
      <w:r>
        <w:rPr>
          <w:rFonts w:ascii="Calibri" w:hAnsi="Calibri" w:cs="Calibri"/>
        </w:rPr>
        <w:t xml:space="preserve">                                                                                                                                                                                       </w:t>
      </w:r>
    </w:p>
    <w:p w:rsidR="00D874F4" w:rsidP="00D874F4" w14:paraId="7B677243" w14:textId="77777777">
      <w:pPr>
        <w:jc w:val="both"/>
        <w:rPr>
          <w:rFonts w:ascii="Calibri" w:hAnsi="Calibri" w:cs="Calibri"/>
          <w:b/>
          <w:bCs/>
        </w:rPr>
      </w:pPr>
    </w:p>
    <w:tbl>
      <w:tblPr>
        <w:tblStyle w:val="TableNormal"/>
        <w:tblW w:w="11502" w:type="dxa"/>
        <w:tblInd w:w="-162" w:type="dxa"/>
        <w:tblLook w:val="04A0"/>
      </w:tblPr>
      <w:tblGrid>
        <w:gridCol w:w="11502"/>
      </w:tblGrid>
      <w:tr w14:paraId="2C177002"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hideMark/>
          </w:tcPr>
          <w:p w:rsidR="00D874F4" w:rsidRPr="00F43D96" w:rsidP="00D874F4" w14:paraId="4A975EAA" w14:textId="77777777">
            <w:pPr>
              <w:pStyle w:val="ListParagraph"/>
              <w:numPr>
                <w:ilvl w:val="0"/>
                <w:numId w:val="9"/>
              </w:numPr>
              <w:ind w:left="324" w:hanging="180"/>
              <w:rPr>
                <w:rFonts w:ascii="Arial" w:hAnsi="Arial" w:cs="Arial"/>
                <w:bCs/>
                <w:sz w:val="19"/>
                <w:szCs w:val="19"/>
              </w:rPr>
            </w:pPr>
            <w:r w:rsidRPr="00F43D96">
              <w:rPr>
                <w:rFonts w:ascii="Arial" w:hAnsi="Arial" w:cs="Arial"/>
                <w:bCs/>
                <w:sz w:val="19"/>
                <w:szCs w:val="19"/>
              </w:rPr>
              <w:t xml:space="preserve">Executive Diploma in Strategic Leadership &amp; Management Specialization from </w:t>
            </w:r>
            <w:r>
              <w:rPr>
                <w:rFonts w:ascii="Arial" w:hAnsi="Arial" w:cs="Arial"/>
                <w:bCs/>
                <w:sz w:val="19"/>
                <w:szCs w:val="19"/>
              </w:rPr>
              <w:t xml:space="preserve">the </w:t>
            </w:r>
            <w:r w:rsidRPr="00F43D96">
              <w:rPr>
                <w:rFonts w:ascii="Arial" w:hAnsi="Arial" w:cs="Arial"/>
                <w:bCs/>
                <w:sz w:val="19"/>
                <w:szCs w:val="19"/>
              </w:rPr>
              <w:t>University of Illin</w:t>
            </w:r>
            <w:r>
              <w:rPr>
                <w:rFonts w:ascii="Arial" w:hAnsi="Arial" w:cs="Arial"/>
                <w:bCs/>
                <w:sz w:val="19"/>
                <w:szCs w:val="19"/>
              </w:rPr>
              <w:t>ois,</w:t>
            </w:r>
            <w:r w:rsidRPr="00F43D96">
              <w:rPr>
                <w:rFonts w:ascii="Arial" w:hAnsi="Arial" w:cs="Arial"/>
                <w:bCs/>
                <w:sz w:val="19"/>
                <w:szCs w:val="19"/>
              </w:rPr>
              <w:t xml:space="preserve"> </w:t>
            </w:r>
            <w:r>
              <w:rPr>
                <w:rFonts w:ascii="Arial" w:hAnsi="Arial" w:cs="Arial"/>
                <w:bCs/>
                <w:sz w:val="19"/>
                <w:szCs w:val="19"/>
              </w:rPr>
              <w:t>UC</w:t>
            </w:r>
            <w:r w:rsidRPr="00F43D96">
              <w:rPr>
                <w:rFonts w:ascii="Arial" w:hAnsi="Arial" w:cs="Arial"/>
                <w:bCs/>
                <w:sz w:val="19"/>
                <w:szCs w:val="19"/>
              </w:rPr>
              <w:t xml:space="preserve">, IL, US </w:t>
            </w:r>
          </w:p>
        </w:tc>
      </w:tr>
      <w:tr w14:paraId="5BFB08FF"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hideMark/>
          </w:tcPr>
          <w:p w:rsidR="00D874F4" w:rsidRPr="00F43D96" w:rsidP="00D874F4" w14:paraId="1A30C4CF" w14:textId="77777777">
            <w:pPr>
              <w:pStyle w:val="ListParagraph"/>
              <w:numPr>
                <w:ilvl w:val="0"/>
                <w:numId w:val="9"/>
              </w:numPr>
              <w:ind w:left="324" w:hanging="180"/>
              <w:rPr>
                <w:rFonts w:ascii="Arial" w:hAnsi="Arial" w:cs="Arial"/>
                <w:bCs/>
                <w:sz w:val="19"/>
                <w:szCs w:val="19"/>
              </w:rPr>
            </w:pPr>
            <w:r w:rsidRPr="00F43D96">
              <w:rPr>
                <w:rFonts w:ascii="Arial" w:hAnsi="Arial" w:cs="Arial"/>
                <w:bCs/>
                <w:sz w:val="19"/>
                <w:szCs w:val="19"/>
              </w:rPr>
              <w:t>Executive Diploma in Business Data Analytics &amp; Financial Model from Wharton, University of Pennsylvania, PA, US</w:t>
            </w:r>
          </w:p>
        </w:tc>
      </w:tr>
      <w:tr w14:paraId="189F7461"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hideMark/>
          </w:tcPr>
          <w:p w:rsidR="00D874F4" w:rsidRPr="00F43D96" w:rsidP="00D874F4" w14:paraId="489509A2" w14:textId="77777777">
            <w:pPr>
              <w:pStyle w:val="ListParagraph"/>
              <w:numPr>
                <w:ilvl w:val="0"/>
                <w:numId w:val="9"/>
              </w:numPr>
              <w:ind w:left="324" w:hanging="180"/>
              <w:rPr>
                <w:rFonts w:ascii="Arial" w:hAnsi="Arial" w:cs="Arial"/>
                <w:bCs/>
                <w:sz w:val="19"/>
                <w:szCs w:val="19"/>
              </w:rPr>
            </w:pPr>
            <w:r w:rsidRPr="00F43D96">
              <w:rPr>
                <w:rFonts w:ascii="Arial" w:hAnsi="Arial" w:cs="Arial"/>
                <w:bCs/>
                <w:sz w:val="19"/>
                <w:szCs w:val="19"/>
              </w:rPr>
              <w:t>Executive Diploma in Financial Engineering and Risk Management from Columbia University, NY, US</w:t>
            </w:r>
          </w:p>
        </w:tc>
      </w:tr>
      <w:tr w14:paraId="1B07246B" w14:textId="77777777" w:rsidTr="00DF274E">
        <w:tblPrEx>
          <w:tblW w:w="11502" w:type="dxa"/>
          <w:tblInd w:w="-162" w:type="dxa"/>
          <w:tblLook w:val="04A0"/>
        </w:tblPrEx>
        <w:trPr>
          <w:trHeight w:val="153"/>
        </w:trPr>
        <w:tc>
          <w:tcPr>
            <w:tcW w:w="11502" w:type="dxa"/>
            <w:tcBorders>
              <w:top w:val="nil"/>
              <w:left w:val="nil"/>
              <w:bottom w:val="nil"/>
              <w:right w:val="nil"/>
            </w:tcBorders>
            <w:shd w:val="clear" w:color="auto" w:fill="auto"/>
            <w:noWrap/>
          </w:tcPr>
          <w:p w:rsidR="00D874F4" w:rsidRPr="00F43D96" w:rsidP="00DF274E" w14:paraId="38406FA0" w14:textId="77777777">
            <w:pPr>
              <w:rPr>
                <w:rFonts w:ascii="Arial" w:hAnsi="Arial" w:cs="Arial"/>
                <w:b/>
                <w:bCs/>
                <w:sz w:val="19"/>
                <w:szCs w:val="19"/>
              </w:rPr>
            </w:pPr>
          </w:p>
        </w:tc>
      </w:tr>
    </w:tbl>
    <w:p w:rsidR="00D874F4" w:rsidRPr="004C329E" w:rsidP="00D874F4" w14:paraId="7C0CE7CC" w14:textId="77777777">
      <w:pPr>
        <w:pBdr>
          <w:bottom w:val="single" w:sz="4" w:space="3" w:color="auto"/>
        </w:pBdr>
        <w:rPr>
          <w:rFonts w:ascii="Calibri" w:hAnsi="Calibri" w:cs="Calibri"/>
        </w:rPr>
      </w:pPr>
      <w:r>
        <w:rPr>
          <w:rFonts w:ascii="Calibri" w:hAnsi="Calibri" w:cs="Calibri"/>
          <w:b/>
          <w:bCs/>
        </w:rPr>
        <w:t>CERTIFICATION:</w:t>
      </w:r>
      <w:r w:rsidRPr="001F7AC9">
        <w:rPr>
          <w:rFonts w:ascii="Calibri" w:hAnsi="Calibri" w:cs="Calibri"/>
        </w:rPr>
        <w:t xml:space="preserve"> </w:t>
      </w:r>
      <w:r>
        <w:rPr>
          <w:rFonts w:ascii="Calibri" w:hAnsi="Calibri" w:cs="Calibri"/>
        </w:rPr>
        <w:t xml:space="preserve">                                                                                                                                                                                       </w:t>
      </w:r>
    </w:p>
    <w:p w:rsidR="00D874F4" w:rsidP="00D874F4" w14:paraId="16256F87" w14:textId="77777777">
      <w:pPr>
        <w:tabs>
          <w:tab w:val="left" w:pos="4605"/>
        </w:tabs>
        <w:ind w:left="90"/>
        <w:rPr>
          <w:rFonts w:ascii="Arial" w:hAnsi="Arial" w:cs="Arial"/>
          <w:b/>
          <w:sz w:val="19"/>
          <w:szCs w:val="19"/>
        </w:rPr>
      </w:pPr>
      <w:r>
        <w:rPr>
          <w:rFonts w:ascii="Calibri" w:hAnsi="Calibri" w:cs="Calibri"/>
          <w:b/>
          <w:bCs/>
        </w:rPr>
        <w:t xml:space="preserve"> </w:t>
      </w:r>
      <w:r>
        <w:rPr>
          <w:rFonts w:ascii="Calibri" w:hAnsi="Calibri" w:cs="Calibri"/>
          <w:b/>
          <w:bCs/>
        </w:rPr>
        <w:tab/>
      </w:r>
    </w:p>
    <w:p w:rsidR="00D874F4" w:rsidRPr="00452CCA" w:rsidP="00D874F4" w14:paraId="35344F9B" w14:textId="77777777">
      <w:pPr>
        <w:pStyle w:val="ListParagraph"/>
        <w:numPr>
          <w:ilvl w:val="0"/>
          <w:numId w:val="8"/>
        </w:numPr>
        <w:ind w:left="270" w:hanging="180"/>
        <w:rPr>
          <w:rFonts w:ascii="Arial" w:hAnsi="Arial" w:cs="Arial"/>
          <w:bCs/>
          <w:i/>
          <w:sz w:val="19"/>
          <w:szCs w:val="19"/>
        </w:rPr>
      </w:pPr>
      <w:r w:rsidRPr="00452CCA">
        <w:rPr>
          <w:rFonts w:ascii="Arial" w:hAnsi="Arial" w:cs="Arial"/>
          <w:bCs/>
          <w:sz w:val="19"/>
          <w:szCs w:val="19"/>
        </w:rPr>
        <w:t>ISACA – CISA, CRISC</w:t>
      </w:r>
      <w:r w:rsidRPr="00452CCA">
        <w:rPr>
          <w:rFonts w:ascii="Arial" w:hAnsi="Arial" w:cs="Arial"/>
          <w:bCs/>
          <w:i/>
          <w:sz w:val="19"/>
          <w:szCs w:val="19"/>
        </w:rPr>
        <w:t xml:space="preserve">; </w:t>
      </w:r>
      <w:r w:rsidRPr="00452CCA">
        <w:rPr>
          <w:rFonts w:ascii="Arial" w:hAnsi="Arial" w:cs="Arial"/>
          <w:bCs/>
          <w:sz w:val="19"/>
          <w:szCs w:val="19"/>
        </w:rPr>
        <w:t xml:space="preserve">PMI – PMP AWS Certified – Cloud, AI (ML / DL), IoT Practitioner, NACHA – APRP, </w:t>
      </w:r>
    </w:p>
    <w:p w:rsidR="00D874F4" w:rsidRPr="00452CCA" w:rsidP="00D874F4" w14:paraId="32DEC4AD" w14:textId="77777777">
      <w:pPr>
        <w:pStyle w:val="ListParagraph"/>
        <w:numPr>
          <w:ilvl w:val="0"/>
          <w:numId w:val="8"/>
        </w:numPr>
        <w:ind w:left="270" w:hanging="180"/>
        <w:rPr>
          <w:rFonts w:ascii="Arial" w:hAnsi="Arial" w:cs="Arial"/>
          <w:sz w:val="19"/>
          <w:szCs w:val="19"/>
        </w:rPr>
      </w:pPr>
      <w:r w:rsidRPr="00452CCA">
        <w:rPr>
          <w:rFonts w:ascii="Arial" w:hAnsi="Arial" w:cs="Arial"/>
          <w:sz w:val="19"/>
          <w:szCs w:val="19"/>
        </w:rPr>
        <w:t xml:space="preserve">Six Sigma Black Belt </w:t>
      </w:r>
      <w:r w:rsidRPr="00452CCA">
        <w:rPr>
          <w:rFonts w:ascii="Arial" w:hAnsi="Arial" w:cs="Arial"/>
          <w:bCs/>
          <w:sz w:val="19"/>
          <w:szCs w:val="19"/>
        </w:rPr>
        <w:t>Certified</w:t>
      </w:r>
      <w:r w:rsidRPr="00452CCA">
        <w:rPr>
          <w:rFonts w:ascii="Arial" w:hAnsi="Arial" w:cs="Arial"/>
          <w:sz w:val="19"/>
          <w:szCs w:val="19"/>
        </w:rPr>
        <w:t xml:space="preserve">, </w:t>
      </w:r>
      <w:r w:rsidRPr="00452CCA">
        <w:rPr>
          <w:rFonts w:ascii="Arial" w:hAnsi="Arial" w:cs="Arial"/>
          <w:bCs/>
          <w:sz w:val="19"/>
          <w:szCs w:val="19"/>
        </w:rPr>
        <w:t>Exin</w:t>
      </w:r>
      <w:r w:rsidRPr="00452CCA">
        <w:rPr>
          <w:rFonts w:ascii="Arial" w:hAnsi="Arial" w:cs="Arial"/>
          <w:sz w:val="19"/>
          <w:szCs w:val="19"/>
        </w:rPr>
        <w:t xml:space="preserve"> ITIL v3.0 </w:t>
      </w:r>
      <w:r w:rsidRPr="00452CCA">
        <w:rPr>
          <w:rFonts w:ascii="Arial" w:hAnsi="Arial" w:cs="Arial"/>
          <w:bCs/>
          <w:sz w:val="19"/>
          <w:szCs w:val="19"/>
        </w:rPr>
        <w:t xml:space="preserve">Trained; </w:t>
      </w:r>
      <w:r w:rsidRPr="00452CCA">
        <w:rPr>
          <w:rFonts w:ascii="Arial" w:hAnsi="Arial" w:cs="Arial"/>
          <w:sz w:val="19"/>
          <w:szCs w:val="19"/>
        </w:rPr>
        <w:t xml:space="preserve">SAFe - Advanced SCRUM Master (SASM); </w:t>
      </w:r>
    </w:p>
    <w:p w:rsidR="00D874F4" w:rsidRPr="00D874F4" w:rsidP="00FC47C4" w14:paraId="00F25DF5" w14:textId="12D1B9D7">
      <w:pPr>
        <w:pStyle w:val="ListParagraph"/>
        <w:numPr>
          <w:ilvl w:val="0"/>
          <w:numId w:val="8"/>
        </w:numPr>
        <w:tabs>
          <w:tab w:val="right" w:pos="9900"/>
        </w:tabs>
        <w:ind w:left="270" w:hanging="180"/>
        <w:jc w:val="both"/>
        <w:rPr>
          <w:rFonts w:ascii="Calibri" w:hAnsi="Calibri" w:cs="Calibri"/>
          <w:b/>
          <w:bCs/>
        </w:rPr>
      </w:pPr>
      <w:r w:rsidRPr="00D874F4">
        <w:rPr>
          <w:rFonts w:ascii="Arial" w:hAnsi="Arial" w:cs="Arial"/>
          <w:sz w:val="19"/>
          <w:szCs w:val="19"/>
        </w:rPr>
        <w:t>MCSE; MCDBA, IBM-WebSphere.</w:t>
      </w:r>
    </w:p>
    <w:p w:rsidR="00D874F4" w:rsidP="00D874F4" w14:paraId="77BB7B47" w14:textId="77777777">
      <w:pPr>
        <w:pBdr>
          <w:bottom w:val="single" w:sz="4" w:space="3" w:color="auto"/>
        </w:pBdr>
        <w:rPr>
          <w:rFonts w:ascii="Calibri" w:hAnsi="Calibri" w:cs="Calibri"/>
          <w:b/>
          <w:bCs/>
        </w:rPr>
      </w:pPr>
    </w:p>
    <w:p w:rsidR="00D874F4" w:rsidRPr="004C329E" w:rsidP="00D874F4" w14:paraId="6E755D68" w14:textId="77777777">
      <w:pPr>
        <w:pBdr>
          <w:bottom w:val="single" w:sz="4" w:space="3" w:color="auto"/>
        </w:pBdr>
        <w:rPr>
          <w:rFonts w:ascii="Calibri" w:hAnsi="Calibri" w:cs="Calibri"/>
        </w:rPr>
      </w:pPr>
      <w:r w:rsidRPr="003B1B06">
        <w:rPr>
          <w:rFonts w:ascii="Calibri" w:hAnsi="Calibri" w:cs="Calibri"/>
          <w:b/>
          <w:bCs/>
        </w:rPr>
        <w:t xml:space="preserve">CORE </w:t>
      </w:r>
      <w:r>
        <w:rPr>
          <w:rFonts w:ascii="Calibri" w:hAnsi="Calibri" w:cs="Calibri"/>
          <w:b/>
          <w:bCs/>
        </w:rPr>
        <w:t>TECHNOLOGY COMPETENCIES:</w:t>
      </w:r>
      <w:r w:rsidRPr="001F7AC9">
        <w:rPr>
          <w:rFonts w:ascii="Calibri" w:hAnsi="Calibri" w:cs="Calibri"/>
        </w:rPr>
        <w:t xml:space="preserve"> </w:t>
      </w:r>
      <w:r>
        <w:rPr>
          <w:rFonts w:ascii="Calibri" w:hAnsi="Calibri" w:cs="Calibri"/>
        </w:rPr>
        <w:t xml:space="preserve">                                                                                                                                                                                       </w:t>
      </w:r>
    </w:p>
    <w:p w:rsidR="00D874F4" w:rsidP="00D874F4" w14:paraId="278D607C" w14:textId="77777777">
      <w:pPr>
        <w:jc w:val="both"/>
        <w:rPr>
          <w:rFonts w:ascii="Calibri" w:hAnsi="Calibri" w:cs="Calibri"/>
          <w:b/>
          <w:bCs/>
        </w:rPr>
      </w:pPr>
    </w:p>
    <w:p w:rsidR="00D874F4" w:rsidRPr="00D874F4" w:rsidP="00D874F4" w14:paraId="75BB38B4" w14:textId="77777777">
      <w:pPr>
        <w:pStyle w:val="ListParagraph"/>
        <w:numPr>
          <w:ilvl w:val="0"/>
          <w:numId w:val="12"/>
        </w:numPr>
        <w:jc w:val="both"/>
        <w:rPr>
          <w:rFonts w:ascii="Calibri" w:hAnsi="Calibri" w:cs="Calibri"/>
          <w:bCs/>
        </w:rPr>
      </w:pPr>
      <w:r w:rsidRPr="00D874F4">
        <w:rPr>
          <w:rFonts w:ascii="Calibri" w:hAnsi="Calibri" w:cs="Calibri"/>
          <w:bCs/>
        </w:rPr>
        <w:t xml:space="preserve">Program / Product Management (Clarity, PPM, JIRA, Confluence, Quality Center, MS Project Plan, SharePoint) </w:t>
      </w:r>
    </w:p>
    <w:p w:rsidR="00D874F4" w:rsidRPr="00D874F4" w:rsidP="00D874F4" w14:paraId="2A7B526B" w14:textId="77777777">
      <w:pPr>
        <w:pStyle w:val="ListParagraph"/>
        <w:numPr>
          <w:ilvl w:val="0"/>
          <w:numId w:val="12"/>
        </w:numPr>
        <w:jc w:val="both"/>
        <w:rPr>
          <w:rFonts w:ascii="Calibri" w:hAnsi="Calibri" w:cs="Calibri"/>
          <w:bCs/>
        </w:rPr>
      </w:pPr>
      <w:r w:rsidRPr="00D874F4">
        <w:rPr>
          <w:rFonts w:ascii="Calibri" w:hAnsi="Calibri" w:cs="Calibri"/>
          <w:bCs/>
        </w:rPr>
        <w:t xml:space="preserve">AI/ML (OpenAI, MS Azure AI, GenAI, ChatGPT), and Cloud Computing (Google GCP, AWS, Azure) </w:t>
      </w:r>
    </w:p>
    <w:p w:rsidR="00D874F4" w:rsidRPr="00D874F4" w:rsidP="00D874F4" w14:paraId="5815A49E" w14:textId="77777777">
      <w:pPr>
        <w:pStyle w:val="ListParagraph"/>
        <w:numPr>
          <w:ilvl w:val="0"/>
          <w:numId w:val="12"/>
        </w:numPr>
        <w:jc w:val="both"/>
        <w:rPr>
          <w:rFonts w:ascii="Calibri" w:hAnsi="Calibri" w:cs="Calibri"/>
          <w:bCs/>
        </w:rPr>
      </w:pPr>
      <w:r w:rsidRPr="00D874F4">
        <w:rPr>
          <w:rFonts w:ascii="Calibri" w:hAnsi="Calibri" w:cs="Calibri"/>
          <w:bCs/>
        </w:rPr>
        <w:t xml:space="preserve">Emerging Tech Framework (PyTorch, TensorFlow) &amp; Platform (Azure ML, AWS SageMaker, Google CloudAI) </w:t>
      </w:r>
    </w:p>
    <w:p w:rsidR="00D874F4" w:rsidRPr="00D874F4" w:rsidP="00D874F4" w14:paraId="515921C1" w14:textId="77777777">
      <w:pPr>
        <w:pStyle w:val="ListParagraph"/>
        <w:numPr>
          <w:ilvl w:val="0"/>
          <w:numId w:val="12"/>
        </w:numPr>
        <w:jc w:val="both"/>
        <w:rPr>
          <w:rFonts w:ascii="Calibri" w:hAnsi="Calibri" w:cs="Calibri"/>
          <w:bCs/>
        </w:rPr>
      </w:pPr>
      <w:r w:rsidRPr="00D874F4">
        <w:rPr>
          <w:rFonts w:ascii="Calibri" w:hAnsi="Calibri" w:cs="Calibri"/>
          <w:bCs/>
        </w:rPr>
        <w:t xml:space="preserve">SIEM Security (MS Azure IAM, CyberFusion Center, Sailpoint, CyberArk, Imperva) </w:t>
      </w:r>
    </w:p>
    <w:p w:rsidR="00D874F4" w:rsidRPr="00D874F4" w:rsidP="00D874F4" w14:paraId="6370D994" w14:textId="77777777">
      <w:pPr>
        <w:pStyle w:val="ListParagraph"/>
        <w:numPr>
          <w:ilvl w:val="0"/>
          <w:numId w:val="12"/>
        </w:numPr>
        <w:jc w:val="both"/>
        <w:rPr>
          <w:rFonts w:ascii="Calibri" w:hAnsi="Calibri" w:cs="Calibri"/>
          <w:bCs/>
        </w:rPr>
      </w:pPr>
      <w:r w:rsidRPr="00D874F4">
        <w:rPr>
          <w:rFonts w:ascii="Calibri" w:hAnsi="Calibri" w:cs="Calibri"/>
          <w:bCs/>
        </w:rPr>
        <w:t>RCSA &amp; Audit Data Analytics (Tableau, QlikView, PowerBI, Cognos, SPLUNK)</w:t>
      </w:r>
    </w:p>
    <w:p w:rsidR="00D874F4" w:rsidP="00D874F4" w14:paraId="3727CDA2" w14:textId="77777777">
      <w:pPr>
        <w:pStyle w:val="ListParagraph"/>
        <w:numPr>
          <w:ilvl w:val="0"/>
          <w:numId w:val="12"/>
        </w:numPr>
        <w:jc w:val="both"/>
        <w:rPr>
          <w:rFonts w:ascii="Calibri" w:hAnsi="Calibri" w:cs="Calibri"/>
          <w:bCs/>
        </w:rPr>
      </w:pPr>
      <w:r w:rsidRPr="00D874F4">
        <w:rPr>
          <w:rFonts w:ascii="Calibri" w:hAnsi="Calibri" w:cs="Calibri"/>
          <w:bCs/>
        </w:rPr>
        <w:t xml:space="preserve">Configurations Management/Automation (Ansible, Puppet, Chef) </w:t>
      </w:r>
    </w:p>
    <w:p w:rsidR="00D874F4" w:rsidRPr="00D874F4" w:rsidP="00D874F4" w14:paraId="12D32B99" w14:textId="464744D1">
      <w:pPr>
        <w:pStyle w:val="ListParagraph"/>
        <w:numPr>
          <w:ilvl w:val="0"/>
          <w:numId w:val="12"/>
        </w:numPr>
        <w:jc w:val="both"/>
        <w:rPr>
          <w:rFonts w:ascii="Calibri" w:hAnsi="Calibri" w:cs="Calibri"/>
          <w:bCs/>
        </w:rPr>
      </w:pPr>
      <w:r w:rsidRPr="009062C3">
        <w:rPr>
          <w:rFonts w:ascii="Calibri" w:hAnsi="Calibri" w:cs="Calibri"/>
          <w:bCs/>
        </w:rPr>
        <w:t>Scripting (Python, Ruby), Network Services (R&amp;S, Firewalls), Virtualization (VMware, KVM, hyper-V)</w:t>
      </w:r>
    </w:p>
    <w:sectPr w:rsidSect="009247CD">
      <w:footerReference w:type="default" r:id="rId6"/>
      <w:pgSz w:w="12240" w:h="15840" w:code="1"/>
      <w:pgMar w:top="720" w:right="990" w:bottom="72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Calibri" w:hAnsi="Calibri" w:cs="Calibri"/>
        <w:color w:val="006A68"/>
        <w:sz w:val="16"/>
        <w:szCs w:val="16"/>
      </w:rPr>
      <w:id w:val="2096457660"/>
      <w:docPartObj>
        <w:docPartGallery w:val="Page Numbers (Bottom of Page)"/>
        <w:docPartUnique/>
      </w:docPartObj>
    </w:sdtPr>
    <w:sdtContent>
      <w:sdt>
        <w:sdtPr>
          <w:rPr>
            <w:rFonts w:ascii="Calibri" w:hAnsi="Calibri" w:cs="Calibri"/>
            <w:color w:val="006A68"/>
            <w:sz w:val="16"/>
            <w:szCs w:val="16"/>
          </w:rPr>
          <w:id w:val="1807089920"/>
          <w:docPartObj>
            <w:docPartGallery w:val="Page Numbers (Top of Page)"/>
            <w:docPartUnique/>
          </w:docPartObj>
        </w:sdtPr>
        <w:sdtContent>
          <w:p w:rsidR="00341787" w:rsidRPr="004B0988" w:rsidP="00F75961" w14:paraId="33F17C82" w14:textId="1B35571C">
            <w:pPr>
              <w:pStyle w:val="Footer"/>
              <w:rPr>
                <w:rFonts w:ascii="Calibri" w:hAnsi="Calibri" w:cs="Calibri"/>
                <w:color w:val="006A68"/>
                <w:sz w:val="16"/>
                <w:szCs w:val="16"/>
              </w:rPr>
            </w:pPr>
            <w:r w:rsidRPr="004B0988">
              <w:rPr>
                <w:noProof/>
                <w:color w:val="006A68"/>
                <w:sz w:val="16"/>
                <w:szCs w:val="16"/>
              </w:rPr>
              <mc:AlternateContent>
                <mc:Choice Requires="wps">
                  <w:drawing>
                    <wp:anchor distT="0" distB="0" distL="114300" distR="114300" simplePos="0" relativeHeight="251659264" behindDoc="0" locked="0" layoutInCell="1" allowOverlap="1">
                      <wp:simplePos x="0" y="0"/>
                      <wp:positionH relativeFrom="column">
                        <wp:posOffset>-19878</wp:posOffset>
                      </wp:positionH>
                      <wp:positionV relativeFrom="paragraph">
                        <wp:posOffset>-63831</wp:posOffset>
                      </wp:positionV>
                      <wp:extent cx="6559826" cy="15902"/>
                      <wp:effectExtent l="0" t="0" r="31750" b="22225"/>
                      <wp:wrapNone/>
                      <wp:docPr id="1" name="Straight Connector 1">
                        <a:hlinkClick xmlns:a="http://schemas.openxmlformats.org/drawingml/2006/main" xmlns:r="http://schemas.openxmlformats.org/officeDocument/2006/relationships" r:id="rId1"/>
                      </wp:docPr>
                      <wp:cNvGraphicFramePr/>
                      <a:graphic xmlns:a="http://schemas.openxmlformats.org/drawingml/2006/main">
                        <a:graphicData uri="http://schemas.microsoft.com/office/word/2010/wordprocessingShape">
                          <wps:wsp xmlns:wps="http://schemas.microsoft.com/office/word/2010/wordprocessingShape">
                            <wps:cNvCnPr/>
                            <wps:spPr>
                              <a:xfrm>
                                <a:off x="0" y="0"/>
                                <a:ext cx="6559826" cy="1590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2049" href="mailto:" style="mso-wrap-distance-bottom:0;mso-wrap-distance-left:9pt;mso-wrap-distance-right:9pt;mso-wrap-distance-top:0;position:absolute;v-text-anchor:top;z-index:251658240" from="-1.57pt,-5.03pt" to="514.96pt,-3.77pt" fillcolor="this" stroked="t" strokecolor="#7f7f7f" strokeweight="0.5pt"/>
                  </w:pict>
                </mc:Fallback>
              </mc:AlternateContent>
            </w:r>
            <w:r w:rsidRPr="004B0988">
              <w:rPr>
                <w:rFonts w:ascii="Calibri" w:hAnsi="Calibri" w:cs="Calibri"/>
                <w:color w:val="006A68"/>
                <w:sz w:val="16"/>
                <w:szCs w:val="16"/>
              </w:rPr>
              <w:t xml:space="preserve"> </w:t>
            </w:r>
            <w:r w:rsidRPr="004B0988">
              <w:rPr>
                <w:rFonts w:ascii="Calibri" w:hAnsi="Calibri" w:cs="Calibri"/>
                <w:color w:val="006A68"/>
                <w:sz w:val="16"/>
                <w:szCs w:val="16"/>
              </w:rPr>
              <w:t xml:space="preserve">                                  </w:t>
            </w:r>
            <w:r w:rsidRPr="004B0988">
              <w:rPr>
                <w:rFonts w:ascii="Calibri" w:hAnsi="Calibri" w:cs="Calibri"/>
                <w:color w:val="006A68"/>
                <w:sz w:val="16"/>
                <w:szCs w:val="16"/>
              </w:rPr>
              <w:t xml:space="preserve">                                </w:t>
            </w:r>
            <w:r w:rsidRPr="004B0988">
              <w:rPr>
                <w:rFonts w:ascii="Calibri" w:hAnsi="Calibri" w:cs="Calibri"/>
                <w:color w:val="006A68"/>
                <w:sz w:val="16"/>
                <w:szCs w:val="16"/>
              </w:rPr>
              <w:t xml:space="preserve">Page </w:t>
            </w:r>
            <w:r w:rsidRPr="004B0988">
              <w:rPr>
                <w:rFonts w:ascii="Calibri" w:hAnsi="Calibri" w:cs="Calibri"/>
                <w:bCs/>
                <w:color w:val="006A68"/>
                <w:sz w:val="16"/>
                <w:szCs w:val="16"/>
              </w:rPr>
              <w:fldChar w:fldCharType="begin"/>
            </w:r>
            <w:r w:rsidRPr="004B0988">
              <w:rPr>
                <w:rFonts w:ascii="Calibri" w:hAnsi="Calibri" w:cs="Calibri"/>
                <w:bCs/>
                <w:color w:val="006A68"/>
                <w:sz w:val="16"/>
                <w:szCs w:val="16"/>
              </w:rPr>
              <w:instrText xml:space="preserve"> PAGE </w:instrText>
            </w:r>
            <w:r w:rsidRPr="004B0988">
              <w:rPr>
                <w:rFonts w:ascii="Calibri" w:hAnsi="Calibri" w:cs="Calibri"/>
                <w:bCs/>
                <w:color w:val="006A68"/>
                <w:sz w:val="16"/>
                <w:szCs w:val="16"/>
              </w:rPr>
              <w:fldChar w:fldCharType="separate"/>
            </w:r>
            <w:r w:rsidR="008B797E">
              <w:rPr>
                <w:rFonts w:ascii="Calibri" w:hAnsi="Calibri" w:cs="Calibri"/>
                <w:bCs/>
                <w:noProof/>
                <w:color w:val="006A68"/>
                <w:sz w:val="16"/>
                <w:szCs w:val="16"/>
              </w:rPr>
              <w:t>1</w:t>
            </w:r>
            <w:r w:rsidRPr="004B0988">
              <w:rPr>
                <w:rFonts w:ascii="Calibri" w:hAnsi="Calibri" w:cs="Calibri"/>
                <w:bCs/>
                <w:color w:val="006A68"/>
                <w:sz w:val="16"/>
                <w:szCs w:val="16"/>
              </w:rPr>
              <w:fldChar w:fldCharType="end"/>
            </w:r>
            <w:r w:rsidRPr="004B0988">
              <w:rPr>
                <w:rFonts w:ascii="Calibri" w:hAnsi="Calibri" w:cs="Calibri"/>
                <w:color w:val="006A68"/>
                <w:sz w:val="16"/>
                <w:szCs w:val="16"/>
              </w:rPr>
              <w:t xml:space="preserve"> of </w:t>
            </w:r>
            <w:r w:rsidRPr="004B0988">
              <w:rPr>
                <w:rFonts w:ascii="Calibri" w:hAnsi="Calibri" w:cs="Calibri"/>
                <w:bCs/>
                <w:color w:val="006A68"/>
                <w:sz w:val="16"/>
                <w:szCs w:val="16"/>
              </w:rPr>
              <w:fldChar w:fldCharType="begin"/>
            </w:r>
            <w:r w:rsidRPr="004B0988">
              <w:rPr>
                <w:rFonts w:ascii="Calibri" w:hAnsi="Calibri" w:cs="Calibri"/>
                <w:bCs/>
                <w:color w:val="006A68"/>
                <w:sz w:val="16"/>
                <w:szCs w:val="16"/>
              </w:rPr>
              <w:instrText xml:space="preserve"> NUMPAGES  </w:instrText>
            </w:r>
            <w:r w:rsidRPr="004B0988">
              <w:rPr>
                <w:rFonts w:ascii="Calibri" w:hAnsi="Calibri" w:cs="Calibri"/>
                <w:bCs/>
                <w:color w:val="006A68"/>
                <w:sz w:val="16"/>
                <w:szCs w:val="16"/>
              </w:rPr>
              <w:fldChar w:fldCharType="separate"/>
            </w:r>
            <w:r w:rsidR="008B797E">
              <w:rPr>
                <w:rFonts w:ascii="Calibri" w:hAnsi="Calibri" w:cs="Calibri"/>
                <w:bCs/>
                <w:noProof/>
                <w:color w:val="006A68"/>
                <w:sz w:val="16"/>
                <w:szCs w:val="16"/>
              </w:rPr>
              <w:t>3</w:t>
            </w:r>
            <w:r w:rsidRPr="004B0988">
              <w:rPr>
                <w:rFonts w:ascii="Calibri" w:hAnsi="Calibri" w:cs="Calibri"/>
                <w:bCs/>
                <w:color w:val="006A68"/>
                <w:sz w:val="16"/>
                <w:szCs w:val="16"/>
              </w:rPr>
              <w:fldChar w:fldCharType="end"/>
            </w:r>
            <w:r w:rsidRPr="004B0988">
              <w:rPr>
                <w:rFonts w:ascii="Calibri" w:hAnsi="Calibri" w:cs="Calibri"/>
                <w:bCs/>
                <w:color w:val="006A68"/>
                <w:sz w:val="16"/>
                <w:szCs w:val="16"/>
              </w:rPr>
              <w:t xml:space="preserve">         </w:t>
            </w:r>
            <w:r w:rsidRPr="004B0988">
              <w:rPr>
                <w:rFonts w:ascii="Calibri" w:hAnsi="Calibri" w:cs="Calibri"/>
                <w:bCs/>
                <w:color w:val="006A68"/>
                <w:sz w:val="16"/>
                <w:szCs w:val="16"/>
              </w:rPr>
              <w:t xml:space="preserve">                        </w:t>
            </w:r>
            <w:r w:rsidRPr="004B0988">
              <w:rPr>
                <w:rFonts w:ascii="Calibri" w:hAnsi="Calibri" w:cs="Calibri"/>
                <w:bCs/>
                <w:color w:val="006A68"/>
                <w:sz w:val="16"/>
                <w:szCs w:val="16"/>
              </w:rPr>
              <w:t xml:space="preserve">                                                                           </w:t>
            </w:r>
          </w:p>
        </w:sdtContent>
      </w:sdt>
    </w:sdtContent>
  </w:sdt>
  <w:p w:rsidR="00341787" w:rsidRPr="004B0988" w14:paraId="13211F74" w14:textId="77777777">
    <w:pPr>
      <w:pStyle w:val="Footer"/>
      <w:rPr>
        <w:rFonts w:ascii="Calibri" w:hAnsi="Calibri" w:cs="Calibri"/>
        <w:color w:val="006A68"/>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AB7F7B"/>
    <w:multiLevelType w:val="hybridMultilevel"/>
    <w:tmpl w:val="BE3804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C95BEE"/>
    <w:multiLevelType w:val="hybridMultilevel"/>
    <w:tmpl w:val="209A1D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F0E39AD"/>
    <w:multiLevelType w:val="hybridMultilevel"/>
    <w:tmpl w:val="B7B64F26"/>
    <w:lvl w:ilvl="0">
      <w:start w:val="1"/>
      <w:numFmt w:val="bullet"/>
      <w:lvlText w:val="•"/>
      <w:lvlJc w:val="left"/>
      <w:pPr>
        <w:ind w:left="360" w:hanging="360"/>
      </w:pPr>
      <w:rPr>
        <w:rFonts w:ascii="Calibri" w:hAnsi="Calibri"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06C40EC"/>
    <w:multiLevelType w:val="hybridMultilevel"/>
    <w:tmpl w:val="D2FEF8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0751FB"/>
    <w:multiLevelType w:val="hybridMultilevel"/>
    <w:tmpl w:val="BB60EC76"/>
    <w:lvl w:ilvl="0">
      <w:start w:val="1"/>
      <w:numFmt w:val="bullet"/>
      <w:lvlText w:val=""/>
      <w:lvlJc w:val="left"/>
      <w:pPr>
        <w:ind w:left="144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1440" w:hanging="360"/>
      </w:pPr>
      <w:rPr>
        <w:rFonts w:ascii="Symbol" w:hAnsi="Symbol"/>
      </w:rPr>
    </w:lvl>
    <w:lvl w:ilvl="3">
      <w:start w:val="1"/>
      <w:numFmt w:val="bullet"/>
      <w:lvlText w:val=""/>
      <w:lvlJc w:val="left"/>
      <w:pPr>
        <w:ind w:left="1440" w:hanging="360"/>
      </w:pPr>
      <w:rPr>
        <w:rFonts w:ascii="Symbol" w:hAnsi="Symbol"/>
      </w:rPr>
    </w:lvl>
    <w:lvl w:ilvl="4">
      <w:start w:val="1"/>
      <w:numFmt w:val="bullet"/>
      <w:lvlText w:val=""/>
      <w:lvlJc w:val="left"/>
      <w:pPr>
        <w:ind w:left="1440" w:hanging="360"/>
      </w:pPr>
      <w:rPr>
        <w:rFonts w:ascii="Symbol" w:hAnsi="Symbol"/>
      </w:rPr>
    </w:lvl>
    <w:lvl w:ilvl="5">
      <w:start w:val="1"/>
      <w:numFmt w:val="bullet"/>
      <w:lvlText w:val=""/>
      <w:lvlJc w:val="left"/>
      <w:pPr>
        <w:ind w:left="1440" w:hanging="360"/>
      </w:pPr>
      <w:rPr>
        <w:rFonts w:ascii="Symbol" w:hAnsi="Symbol"/>
      </w:rPr>
    </w:lvl>
    <w:lvl w:ilvl="6">
      <w:start w:val="1"/>
      <w:numFmt w:val="bullet"/>
      <w:lvlText w:val=""/>
      <w:lvlJc w:val="left"/>
      <w:pPr>
        <w:ind w:left="1440" w:hanging="360"/>
      </w:pPr>
      <w:rPr>
        <w:rFonts w:ascii="Symbol" w:hAnsi="Symbol"/>
      </w:rPr>
    </w:lvl>
    <w:lvl w:ilvl="7">
      <w:start w:val="1"/>
      <w:numFmt w:val="bullet"/>
      <w:lvlText w:val=""/>
      <w:lvlJc w:val="left"/>
      <w:pPr>
        <w:ind w:left="1440" w:hanging="360"/>
      </w:pPr>
      <w:rPr>
        <w:rFonts w:ascii="Symbol" w:hAnsi="Symbol"/>
      </w:rPr>
    </w:lvl>
    <w:lvl w:ilvl="8">
      <w:start w:val="1"/>
      <w:numFmt w:val="bullet"/>
      <w:lvlText w:val=""/>
      <w:lvlJc w:val="left"/>
      <w:pPr>
        <w:ind w:left="1440" w:hanging="360"/>
      </w:pPr>
      <w:rPr>
        <w:rFonts w:ascii="Symbol" w:hAnsi="Symbol"/>
      </w:rPr>
    </w:lvl>
  </w:abstractNum>
  <w:abstractNum w:abstractNumId="5">
    <w:nsid w:val="3F346713"/>
    <w:multiLevelType w:val="hybridMultilevel"/>
    <w:tmpl w:val="0432464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4DA74E6A"/>
    <w:multiLevelType w:val="hybridMultilevel"/>
    <w:tmpl w:val="0E1809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4FF6439E"/>
    <w:multiLevelType w:val="hybridMultilevel"/>
    <w:tmpl w:val="96222926"/>
    <w:lvl w:ilvl="0">
      <w:start w:val="0"/>
      <w:numFmt w:val="bullet"/>
      <w:lvlText w:val="•"/>
      <w:lvlJc w:val="left"/>
      <w:pPr>
        <w:ind w:left="1080" w:hanging="72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6847A2"/>
    <w:multiLevelType w:val="hybridMultilevel"/>
    <w:tmpl w:val="C29C70F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9">
    <w:nsid w:val="58AF7ECC"/>
    <w:multiLevelType w:val="hybridMultilevel"/>
    <w:tmpl w:val="659EDC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D2B47F1"/>
    <w:multiLevelType w:val="hybridMultilevel"/>
    <w:tmpl w:val="539E2650"/>
    <w:lvl w:ilvl="0">
      <w:start w:val="1"/>
      <w:numFmt w:val="bullet"/>
      <w:lvlText w:val="•"/>
      <w:lvlJc w:val="left"/>
      <w:pPr>
        <w:ind w:left="720" w:hanging="360"/>
      </w:pPr>
      <w:rPr>
        <w:rFonts w:ascii="Calibri" w:hAnsi="Calibri"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19D53D9"/>
    <w:multiLevelType w:val="hybridMultilevel"/>
    <w:tmpl w:val="C8ECBD82"/>
    <w:lvl w:ilvl="0">
      <w:start w:val="1"/>
      <w:numFmt w:val="bullet"/>
      <w:lvlText w:val="•"/>
      <w:lvlJc w:val="left"/>
      <w:pPr>
        <w:ind w:left="360" w:hanging="360"/>
      </w:pPr>
      <w:rPr>
        <w:rFonts w:ascii="Calibri" w:hAnsi="Calibri"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797E350F"/>
    <w:multiLevelType w:val="hybridMultilevel"/>
    <w:tmpl w:val="7A7C7E16"/>
    <w:lvl w:ilvl="0">
      <w:start w:val="1"/>
      <w:numFmt w:val="bullet"/>
      <w:lvlText w:val="•"/>
      <w:lvlJc w:val="left"/>
      <w:pPr>
        <w:ind w:left="720" w:hanging="360"/>
      </w:pPr>
      <w:rPr>
        <w:rFonts w:ascii="Calibri" w:hAnsi="Calibri"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1"/>
  </w:num>
  <w:num w:numId="5">
    <w:abstractNumId w:val="2"/>
  </w:num>
  <w:num w:numId="6">
    <w:abstractNumId w:val="4"/>
  </w:num>
  <w:num w:numId="7">
    <w:abstractNumId w:val="0"/>
  </w:num>
  <w:num w:numId="8">
    <w:abstractNumId w:val="8"/>
  </w:num>
  <w:num w:numId="9">
    <w:abstractNumId w:val="3"/>
  </w:num>
  <w:num w:numId="10">
    <w:abstractNumId w:val="6"/>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9E"/>
    <w:rsid w:val="000513B2"/>
    <w:rsid w:val="00074457"/>
    <w:rsid w:val="0008572E"/>
    <w:rsid w:val="000A2E4F"/>
    <w:rsid w:val="000A4F18"/>
    <w:rsid w:val="000C5B8D"/>
    <w:rsid w:val="000D6369"/>
    <w:rsid w:val="000F0A99"/>
    <w:rsid w:val="000F742E"/>
    <w:rsid w:val="001054A0"/>
    <w:rsid w:val="00114455"/>
    <w:rsid w:val="00135517"/>
    <w:rsid w:val="00136095"/>
    <w:rsid w:val="00143318"/>
    <w:rsid w:val="00151E40"/>
    <w:rsid w:val="001673B0"/>
    <w:rsid w:val="00174D68"/>
    <w:rsid w:val="00183742"/>
    <w:rsid w:val="00190942"/>
    <w:rsid w:val="001B065D"/>
    <w:rsid w:val="001B73C5"/>
    <w:rsid w:val="001F7AC9"/>
    <w:rsid w:val="00202165"/>
    <w:rsid w:val="00204333"/>
    <w:rsid w:val="00204AC7"/>
    <w:rsid w:val="00221726"/>
    <w:rsid w:val="00223728"/>
    <w:rsid w:val="00226071"/>
    <w:rsid w:val="00226CF5"/>
    <w:rsid w:val="00244631"/>
    <w:rsid w:val="0026089F"/>
    <w:rsid w:val="002621CB"/>
    <w:rsid w:val="0026598F"/>
    <w:rsid w:val="00276A56"/>
    <w:rsid w:val="002856BE"/>
    <w:rsid w:val="00291AD5"/>
    <w:rsid w:val="002A4684"/>
    <w:rsid w:val="002C4191"/>
    <w:rsid w:val="002D042B"/>
    <w:rsid w:val="002F1C53"/>
    <w:rsid w:val="00307DF9"/>
    <w:rsid w:val="00341787"/>
    <w:rsid w:val="003463C2"/>
    <w:rsid w:val="00370536"/>
    <w:rsid w:val="00376647"/>
    <w:rsid w:val="003B1B06"/>
    <w:rsid w:val="003E3FA3"/>
    <w:rsid w:val="003E545D"/>
    <w:rsid w:val="003F1871"/>
    <w:rsid w:val="004013AC"/>
    <w:rsid w:val="00413D09"/>
    <w:rsid w:val="00420A00"/>
    <w:rsid w:val="00436CD9"/>
    <w:rsid w:val="00452CCA"/>
    <w:rsid w:val="00455454"/>
    <w:rsid w:val="004578AE"/>
    <w:rsid w:val="004612C2"/>
    <w:rsid w:val="004619F8"/>
    <w:rsid w:val="00465509"/>
    <w:rsid w:val="00472C8A"/>
    <w:rsid w:val="00473B8F"/>
    <w:rsid w:val="00474D93"/>
    <w:rsid w:val="00484219"/>
    <w:rsid w:val="00486A9C"/>
    <w:rsid w:val="004B0988"/>
    <w:rsid w:val="004C16E1"/>
    <w:rsid w:val="004C329E"/>
    <w:rsid w:val="004C4521"/>
    <w:rsid w:val="004E0D23"/>
    <w:rsid w:val="00501C57"/>
    <w:rsid w:val="0051141C"/>
    <w:rsid w:val="00527EC5"/>
    <w:rsid w:val="005335CD"/>
    <w:rsid w:val="00584AD4"/>
    <w:rsid w:val="005A1C64"/>
    <w:rsid w:val="005B2C81"/>
    <w:rsid w:val="005F4A9D"/>
    <w:rsid w:val="00621327"/>
    <w:rsid w:val="00623FFF"/>
    <w:rsid w:val="00637344"/>
    <w:rsid w:val="00654592"/>
    <w:rsid w:val="006759D2"/>
    <w:rsid w:val="00675BB4"/>
    <w:rsid w:val="006A6ECE"/>
    <w:rsid w:val="006B6EF8"/>
    <w:rsid w:val="006C5510"/>
    <w:rsid w:val="006D3961"/>
    <w:rsid w:val="00703617"/>
    <w:rsid w:val="0073157C"/>
    <w:rsid w:val="00731B56"/>
    <w:rsid w:val="007320EE"/>
    <w:rsid w:val="00732BEC"/>
    <w:rsid w:val="00751657"/>
    <w:rsid w:val="007737BD"/>
    <w:rsid w:val="007A3DDA"/>
    <w:rsid w:val="008151CE"/>
    <w:rsid w:val="008548E3"/>
    <w:rsid w:val="00876D0E"/>
    <w:rsid w:val="008843F7"/>
    <w:rsid w:val="00895E52"/>
    <w:rsid w:val="00896B0F"/>
    <w:rsid w:val="00897074"/>
    <w:rsid w:val="008B6C35"/>
    <w:rsid w:val="008B797E"/>
    <w:rsid w:val="008C19E2"/>
    <w:rsid w:val="008C3D5D"/>
    <w:rsid w:val="008F308E"/>
    <w:rsid w:val="009062C3"/>
    <w:rsid w:val="00912516"/>
    <w:rsid w:val="009247CD"/>
    <w:rsid w:val="0096229E"/>
    <w:rsid w:val="0097192A"/>
    <w:rsid w:val="009A1773"/>
    <w:rsid w:val="009A602B"/>
    <w:rsid w:val="009D7BB6"/>
    <w:rsid w:val="00A1256E"/>
    <w:rsid w:val="00A149B1"/>
    <w:rsid w:val="00A4749C"/>
    <w:rsid w:val="00A55DB1"/>
    <w:rsid w:val="00A6363C"/>
    <w:rsid w:val="00A70C8F"/>
    <w:rsid w:val="00A77B3E"/>
    <w:rsid w:val="00A801A6"/>
    <w:rsid w:val="00A81A70"/>
    <w:rsid w:val="00A8685E"/>
    <w:rsid w:val="00A97A22"/>
    <w:rsid w:val="00AC0B05"/>
    <w:rsid w:val="00AC5381"/>
    <w:rsid w:val="00AD4CAB"/>
    <w:rsid w:val="00AE00B4"/>
    <w:rsid w:val="00AE3D0F"/>
    <w:rsid w:val="00AF4C41"/>
    <w:rsid w:val="00B0404A"/>
    <w:rsid w:val="00B05CE5"/>
    <w:rsid w:val="00B1495A"/>
    <w:rsid w:val="00B33C94"/>
    <w:rsid w:val="00B42ED2"/>
    <w:rsid w:val="00B43E04"/>
    <w:rsid w:val="00B441D3"/>
    <w:rsid w:val="00B7239F"/>
    <w:rsid w:val="00B86891"/>
    <w:rsid w:val="00B936C0"/>
    <w:rsid w:val="00B93E4B"/>
    <w:rsid w:val="00B9708D"/>
    <w:rsid w:val="00BA6403"/>
    <w:rsid w:val="00BA7F0F"/>
    <w:rsid w:val="00BC40DC"/>
    <w:rsid w:val="00BC6924"/>
    <w:rsid w:val="00BD09FF"/>
    <w:rsid w:val="00BE37EB"/>
    <w:rsid w:val="00BE3C6A"/>
    <w:rsid w:val="00BE3CB3"/>
    <w:rsid w:val="00BF2F4B"/>
    <w:rsid w:val="00C03DE0"/>
    <w:rsid w:val="00C20A7B"/>
    <w:rsid w:val="00C335FB"/>
    <w:rsid w:val="00C33FED"/>
    <w:rsid w:val="00C80085"/>
    <w:rsid w:val="00CE2A96"/>
    <w:rsid w:val="00D20302"/>
    <w:rsid w:val="00D25C91"/>
    <w:rsid w:val="00D40F44"/>
    <w:rsid w:val="00D5444A"/>
    <w:rsid w:val="00D57B4C"/>
    <w:rsid w:val="00D63BEF"/>
    <w:rsid w:val="00D64C42"/>
    <w:rsid w:val="00D819D6"/>
    <w:rsid w:val="00D85A8C"/>
    <w:rsid w:val="00D874F4"/>
    <w:rsid w:val="00D96FE9"/>
    <w:rsid w:val="00DA4B0D"/>
    <w:rsid w:val="00DA4BA6"/>
    <w:rsid w:val="00DF1E3B"/>
    <w:rsid w:val="00DF274E"/>
    <w:rsid w:val="00E046AE"/>
    <w:rsid w:val="00E17CEA"/>
    <w:rsid w:val="00E224A9"/>
    <w:rsid w:val="00E33F43"/>
    <w:rsid w:val="00E61449"/>
    <w:rsid w:val="00E64375"/>
    <w:rsid w:val="00E84342"/>
    <w:rsid w:val="00E971B2"/>
    <w:rsid w:val="00ED0B7E"/>
    <w:rsid w:val="00ED45E8"/>
    <w:rsid w:val="00F02E3A"/>
    <w:rsid w:val="00F07F87"/>
    <w:rsid w:val="00F120C8"/>
    <w:rsid w:val="00F15B2D"/>
    <w:rsid w:val="00F24AD1"/>
    <w:rsid w:val="00F328CC"/>
    <w:rsid w:val="00F41B52"/>
    <w:rsid w:val="00F43D96"/>
    <w:rsid w:val="00F56590"/>
    <w:rsid w:val="00F75961"/>
    <w:rsid w:val="00F944DD"/>
    <w:rsid w:val="00FA41D5"/>
    <w:rsid w:val="00FA5C18"/>
    <w:rsid w:val="00FA6B06"/>
    <w:rsid w:val="00FB1637"/>
    <w:rsid w:val="00FB6019"/>
    <w:rsid w:val="00FC195D"/>
    <w:rsid w:val="00FC47C4"/>
    <w:rsid w:val="00FC7240"/>
    <w:rsid w:val="00FC77E0"/>
    <w:rsid w:val="00FE05F0"/>
    <w:rsid w:val="00FE0EB0"/>
    <w:rsid w:val="00FE642E"/>
    <w:rsid w:val="00FE7A25"/>
    <w:rsid w:val="00FF2F20"/>
  </w:rsids>
  <w:docVars>
    <w:docVar w:name="__Grammarly_42___1" w:val="H4sIAAAAAAAEAKtWcslP9kxRslIyNDY2NTcwNzYzNzA2NTY1MDZS0lEKTi0uzszPAymwrAUAXHpLZ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01F52671"/>
  <w15:chartTrackingRefBased/>
  <w15:docId w15:val="{A86DDC43-49F1-48B6-BB57-354E3BA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EF8"/>
  </w:style>
  <w:style w:type="paragraph" w:styleId="Heading1">
    <w:name w:val="heading 1"/>
    <w:basedOn w:val="Normal"/>
    <w:next w:val="Normal"/>
    <w:link w:val="Heading1Char"/>
    <w:uiPriority w:val="9"/>
    <w:qFormat/>
    <w:rsid w:val="004C3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2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2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2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2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29E"/>
    <w:rPr>
      <w:rFonts w:eastAsiaTheme="majorEastAsia" w:cstheme="majorBidi"/>
      <w:color w:val="272727" w:themeColor="text1" w:themeTint="D8"/>
    </w:rPr>
  </w:style>
  <w:style w:type="paragraph" w:styleId="Title">
    <w:name w:val="Title"/>
    <w:basedOn w:val="Normal"/>
    <w:next w:val="Normal"/>
    <w:link w:val="TitleChar"/>
    <w:uiPriority w:val="10"/>
    <w:qFormat/>
    <w:rsid w:val="004C32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2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329E"/>
    <w:rPr>
      <w:i/>
      <w:iCs/>
      <w:color w:val="404040" w:themeColor="text1" w:themeTint="BF"/>
    </w:rPr>
  </w:style>
  <w:style w:type="paragraph" w:styleId="ListParagraph">
    <w:name w:val="List Paragraph"/>
    <w:basedOn w:val="Normal"/>
    <w:uiPriority w:val="34"/>
    <w:qFormat/>
    <w:rsid w:val="004C329E"/>
    <w:pPr>
      <w:ind w:left="720"/>
      <w:contextualSpacing/>
    </w:pPr>
  </w:style>
  <w:style w:type="character" w:styleId="IntenseEmphasis">
    <w:name w:val="Intense Emphasis"/>
    <w:basedOn w:val="DefaultParagraphFont"/>
    <w:uiPriority w:val="21"/>
    <w:qFormat/>
    <w:rsid w:val="004C329E"/>
    <w:rPr>
      <w:i/>
      <w:iCs/>
      <w:color w:val="0F4761" w:themeColor="accent1" w:themeShade="BF"/>
    </w:rPr>
  </w:style>
  <w:style w:type="paragraph" w:styleId="IntenseQuote">
    <w:name w:val="Intense Quote"/>
    <w:basedOn w:val="Normal"/>
    <w:next w:val="Normal"/>
    <w:link w:val="IntenseQuoteChar"/>
    <w:uiPriority w:val="30"/>
    <w:qFormat/>
    <w:rsid w:val="004C3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29E"/>
    <w:rPr>
      <w:i/>
      <w:iCs/>
      <w:color w:val="0F4761" w:themeColor="accent1" w:themeShade="BF"/>
    </w:rPr>
  </w:style>
  <w:style w:type="character" w:styleId="IntenseReference">
    <w:name w:val="Intense Reference"/>
    <w:basedOn w:val="DefaultParagraphFont"/>
    <w:uiPriority w:val="32"/>
    <w:qFormat/>
    <w:rsid w:val="004C329E"/>
    <w:rPr>
      <w:b/>
      <w:bCs/>
      <w:smallCaps/>
      <w:color w:val="0F4761" w:themeColor="accent1" w:themeShade="BF"/>
      <w:spacing w:val="5"/>
    </w:rPr>
  </w:style>
  <w:style w:type="paragraph" w:styleId="Header">
    <w:name w:val="header"/>
    <w:basedOn w:val="Normal"/>
    <w:link w:val="HeaderChar"/>
    <w:uiPriority w:val="99"/>
    <w:unhideWhenUsed/>
    <w:rsid w:val="00291AD5"/>
    <w:pPr>
      <w:tabs>
        <w:tab w:val="center" w:pos="4680"/>
        <w:tab w:val="right" w:pos="9360"/>
      </w:tabs>
    </w:pPr>
  </w:style>
  <w:style w:type="character" w:customStyle="1" w:styleId="HeaderChar">
    <w:name w:val="Header Char"/>
    <w:basedOn w:val="DefaultParagraphFont"/>
    <w:link w:val="Header"/>
    <w:uiPriority w:val="99"/>
    <w:rsid w:val="00291AD5"/>
  </w:style>
  <w:style w:type="paragraph" w:styleId="Footer">
    <w:name w:val="footer"/>
    <w:basedOn w:val="Normal"/>
    <w:link w:val="FooterChar"/>
    <w:uiPriority w:val="99"/>
    <w:unhideWhenUsed/>
    <w:rsid w:val="00291AD5"/>
    <w:pPr>
      <w:tabs>
        <w:tab w:val="center" w:pos="4680"/>
        <w:tab w:val="right" w:pos="9360"/>
      </w:tabs>
    </w:pPr>
  </w:style>
  <w:style w:type="character" w:customStyle="1" w:styleId="FooterChar">
    <w:name w:val="Footer Char"/>
    <w:basedOn w:val="DefaultParagraphFont"/>
    <w:link w:val="Footer"/>
    <w:uiPriority w:val="99"/>
    <w:rsid w:val="00291AD5"/>
  </w:style>
  <w:style w:type="character" w:styleId="CommentReference">
    <w:name w:val="annotation reference"/>
    <w:basedOn w:val="DefaultParagraphFont"/>
    <w:uiPriority w:val="99"/>
    <w:semiHidden/>
    <w:unhideWhenUsed/>
    <w:rsid w:val="00D20302"/>
    <w:rPr>
      <w:sz w:val="16"/>
      <w:szCs w:val="16"/>
    </w:rPr>
  </w:style>
  <w:style w:type="paragraph" w:styleId="CommentText">
    <w:name w:val="annotation text"/>
    <w:basedOn w:val="Normal"/>
    <w:link w:val="CommentTextChar"/>
    <w:uiPriority w:val="99"/>
    <w:unhideWhenUsed/>
    <w:rsid w:val="00D20302"/>
    <w:rPr>
      <w:sz w:val="20"/>
      <w:szCs w:val="20"/>
    </w:rPr>
  </w:style>
  <w:style w:type="character" w:customStyle="1" w:styleId="CommentTextChar">
    <w:name w:val="Comment Text Char"/>
    <w:basedOn w:val="DefaultParagraphFont"/>
    <w:link w:val="CommentText"/>
    <w:uiPriority w:val="99"/>
    <w:rsid w:val="00D20302"/>
    <w:rPr>
      <w:sz w:val="20"/>
      <w:szCs w:val="20"/>
    </w:rPr>
  </w:style>
  <w:style w:type="paragraph" w:styleId="CommentSubject">
    <w:name w:val="annotation subject"/>
    <w:basedOn w:val="CommentText"/>
    <w:next w:val="CommentText"/>
    <w:link w:val="CommentSubjectChar"/>
    <w:uiPriority w:val="99"/>
    <w:semiHidden/>
    <w:unhideWhenUsed/>
    <w:rsid w:val="00D20302"/>
    <w:rPr>
      <w:b/>
      <w:bCs/>
    </w:rPr>
  </w:style>
  <w:style w:type="character" w:customStyle="1" w:styleId="CommentSubjectChar">
    <w:name w:val="Comment Subject Char"/>
    <w:basedOn w:val="CommentTextChar"/>
    <w:link w:val="CommentSubject"/>
    <w:uiPriority w:val="99"/>
    <w:semiHidden/>
    <w:rsid w:val="00D20302"/>
    <w:rPr>
      <w:b/>
      <w:bCs/>
      <w:sz w:val="20"/>
      <w:szCs w:val="20"/>
    </w:rPr>
  </w:style>
  <w:style w:type="character" w:styleId="Hyperlink">
    <w:name w:val="Hyperlink"/>
    <w:basedOn w:val="DefaultParagraphFont"/>
    <w:uiPriority w:val="99"/>
    <w:unhideWhenUsed/>
    <w:rsid w:val="00BE3CB3"/>
    <w:rPr>
      <w:color w:val="467886" w:themeColor="hyperlink"/>
      <w:u w:val="single"/>
    </w:rPr>
  </w:style>
  <w:style w:type="character" w:customStyle="1" w:styleId="UnresolvedMention1">
    <w:name w:val="Unresolved Mention1"/>
    <w:basedOn w:val="DefaultParagraphFont"/>
    <w:uiPriority w:val="99"/>
    <w:semiHidden/>
    <w:unhideWhenUsed/>
    <w:rsid w:val="00BE3CB3"/>
    <w:rPr>
      <w:color w:val="605E5C"/>
      <w:shd w:val="clear" w:color="auto" w:fill="E1DFDD"/>
    </w:rPr>
  </w:style>
  <w:style w:type="paragraph" w:styleId="BalloonText">
    <w:name w:val="Balloon Text"/>
    <w:basedOn w:val="Normal"/>
    <w:link w:val="BalloonTextChar"/>
    <w:uiPriority w:val="99"/>
    <w:semiHidden/>
    <w:unhideWhenUsed/>
    <w:rsid w:val="00285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6BE"/>
    <w:rPr>
      <w:rFonts w:ascii="Segoe UI" w:hAnsi="Segoe UI" w:cs="Segoe UI"/>
      <w:sz w:val="18"/>
      <w:szCs w:val="18"/>
    </w:rPr>
  </w:style>
  <w:style w:type="paragraph" w:customStyle="1" w:styleId="Heading20">
    <w:name w:val="Heading 2_0"/>
    <w:basedOn w:val="Normal"/>
    <w:next w:val="Normal0"/>
    <w:qFormat/>
    <w:rsid w:val="00EF7B96"/>
    <w:pPr>
      <w:keepNext/>
      <w:spacing w:before="240" w:after="60"/>
      <w:outlineLvl w:val="1"/>
    </w:pPr>
    <w:rPr>
      <w:rFonts w:ascii="Arial" w:eastAsia="Times New Roman" w:hAnsi="Arial" w:cs="Arial"/>
      <w:b/>
      <w:bCs/>
      <w:i/>
      <w:iCs/>
      <w:kern w:val="0"/>
      <w:sz w:val="28"/>
      <w:szCs w:val="28"/>
      <w14:ligatures w14:val="none"/>
    </w:rPr>
  </w:style>
  <w:style w:type="paragraph" w:customStyle="1" w:styleId="Normal0">
    <w:name w:val="Normal_0"/>
    <w:qFormat/>
    <w:rPr>
      <w:rFonts w:ascii="Times New Roman" w:eastAsia="Times New Roman" w:hAnsi="Times New Roman" w:cs="Times New Roman"/>
      <w:kern w:val="0"/>
      <w:sz w:val="24"/>
      <w:szCs w:val="24"/>
      <w14:ligatures w14:val="none"/>
    </w:rPr>
  </w:style>
  <w:style w:type="paragraph" w:customStyle="1" w:styleId="Heading30">
    <w:name w:val="Heading 3_0"/>
    <w:basedOn w:val="Normal"/>
    <w:next w:val="Normal0"/>
    <w:qFormat/>
    <w:rsid w:val="00EF7B96"/>
    <w:pPr>
      <w:keepNext/>
      <w:spacing w:before="240" w:after="60"/>
      <w:outlineLvl w:val="2"/>
    </w:pPr>
    <w:rPr>
      <w:rFonts w:ascii="Arial" w:eastAsia="Times New Roman" w:hAnsi="Arial" w:cs="Arial"/>
      <w:b/>
      <w:bCs/>
      <w:kern w:val="0"/>
      <w:sz w:val="26"/>
      <w:szCs w:val="26"/>
      <w14:ligatures w14:val="none"/>
    </w:rPr>
  </w:style>
  <w:style w:type="table" w:customStyle="1" w:styleId="table">
    <w:name w:val="table"/>
    <w:basedOn w:val="TableNormal"/>
    <w:rPr>
      <w:rFonts w:ascii="Times New Roman" w:eastAsia="Times New Roman" w:hAnsi="Times New Roman" w:cs="Times New Roman"/>
      <w:kern w:val="0"/>
      <w:sz w:val="20"/>
      <w:szCs w:val="20"/>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 TargetMode="External" /><Relationship Id="rId5" Type="http://schemas.openxmlformats.org/officeDocument/2006/relationships/hyperlink" Target="https://www.linkedin.com/in/saurabh-srivastav-57a0586b/"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oter1.xml.rels><?xml version="1.0" encoding="utf-8" standalone="yes"?><Relationships xmlns="http://schemas.openxmlformats.org/package/2006/relationships"><Relationship Id="rId1" Type="http://schemas.openxmlformats.org/officeDocument/2006/relationships/hyperlink" Target="mail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1567</Words>
  <Characters>10316</Characters>
  <Application>Microsoft Office Word</Application>
  <DocSecurity>0</DocSecurity>
  <Lines>151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Srivastava</dc:creator>
  <cp:keywords>Resume</cp:keywords>
  <cp:lastModifiedBy>Saurabh Srivastav</cp:lastModifiedBy>
  <cp:revision>10</cp:revision>
  <cp:lastPrinted>2024-03-26T19:03:00Z</cp:lastPrinted>
  <dcterms:created xsi:type="dcterms:W3CDTF">2024-04-25T21:03:00Z</dcterms:created>
  <dcterms:modified xsi:type="dcterms:W3CDTF">2024-05-07T16:23:00Z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46e1b829c63a32d935300034ca8029ac99cc0bdcb4001c890620d7b131f0100f</vt:lpwstr>
  </property>
</Properties>
</file>