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B71C" w14:textId="77777777" w:rsidR="00734A23" w:rsidRDefault="00734A23" w:rsidP="00734A23">
      <w:pPr>
        <w:spacing w:line="480" w:lineRule="auto"/>
        <w:jc w:val="center"/>
      </w:pPr>
    </w:p>
    <w:p w14:paraId="5B7C5A21" w14:textId="77777777" w:rsidR="00734A23" w:rsidRDefault="00734A23" w:rsidP="00734A23">
      <w:pPr>
        <w:spacing w:line="480" w:lineRule="auto"/>
        <w:jc w:val="center"/>
      </w:pPr>
    </w:p>
    <w:p w14:paraId="4C9A7D3A" w14:textId="77777777" w:rsidR="00734A23" w:rsidRDefault="00734A23" w:rsidP="00734A23">
      <w:pPr>
        <w:spacing w:line="480" w:lineRule="auto"/>
        <w:jc w:val="center"/>
      </w:pPr>
    </w:p>
    <w:p w14:paraId="5DC300B8" w14:textId="77777777" w:rsidR="00734A23" w:rsidRDefault="00734A23" w:rsidP="00734A23">
      <w:pPr>
        <w:spacing w:line="480" w:lineRule="auto"/>
        <w:jc w:val="center"/>
      </w:pPr>
    </w:p>
    <w:p w14:paraId="228E99D3" w14:textId="77777777" w:rsidR="00734A23" w:rsidRDefault="00734A23" w:rsidP="00734A23">
      <w:pPr>
        <w:spacing w:line="480" w:lineRule="auto"/>
      </w:pPr>
    </w:p>
    <w:p w14:paraId="53B00B05" w14:textId="2FF7231D" w:rsidR="00734A23" w:rsidRPr="00734A23" w:rsidRDefault="00734A23" w:rsidP="00734A23">
      <w:pPr>
        <w:spacing w:line="480" w:lineRule="auto"/>
        <w:jc w:val="center"/>
        <w:rPr>
          <w:i/>
          <w:iCs/>
        </w:rPr>
      </w:pPr>
      <w:r w:rsidRPr="00734A23">
        <w:rPr>
          <w:i/>
          <w:iCs/>
        </w:rPr>
        <w:t>Tweeting your way to Parliament: Quantitative Analysis of Twitter use in the 2022 Ontario Provincial Election</w:t>
      </w:r>
    </w:p>
    <w:p w14:paraId="6D4169BB" w14:textId="77777777" w:rsidR="00734A23" w:rsidRDefault="00734A23" w:rsidP="00734A23">
      <w:pPr>
        <w:spacing w:line="480" w:lineRule="auto"/>
        <w:jc w:val="center"/>
      </w:pPr>
    </w:p>
    <w:p w14:paraId="7A1C8B1E" w14:textId="77777777" w:rsidR="00734A23" w:rsidRDefault="00734A23" w:rsidP="00734A23">
      <w:pPr>
        <w:spacing w:line="480" w:lineRule="auto"/>
        <w:jc w:val="center"/>
      </w:pPr>
    </w:p>
    <w:p w14:paraId="23A390B7" w14:textId="01822D9D" w:rsidR="00734A23" w:rsidRDefault="00734A23" w:rsidP="00734A23">
      <w:pPr>
        <w:spacing w:line="480" w:lineRule="auto"/>
        <w:jc w:val="center"/>
      </w:pPr>
      <w:r>
        <w:t>Rielly H. Young</w:t>
      </w:r>
    </w:p>
    <w:p w14:paraId="2E1ACD84" w14:textId="77777777" w:rsidR="00734A23" w:rsidRDefault="00734A23" w:rsidP="00734A23">
      <w:pPr>
        <w:spacing w:line="480" w:lineRule="auto"/>
        <w:jc w:val="center"/>
      </w:pPr>
    </w:p>
    <w:p w14:paraId="3ADFEB7B" w14:textId="77777777" w:rsidR="00734A23" w:rsidRDefault="00734A23" w:rsidP="00734A23">
      <w:pPr>
        <w:spacing w:line="480" w:lineRule="auto"/>
        <w:jc w:val="center"/>
      </w:pPr>
    </w:p>
    <w:p w14:paraId="54F38469" w14:textId="554B0A88" w:rsidR="00734A23" w:rsidRDefault="00734A23" w:rsidP="00734A23">
      <w:pPr>
        <w:spacing w:line="480" w:lineRule="auto"/>
        <w:jc w:val="center"/>
      </w:pPr>
      <w:r>
        <w:t>POL 4154</w:t>
      </w:r>
    </w:p>
    <w:p w14:paraId="7B345D90" w14:textId="77777777" w:rsidR="00734A23" w:rsidRDefault="00734A23" w:rsidP="00734A23">
      <w:pPr>
        <w:spacing w:line="480" w:lineRule="auto"/>
        <w:jc w:val="center"/>
      </w:pPr>
    </w:p>
    <w:p w14:paraId="5DDC2064" w14:textId="77777777" w:rsidR="00734A23" w:rsidRDefault="00734A23" w:rsidP="00734A23">
      <w:pPr>
        <w:spacing w:line="480" w:lineRule="auto"/>
        <w:jc w:val="center"/>
      </w:pPr>
    </w:p>
    <w:p w14:paraId="1D2B985F" w14:textId="22F64C5C" w:rsidR="00734A23" w:rsidRDefault="00734A23" w:rsidP="00734A23">
      <w:pPr>
        <w:spacing w:line="480" w:lineRule="auto"/>
        <w:jc w:val="center"/>
      </w:pPr>
      <w:r>
        <w:t>06/13/2022</w:t>
      </w:r>
    </w:p>
    <w:p w14:paraId="7EAE0C93" w14:textId="77777777" w:rsidR="00734A23" w:rsidRDefault="00734A23" w:rsidP="00734A23">
      <w:pPr>
        <w:spacing w:line="480" w:lineRule="auto"/>
        <w:jc w:val="center"/>
      </w:pPr>
    </w:p>
    <w:p w14:paraId="13CCBEA9" w14:textId="77777777" w:rsidR="00734A23" w:rsidRDefault="00734A23" w:rsidP="00734A23">
      <w:pPr>
        <w:spacing w:line="480" w:lineRule="auto"/>
        <w:jc w:val="center"/>
      </w:pPr>
    </w:p>
    <w:p w14:paraId="2C814164" w14:textId="76256626" w:rsidR="00734A23" w:rsidRDefault="00734A23" w:rsidP="00734A23">
      <w:pPr>
        <w:spacing w:line="480" w:lineRule="auto"/>
        <w:jc w:val="center"/>
      </w:pPr>
      <w:r>
        <w:t>Professor S. Mullen</w:t>
      </w:r>
    </w:p>
    <w:p w14:paraId="75B65ABD" w14:textId="77777777" w:rsidR="00734A23" w:rsidRDefault="00734A23" w:rsidP="00734A23">
      <w:pPr>
        <w:spacing w:line="480" w:lineRule="auto"/>
        <w:jc w:val="center"/>
      </w:pPr>
    </w:p>
    <w:p w14:paraId="51FEAD65" w14:textId="79CC7B13" w:rsidR="00734A23" w:rsidRDefault="00734A23" w:rsidP="00734A23">
      <w:pPr>
        <w:spacing w:line="480" w:lineRule="auto"/>
      </w:pPr>
    </w:p>
    <w:p w14:paraId="349A814A" w14:textId="77777777" w:rsidR="00AB2E0C" w:rsidRDefault="00AB2E0C" w:rsidP="00734A23">
      <w:pPr>
        <w:spacing w:line="480" w:lineRule="auto"/>
      </w:pPr>
    </w:p>
    <w:p w14:paraId="65C07874" w14:textId="77777777" w:rsidR="00734A23" w:rsidRPr="002E4971" w:rsidRDefault="00734A23" w:rsidP="00734A23">
      <w:pPr>
        <w:spacing w:line="480" w:lineRule="auto"/>
        <w:jc w:val="center"/>
        <w:rPr>
          <w:i/>
          <w:iCs/>
        </w:rPr>
      </w:pPr>
      <w:r w:rsidRPr="002E4971">
        <w:rPr>
          <w:i/>
          <w:iCs/>
        </w:rPr>
        <w:lastRenderedPageBreak/>
        <w:t>Tweeting your way to Parliament: Quantitative Analysis of Twitter use in the 2022 Ontario Provincial Election</w:t>
      </w:r>
    </w:p>
    <w:p w14:paraId="14D89A4A" w14:textId="77777777" w:rsidR="00734A23" w:rsidRPr="00E84562" w:rsidRDefault="00734A23" w:rsidP="00734A23">
      <w:pPr>
        <w:spacing w:line="480" w:lineRule="auto"/>
      </w:pPr>
      <w:r w:rsidRPr="00E84562">
        <w:rPr>
          <w:u w:val="single"/>
        </w:rPr>
        <w:t>Introduction</w:t>
      </w:r>
    </w:p>
    <w:p w14:paraId="54A3C1E7" w14:textId="77777777" w:rsidR="00734A23" w:rsidRDefault="00734A23" w:rsidP="00734A23">
      <w:pPr>
        <w:spacing w:line="480" w:lineRule="auto"/>
      </w:pPr>
      <w:r>
        <w:tab/>
        <w:t xml:space="preserve">Each month, more than fifteen million Canadians use Twitter – approximately 50% of the nation’s online population (Slater, 2018). Of this group, forty-four percent access the application multiple times a day. The ubiquity of the platform amongst voters is a driving factor in the increased attention from political scientists today. Additionally, as the network’s penetration into the daily lives of citizen increases, it’s role as a marketplace of ideas, and occasionally policy debates, has steadily increase1d over the past decade (Sahin, Johnson, &amp; Korkut, 2021). Given the pervasiveness of the platform, understanding its role in electoral outcomes is of great importance. This research paper seeks to contribute to the grow literature examining the impacts of social media on elections. It does so by examining the impacts of Twitter usage on the 2022 Ontario Parliamentary elections. Two primary ordinary leased square(s) (OLS) regressions of the relationship between candidates’ Twitter habits and votes were conducted. The results of these regressions largely align with the academic literature, confirming a relationship between  </w:t>
      </w:r>
    </w:p>
    <w:p w14:paraId="29529D86" w14:textId="77777777" w:rsidR="00734A23" w:rsidRDefault="00734A23" w:rsidP="00734A23">
      <w:pPr>
        <w:spacing w:line="480" w:lineRule="auto"/>
      </w:pPr>
      <w:r w:rsidRPr="00AA379C">
        <w:rPr>
          <w:u w:val="single"/>
        </w:rPr>
        <w:t>Literature Review</w:t>
      </w:r>
    </w:p>
    <w:p w14:paraId="6171F904" w14:textId="77777777" w:rsidR="00734A23" w:rsidRDefault="00734A23" w:rsidP="00734A23">
      <w:pPr>
        <w:spacing w:line="480" w:lineRule="auto"/>
        <w:ind w:firstLine="720"/>
      </w:pPr>
      <w:r>
        <w:t xml:space="preserve">There is a non-insignificant amount of scholarship examining the behaviour of political campaigns on Twitter.  This can be broken-down into two distinct categories: volume studies and content studies. The former category examines the impact of both the presence of a candidate on the platform and the sum of their usage. DiGrazia, et. al., (2013) examine more than half a million tweets pertaining to the 2010 &amp; 2012 Congressional elections in the United States, arguing political behiviour can be determined by social media use. Graham, Jackson, &amp; Broersma (2014) conducted a comparative analysis of Twitter usage by British and Dutch </w:t>
      </w:r>
      <w:r>
        <w:lastRenderedPageBreak/>
        <w:t xml:space="preserve">parliamentarians, finding the latter as the more active userbase. This work highlights that of Kruikemeier (2014), who found that campaigns in 2010 Dutch national election that used the platform received more votes than campaigns that did not. Shifting from the impact of Twitter usage on electoral result to that of campaign contributions, Petrova, Sen, and Yildirim (2021) argue that opening a Twitter account can increase political contributions by up to two percent. </w:t>
      </w:r>
    </w:p>
    <w:p w14:paraId="6C6AF866" w14:textId="77777777" w:rsidR="00734A23" w:rsidRDefault="00734A23" w:rsidP="00734A23">
      <w:pPr>
        <w:spacing w:line="480" w:lineRule="auto"/>
        <w:ind w:firstLine="720"/>
      </w:pPr>
      <w:r>
        <w:t>The latter category focuses on the intersection of electoral results and specific content of the trending topics, tweets, and interactions on the platform. Christensen (2013) examined the effects of Twitter usage by ‘Third parties’ in the 2012 U.S. presidential election and Fujiwara, Müller, &amp; Schwarz (2022) examined partisanship on the platform through a textual analysis of tweets and trending topics during the 2016 and 2020 U.S. elections. López-Garcìa (2016) examined cross-party usage of twitter during the 2015 Spanish general election, highlighting the different ways each party used the platform. While the main political parties used Twitter to broadcast specific policy proposals, emerging parties more often used the platform to mobilize their supporters and to galvanize political change. This research supports the finding of Larsson and Kalsnes (2014), who examined Norwegian and Swedish politicians – highlighting the most active politician as “underdogs”, typically in the opposition and out of the “political limelight”.</w:t>
      </w:r>
    </w:p>
    <w:p w14:paraId="5EC85B1C" w14:textId="77777777" w:rsidR="00734A23" w:rsidRDefault="00734A23" w:rsidP="00734A23">
      <w:pPr>
        <w:spacing w:line="480" w:lineRule="auto"/>
        <w:ind w:firstLine="720"/>
      </w:pPr>
      <w:r>
        <w:t xml:space="preserve">There is reason to believe that a candidates social media behaviour can have an impact on their electoral performance. Bright et al. (2020) examined the “Broadcast Effects” of political candidates in European parliamentary elections. An integral aspect of local campaigning is the broadcasting of national message at the constituency level. Acting as the political conduit between a constituency’s local issues and the Party’s electoral platform can also contribute to a candidate’s press coverage (Green &amp; Gerber, 2015). Additionally, a local campaign’s ability to successful broadcast the party’s message can “activate” core supporters (Bright et al., 2020, p. </w:t>
      </w:r>
      <w:r>
        <w:lastRenderedPageBreak/>
        <w:t xml:space="preserve">990). Not only does this ensure these supporters indeed vote, but also could contribute to other campaign involvement (i.e., donations, door knocking, etc.). The introduction of new technology to political campaigns has proven beneficial for increasing broadcast effects. The most pervasive example of this is political campaign’s use of big data (Nickerson &amp; Rogers, 2014). Data analysts build sophisticated predictive models that target specific voting demographics. This level of specification allows campaigns to better target specific voters to maximize their advertising dollars. As such, it is reasonable to believe that the use of twitter by local campaigns could contribute to broadcast effects. </w:t>
      </w:r>
    </w:p>
    <w:p w14:paraId="475C3D54" w14:textId="77777777" w:rsidR="00734A23" w:rsidRDefault="00734A23" w:rsidP="00734A23">
      <w:pPr>
        <w:spacing w:line="480" w:lineRule="auto"/>
        <w:ind w:firstLine="720"/>
      </w:pPr>
      <w:r>
        <w:t xml:space="preserve">Name recognition effects are another important aspect of local campaigns. Increasing a candidate’s name recognition among voters can enhance their political viability (Bright et al., 2020). A candidate can benefit from name recognition effects from numerous avenues (paid advertising, local television reporting, interviews, etc.), as such, they are difficult to directedly attribute to social media presence. However, research from Kobayashi &amp; Ichifuji (2015) suggests that the nature of social media platforms – specifically Twitter – can intensify name recognition effects for political candidates. While potential voters are exposed to political messaging directly by the accounts of candidates, they can also be exposed to this messaging through their social network. When political messaging is mixed with or promoted by people the individuals actively decide to follow, the name recognition effect is amplified (Kobayashi &amp; Ichifuji 2015). One form of this amplification takes the form of “retweets”, which allow other accounts to directly share the political messaging of campaigns to their own followers. Despite this, scholarship examining name recognition effects’ is mixed. Broockman &amp; Green (2014) examined name recognition effects on political advertising on Facebook, finding that an increased volume of social media ads failed to increase name recognition among voters. However, social media activity (i.e., </w:t>
      </w:r>
      <w:r>
        <w:lastRenderedPageBreak/>
        <w:t xml:space="preserve">tweets or retweets) should not be conflated with political advertising on the same platform – as they are labelled as advertising and stand out from other posts on the platform. </w:t>
      </w:r>
    </w:p>
    <w:p w14:paraId="38A99888" w14:textId="77777777" w:rsidR="00734A23" w:rsidRDefault="00734A23" w:rsidP="00734A23">
      <w:pPr>
        <w:spacing w:line="480" w:lineRule="auto"/>
        <w:rPr>
          <w:u w:val="single"/>
        </w:rPr>
      </w:pPr>
      <w:r w:rsidRPr="00006675">
        <w:rPr>
          <w:u w:val="single"/>
        </w:rPr>
        <w:t>Theory</w:t>
      </w:r>
    </w:p>
    <w:p w14:paraId="5D4D6B27" w14:textId="77777777" w:rsidR="00734A23" w:rsidRPr="00A74C5E" w:rsidRDefault="00734A23" w:rsidP="00734A23">
      <w:pPr>
        <w:spacing w:line="480" w:lineRule="auto"/>
      </w:pPr>
      <w:r>
        <w:rPr>
          <w:i/>
          <w:iCs/>
        </w:rPr>
        <w:t>Name Recognition Effects</w:t>
      </w:r>
    </w:p>
    <w:p w14:paraId="7E149786" w14:textId="77777777" w:rsidR="00734A23" w:rsidRDefault="00734A23" w:rsidP="00734A23">
      <w:pPr>
        <w:spacing w:line="480" w:lineRule="auto"/>
        <w:ind w:firstLine="720"/>
      </w:pPr>
      <w:r>
        <w:t>As previous described, there is evidence to suggest that a political candidate’s Twitter presence can amplify name recognition effects. As such, it should be expected that an increase in tweets from the account of a political candidate is associated with an increase in name recognition effects. Moreover, as name recognition effects are more significant for non-incumbent candidates, it should be excepted that non-incumbent candidates will benefit more from any vote dividend that incumbents. To test these assumptions, the following two hypotheses are proposed:</w:t>
      </w:r>
    </w:p>
    <w:p w14:paraId="7705E025" w14:textId="77777777" w:rsidR="00734A23" w:rsidRDefault="00734A23" w:rsidP="00734A23">
      <w:pPr>
        <w:spacing w:line="480" w:lineRule="auto"/>
        <w:ind w:left="720"/>
      </w:pPr>
      <w:r w:rsidRPr="00685D5B">
        <w:rPr>
          <w:b/>
          <w:bCs/>
        </w:rPr>
        <w:t>H</w:t>
      </w:r>
      <w:r w:rsidRPr="00685D5B">
        <w:rPr>
          <w:b/>
          <w:bCs/>
          <w:vertAlign w:val="subscript"/>
        </w:rPr>
        <w:t>1a</w:t>
      </w:r>
      <w:r w:rsidRPr="00685D5B">
        <w:rPr>
          <w:b/>
          <w:bCs/>
        </w:rPr>
        <w:t>:</w:t>
      </w:r>
      <w:r>
        <w:t xml:space="preserve"> Political candidates who send more </w:t>
      </w:r>
      <w:r>
        <w:rPr>
          <w:b/>
          <w:bCs/>
        </w:rPr>
        <w:t>total tweets</w:t>
      </w:r>
      <w:r>
        <w:t xml:space="preserve"> during an election campaign will win more votes.</w:t>
      </w:r>
    </w:p>
    <w:p w14:paraId="3774DE02" w14:textId="77777777" w:rsidR="00734A23" w:rsidRDefault="00734A23" w:rsidP="00734A23">
      <w:pPr>
        <w:spacing w:line="480" w:lineRule="auto"/>
        <w:ind w:left="720"/>
      </w:pPr>
      <w:r w:rsidRPr="00685D5B">
        <w:rPr>
          <w:b/>
          <w:bCs/>
        </w:rPr>
        <w:t>H</w:t>
      </w:r>
      <w:r w:rsidRPr="00685D5B">
        <w:rPr>
          <w:b/>
          <w:bCs/>
          <w:vertAlign w:val="subscript"/>
        </w:rPr>
        <w:t>1b</w:t>
      </w:r>
      <w:r>
        <w:t xml:space="preserve">: Incumbent candidates will receive less of a vote dividend from Twitter use than non-incumbents. </w:t>
      </w:r>
    </w:p>
    <w:p w14:paraId="1975C23A" w14:textId="77777777" w:rsidR="00734A23" w:rsidRPr="00A74C5E" w:rsidRDefault="00734A23" w:rsidP="00734A23">
      <w:pPr>
        <w:spacing w:line="480" w:lineRule="auto"/>
      </w:pPr>
      <w:r>
        <w:rPr>
          <w:i/>
          <w:iCs/>
        </w:rPr>
        <w:t>Broadcast Effects</w:t>
      </w:r>
    </w:p>
    <w:p w14:paraId="55A8FA32" w14:textId="77777777" w:rsidR="00734A23" w:rsidRDefault="00734A23" w:rsidP="00734A23">
      <w:pPr>
        <w:spacing w:line="480" w:lineRule="auto"/>
      </w:pPr>
      <w:r>
        <w:tab/>
        <w:t>The role of broadcast effects on local campaigns has been previously discussed.  In the context of Twitter, broadcasting party messaging can take several forms, including promoting their parties’ policies, to denigrating the proposals of others (Bright et al., 2020, pp. 991-992). The purpose of this paper is not to determine the relative effectiveness of broadcasting party messaging. Rather, the purpose of this paper is to quantify the broadcast effect by examining the retweets of political candidates. As such, the following hypothesis has been proposed:</w:t>
      </w:r>
    </w:p>
    <w:p w14:paraId="4E9322CF" w14:textId="77777777" w:rsidR="00734A23" w:rsidRDefault="00734A23" w:rsidP="00734A23">
      <w:pPr>
        <w:spacing w:line="480" w:lineRule="auto"/>
        <w:ind w:left="720"/>
      </w:pPr>
      <w:r w:rsidRPr="00685D5B">
        <w:rPr>
          <w:b/>
          <w:bCs/>
        </w:rPr>
        <w:lastRenderedPageBreak/>
        <w:t>H</w:t>
      </w:r>
      <w:r w:rsidRPr="00685D5B">
        <w:rPr>
          <w:b/>
          <w:bCs/>
          <w:vertAlign w:val="subscript"/>
        </w:rPr>
        <w:t>2</w:t>
      </w:r>
      <w:r>
        <w:t xml:space="preserve">: Political candidates who send more </w:t>
      </w:r>
      <w:r w:rsidRPr="0063467F">
        <w:rPr>
          <w:b/>
          <w:bCs/>
        </w:rPr>
        <w:t>retweets</w:t>
      </w:r>
      <w:r>
        <w:t xml:space="preserve"> during an election campaign will win more votes.</w:t>
      </w:r>
    </w:p>
    <w:p w14:paraId="7DAB4672" w14:textId="77777777" w:rsidR="00734A23" w:rsidRPr="00F24BA1" w:rsidRDefault="00734A23" w:rsidP="00734A23">
      <w:pPr>
        <w:spacing w:line="480" w:lineRule="auto"/>
        <w:rPr>
          <w:u w:val="single"/>
        </w:rPr>
      </w:pPr>
      <w:r>
        <w:rPr>
          <w:u w:val="single"/>
        </w:rPr>
        <w:t>Research Design</w:t>
      </w:r>
    </w:p>
    <w:p w14:paraId="2EBA8F28" w14:textId="77777777" w:rsidR="00734A23" w:rsidRPr="00AF60DE" w:rsidRDefault="00734A23" w:rsidP="00734A23">
      <w:pPr>
        <w:spacing w:line="480" w:lineRule="auto"/>
      </w:pPr>
      <w:r>
        <w:rPr>
          <w:i/>
          <w:iCs/>
        </w:rPr>
        <w:t xml:space="preserve">Sample </w:t>
      </w:r>
      <w:r w:rsidRPr="002658A6">
        <w:rPr>
          <w:i/>
          <w:iCs/>
        </w:rPr>
        <w:t>Collection &amp; Data Handling</w:t>
      </w:r>
    </w:p>
    <w:p w14:paraId="4612C23B" w14:textId="77777777" w:rsidR="00734A23" w:rsidRPr="00204999" w:rsidRDefault="00734A23" w:rsidP="00734A23">
      <w:pPr>
        <w:spacing w:line="480" w:lineRule="auto"/>
        <w:ind w:firstLine="720"/>
      </w:pPr>
      <w:r>
        <w:t xml:space="preserve">This study examined the Twitter behaviour of candidates running for the Ontario Provincial Parliament during the 2022 Provincial election. Specifically, this study examines the electoral outcomes of fourteen (14) races MPP races. This sample was determined based on two primary criteria: polling average prior to the election and platform presence. The first criteria required elections where two or more candidates were within the margin of error from the </w:t>
      </w:r>
      <w:r w:rsidRPr="003B2E93">
        <w:rPr>
          <w:i/>
          <w:iCs/>
        </w:rPr>
        <w:t>iPolitics</w:t>
      </w:r>
      <w:r>
        <w:t xml:space="preserve"> polling average one day prior to the election. The second aspect of the selection criteria is fairly simple, only races where the candidates have a twitter account were selected. Inclusion of the latter category required the exclusion of several races which met the first criteria, including Burlington &amp; Eglington-Lawrence for example. The resulting sample can be found in </w:t>
      </w:r>
      <w:r w:rsidRPr="0006426B">
        <w:t>Table 1</w:t>
      </w:r>
      <w:r>
        <w:t xml:space="preserve">.1. The number of races examined was limited by the collection method. Social media data was gathered using Twitter API v2 and the tweepy python module. This method only permits two million API requests per month. Collection of the tweets required several steps. Four helper functions were written to collect the independent variable from Twitter’s API. The first function accessed the account ID for every candidate’s individual Twitter account, which was stored in the </w:t>
      </w:r>
      <w:r w:rsidRPr="00623837">
        <w:rPr>
          <w:i/>
          <w:iCs/>
        </w:rPr>
        <w:t>on_poli</w:t>
      </w:r>
      <w:r>
        <w:t xml:space="preserve"> database. The account ID is a required parameter for any API request pertaining to specific account details (i.e., tweets, retweets, followers, etc.).  The collection of the independent variable for H</w:t>
      </w:r>
      <w:r w:rsidRPr="0012568A">
        <w:rPr>
          <w:vertAlign w:val="subscript"/>
        </w:rPr>
        <w:t>1</w:t>
      </w:r>
      <w:r>
        <w:t xml:space="preserve"> was done by the </w:t>
      </w:r>
      <w:r>
        <w:rPr>
          <w:i/>
          <w:iCs/>
        </w:rPr>
        <w:t>get_campaign_tweet_sum</w:t>
      </w:r>
      <w:r>
        <w:t xml:space="preserve"> function. For each candidate, the function would access the number of tweets for each day between May 1</w:t>
      </w:r>
      <w:r w:rsidRPr="00024D1D">
        <w:rPr>
          <w:vertAlign w:val="superscript"/>
        </w:rPr>
        <w:t>st</w:t>
      </w:r>
      <w:r>
        <w:t xml:space="preserve"> to June 2</w:t>
      </w:r>
      <w:r w:rsidRPr="00024D1D">
        <w:rPr>
          <w:vertAlign w:val="superscript"/>
        </w:rPr>
        <w:t>nd</w:t>
      </w:r>
      <w:r>
        <w:t xml:space="preserve">. Once the tweets were counted, the sum would be added to the database for the corresponding </w:t>
      </w:r>
      <w:r>
        <w:lastRenderedPageBreak/>
        <w:t xml:space="preserve">candidate. Collection of the independent variable for H2 was very similar. The only difference with this function is API request: rather than searching for all tweets for each candidate, the </w:t>
      </w:r>
      <w:r>
        <w:rPr>
          <w:i/>
          <w:iCs/>
        </w:rPr>
        <w:t>get_campaign_retweet_sum</w:t>
      </w:r>
      <w:r>
        <w:t xml:space="preserve"> function only looked for retweets for each candidate. For two of the races, individual candidates owned multiple accounts: Patrice Barnes (PCPO, Ajax) and Michael Ford (PCPO, York South). Both candidates were members of public office prior to their MPP candidacy – School Board Trustee &amp; City Councillor respectively. In these two instances, tweets from both accounts were counted towards the total number of for each respective candidate. The result of this was an increase in retweets for candidate Ford by two and an increase of three tweets for candidate Barnes. </w:t>
      </w:r>
    </w:p>
    <w:tbl>
      <w:tblPr>
        <w:tblStyle w:val="TableGrid"/>
        <w:tblpPr w:leftFromText="180" w:rightFromText="180" w:vertAnchor="text" w:horzAnchor="margin" w:tblpY="-99"/>
        <w:tblW w:w="0" w:type="auto"/>
        <w:tblLook w:val="04A0" w:firstRow="1" w:lastRow="0" w:firstColumn="1" w:lastColumn="0" w:noHBand="0" w:noVBand="1"/>
      </w:tblPr>
      <w:tblGrid>
        <w:gridCol w:w="2847"/>
        <w:gridCol w:w="1283"/>
        <w:gridCol w:w="1262"/>
        <w:gridCol w:w="1234"/>
        <w:gridCol w:w="1406"/>
        <w:gridCol w:w="1318"/>
      </w:tblGrid>
      <w:tr w:rsidR="00734A23" w14:paraId="440DE6CE" w14:textId="77777777" w:rsidTr="004B3C5C">
        <w:trPr>
          <w:trHeight w:val="411"/>
        </w:trPr>
        <w:tc>
          <w:tcPr>
            <w:tcW w:w="9350" w:type="dxa"/>
            <w:gridSpan w:val="6"/>
            <w:shd w:val="clear" w:color="auto" w:fill="E7E6E6" w:themeFill="background2"/>
          </w:tcPr>
          <w:p w14:paraId="58B21CF6" w14:textId="77777777" w:rsidR="00734A23" w:rsidRPr="000A70EF" w:rsidRDefault="00734A23" w:rsidP="004B3C5C">
            <w:pPr>
              <w:spacing w:line="360" w:lineRule="auto"/>
            </w:pPr>
            <w:r w:rsidRPr="00B95B78">
              <w:rPr>
                <w:i/>
                <w:iCs/>
              </w:rPr>
              <w:t xml:space="preserve">Table </w:t>
            </w:r>
            <w:r>
              <w:rPr>
                <w:i/>
                <w:iCs/>
              </w:rPr>
              <w:t>1.</w:t>
            </w:r>
            <w:r w:rsidRPr="00B95B78">
              <w:rPr>
                <w:i/>
                <w:iCs/>
              </w:rPr>
              <w:t>1. Sample Summary</w:t>
            </w:r>
          </w:p>
        </w:tc>
      </w:tr>
      <w:tr w:rsidR="00734A23" w14:paraId="62A757CD" w14:textId="77777777" w:rsidTr="004B3C5C">
        <w:trPr>
          <w:trHeight w:val="558"/>
        </w:trPr>
        <w:tc>
          <w:tcPr>
            <w:tcW w:w="2847" w:type="dxa"/>
            <w:shd w:val="clear" w:color="auto" w:fill="E7E6E6" w:themeFill="background2"/>
          </w:tcPr>
          <w:p w14:paraId="645C33B7" w14:textId="77777777" w:rsidR="00734A23" w:rsidRDefault="00734A23" w:rsidP="004B3C5C">
            <w:pPr>
              <w:spacing w:line="360" w:lineRule="auto"/>
              <w:jc w:val="center"/>
            </w:pPr>
            <w:r>
              <w:t>Riding</w:t>
            </w:r>
          </w:p>
        </w:tc>
        <w:tc>
          <w:tcPr>
            <w:tcW w:w="1283" w:type="dxa"/>
            <w:shd w:val="clear" w:color="auto" w:fill="E7E6E6" w:themeFill="background2"/>
          </w:tcPr>
          <w:p w14:paraId="4038ED3D" w14:textId="77777777" w:rsidR="00734A23" w:rsidRDefault="00734A23" w:rsidP="004B3C5C">
            <w:pPr>
              <w:spacing w:line="360" w:lineRule="auto"/>
              <w:jc w:val="center"/>
            </w:pPr>
            <w:r>
              <w:t>Candidates</w:t>
            </w:r>
          </w:p>
        </w:tc>
        <w:tc>
          <w:tcPr>
            <w:tcW w:w="1262" w:type="dxa"/>
            <w:shd w:val="clear" w:color="auto" w:fill="E7E6E6" w:themeFill="background2"/>
          </w:tcPr>
          <w:p w14:paraId="62F21D5E" w14:textId="77777777" w:rsidR="00734A23" w:rsidRDefault="00734A23" w:rsidP="004B3C5C">
            <w:pPr>
              <w:spacing w:line="360" w:lineRule="auto"/>
              <w:jc w:val="center"/>
            </w:pPr>
            <w:r>
              <w:t>Total Tweets</w:t>
            </w:r>
          </w:p>
        </w:tc>
        <w:tc>
          <w:tcPr>
            <w:tcW w:w="1234" w:type="dxa"/>
            <w:shd w:val="clear" w:color="auto" w:fill="E7E6E6" w:themeFill="background2"/>
          </w:tcPr>
          <w:p w14:paraId="7D5D81AD" w14:textId="77777777" w:rsidR="00734A23" w:rsidRDefault="00734A23" w:rsidP="004B3C5C">
            <w:pPr>
              <w:spacing w:line="360" w:lineRule="auto"/>
              <w:jc w:val="center"/>
            </w:pPr>
            <w:r>
              <w:t>Total Retweets</w:t>
            </w:r>
          </w:p>
        </w:tc>
        <w:tc>
          <w:tcPr>
            <w:tcW w:w="1406" w:type="dxa"/>
            <w:shd w:val="clear" w:color="auto" w:fill="E7E6E6" w:themeFill="background2"/>
          </w:tcPr>
          <w:p w14:paraId="0744C496" w14:textId="77777777" w:rsidR="00734A23" w:rsidRDefault="00734A23" w:rsidP="004B3C5C">
            <w:pPr>
              <w:spacing w:line="360" w:lineRule="auto"/>
              <w:jc w:val="center"/>
            </w:pPr>
            <w:r>
              <w:t>Total Tweets (all)</w:t>
            </w:r>
          </w:p>
        </w:tc>
        <w:tc>
          <w:tcPr>
            <w:tcW w:w="1318" w:type="dxa"/>
            <w:shd w:val="clear" w:color="auto" w:fill="E7E6E6" w:themeFill="background2"/>
          </w:tcPr>
          <w:p w14:paraId="74364FFB" w14:textId="77777777" w:rsidR="00734A23" w:rsidRDefault="00734A23" w:rsidP="004B3C5C">
            <w:pPr>
              <w:spacing w:line="360" w:lineRule="auto"/>
              <w:jc w:val="center"/>
            </w:pPr>
            <w:r>
              <w:t>Votes</w:t>
            </w:r>
          </w:p>
        </w:tc>
      </w:tr>
      <w:tr w:rsidR="00734A23" w14:paraId="20A42A86" w14:textId="77777777" w:rsidTr="004B3C5C">
        <w:trPr>
          <w:trHeight w:val="145"/>
        </w:trPr>
        <w:tc>
          <w:tcPr>
            <w:tcW w:w="2847" w:type="dxa"/>
          </w:tcPr>
          <w:p w14:paraId="48E04AFC" w14:textId="77777777" w:rsidR="00734A23" w:rsidRDefault="00734A23" w:rsidP="004B3C5C">
            <w:pPr>
              <w:spacing w:line="360" w:lineRule="auto"/>
            </w:pPr>
            <w:r>
              <w:t>Ajax</w:t>
            </w:r>
          </w:p>
        </w:tc>
        <w:tc>
          <w:tcPr>
            <w:tcW w:w="1283" w:type="dxa"/>
          </w:tcPr>
          <w:p w14:paraId="5FA97485" w14:textId="77777777" w:rsidR="00734A23" w:rsidRDefault="00734A23" w:rsidP="004B3C5C">
            <w:pPr>
              <w:spacing w:line="360" w:lineRule="auto"/>
              <w:jc w:val="center"/>
            </w:pPr>
            <w:r>
              <w:t>3</w:t>
            </w:r>
          </w:p>
        </w:tc>
        <w:tc>
          <w:tcPr>
            <w:tcW w:w="1262" w:type="dxa"/>
          </w:tcPr>
          <w:p w14:paraId="02E7FD65" w14:textId="77777777" w:rsidR="00734A23" w:rsidRDefault="00734A23" w:rsidP="004B3C5C">
            <w:pPr>
              <w:spacing w:line="360" w:lineRule="auto"/>
              <w:jc w:val="center"/>
            </w:pPr>
            <w:r>
              <w:t>88</w:t>
            </w:r>
          </w:p>
        </w:tc>
        <w:tc>
          <w:tcPr>
            <w:tcW w:w="1234" w:type="dxa"/>
          </w:tcPr>
          <w:p w14:paraId="18F0AE76" w14:textId="77777777" w:rsidR="00734A23" w:rsidRDefault="00734A23" w:rsidP="004B3C5C">
            <w:pPr>
              <w:spacing w:line="360" w:lineRule="auto"/>
              <w:jc w:val="center"/>
            </w:pPr>
            <w:r>
              <w:t>14</w:t>
            </w:r>
          </w:p>
        </w:tc>
        <w:tc>
          <w:tcPr>
            <w:tcW w:w="1406" w:type="dxa"/>
          </w:tcPr>
          <w:p w14:paraId="6461A322" w14:textId="77777777" w:rsidR="00734A23" w:rsidRDefault="00734A23" w:rsidP="004B3C5C">
            <w:pPr>
              <w:spacing w:line="360" w:lineRule="auto"/>
              <w:jc w:val="center"/>
            </w:pPr>
            <w:r>
              <w:t>102</w:t>
            </w:r>
          </w:p>
        </w:tc>
        <w:tc>
          <w:tcPr>
            <w:tcW w:w="1318" w:type="dxa"/>
          </w:tcPr>
          <w:p w14:paraId="10BC3E06" w14:textId="77777777" w:rsidR="00734A23" w:rsidRDefault="00734A23" w:rsidP="004B3C5C">
            <w:pPr>
              <w:spacing w:line="360" w:lineRule="auto"/>
              <w:jc w:val="center"/>
            </w:pPr>
            <w:r>
              <w:t>37,688</w:t>
            </w:r>
          </w:p>
        </w:tc>
      </w:tr>
      <w:tr w:rsidR="00734A23" w14:paraId="7058E03D" w14:textId="77777777" w:rsidTr="004B3C5C">
        <w:tc>
          <w:tcPr>
            <w:tcW w:w="2847" w:type="dxa"/>
          </w:tcPr>
          <w:p w14:paraId="55000EF3" w14:textId="77777777" w:rsidR="00734A23" w:rsidRDefault="00734A23" w:rsidP="004B3C5C">
            <w:pPr>
              <w:spacing w:line="360" w:lineRule="auto"/>
            </w:pPr>
            <w:r>
              <w:t>Brampton Centre</w:t>
            </w:r>
          </w:p>
        </w:tc>
        <w:tc>
          <w:tcPr>
            <w:tcW w:w="1283" w:type="dxa"/>
          </w:tcPr>
          <w:p w14:paraId="7E4A69EC" w14:textId="77777777" w:rsidR="00734A23" w:rsidRDefault="00734A23" w:rsidP="004B3C5C">
            <w:pPr>
              <w:spacing w:line="360" w:lineRule="auto"/>
              <w:jc w:val="center"/>
            </w:pPr>
            <w:r>
              <w:t>3</w:t>
            </w:r>
          </w:p>
        </w:tc>
        <w:tc>
          <w:tcPr>
            <w:tcW w:w="1262" w:type="dxa"/>
          </w:tcPr>
          <w:p w14:paraId="07CE8749" w14:textId="77777777" w:rsidR="00734A23" w:rsidRDefault="00734A23" w:rsidP="004B3C5C">
            <w:pPr>
              <w:spacing w:line="360" w:lineRule="auto"/>
              <w:jc w:val="center"/>
            </w:pPr>
            <w:r>
              <w:t>92</w:t>
            </w:r>
          </w:p>
        </w:tc>
        <w:tc>
          <w:tcPr>
            <w:tcW w:w="1234" w:type="dxa"/>
          </w:tcPr>
          <w:p w14:paraId="1928BB70" w14:textId="77777777" w:rsidR="00734A23" w:rsidRDefault="00734A23" w:rsidP="004B3C5C">
            <w:pPr>
              <w:spacing w:line="360" w:lineRule="auto"/>
              <w:jc w:val="center"/>
            </w:pPr>
            <w:r>
              <w:t>22</w:t>
            </w:r>
          </w:p>
        </w:tc>
        <w:tc>
          <w:tcPr>
            <w:tcW w:w="1406" w:type="dxa"/>
          </w:tcPr>
          <w:p w14:paraId="4AAB68D7" w14:textId="77777777" w:rsidR="00734A23" w:rsidRDefault="00734A23" w:rsidP="004B3C5C">
            <w:pPr>
              <w:spacing w:line="360" w:lineRule="auto"/>
              <w:jc w:val="center"/>
            </w:pPr>
            <w:r>
              <w:t>114</w:t>
            </w:r>
          </w:p>
        </w:tc>
        <w:tc>
          <w:tcPr>
            <w:tcW w:w="1318" w:type="dxa"/>
          </w:tcPr>
          <w:p w14:paraId="2CE1DFF1" w14:textId="77777777" w:rsidR="00734A23" w:rsidRDefault="00734A23" w:rsidP="004B3C5C">
            <w:pPr>
              <w:spacing w:line="360" w:lineRule="auto"/>
              <w:jc w:val="center"/>
            </w:pPr>
            <w:r>
              <w:t>24,466</w:t>
            </w:r>
          </w:p>
        </w:tc>
      </w:tr>
      <w:tr w:rsidR="00734A23" w14:paraId="3089185B" w14:textId="77777777" w:rsidTr="004B3C5C">
        <w:tc>
          <w:tcPr>
            <w:tcW w:w="2847" w:type="dxa"/>
          </w:tcPr>
          <w:p w14:paraId="1C9F6D23" w14:textId="77777777" w:rsidR="00734A23" w:rsidRDefault="00734A23" w:rsidP="004B3C5C">
            <w:pPr>
              <w:spacing w:line="360" w:lineRule="auto"/>
            </w:pPr>
            <w:r>
              <w:t>Brampton West</w:t>
            </w:r>
          </w:p>
        </w:tc>
        <w:tc>
          <w:tcPr>
            <w:tcW w:w="1283" w:type="dxa"/>
          </w:tcPr>
          <w:p w14:paraId="2B2A9DA0" w14:textId="77777777" w:rsidR="00734A23" w:rsidRDefault="00734A23" w:rsidP="004B3C5C">
            <w:pPr>
              <w:spacing w:line="360" w:lineRule="auto"/>
              <w:jc w:val="center"/>
            </w:pPr>
            <w:r>
              <w:t>3</w:t>
            </w:r>
          </w:p>
        </w:tc>
        <w:tc>
          <w:tcPr>
            <w:tcW w:w="1262" w:type="dxa"/>
          </w:tcPr>
          <w:p w14:paraId="1CEDC8A9" w14:textId="77777777" w:rsidR="00734A23" w:rsidRDefault="00734A23" w:rsidP="004B3C5C">
            <w:pPr>
              <w:spacing w:line="360" w:lineRule="auto"/>
              <w:jc w:val="center"/>
            </w:pPr>
            <w:r>
              <w:t>91</w:t>
            </w:r>
          </w:p>
        </w:tc>
        <w:tc>
          <w:tcPr>
            <w:tcW w:w="1234" w:type="dxa"/>
          </w:tcPr>
          <w:p w14:paraId="6937C473" w14:textId="77777777" w:rsidR="00734A23" w:rsidRDefault="00734A23" w:rsidP="004B3C5C">
            <w:pPr>
              <w:spacing w:line="360" w:lineRule="auto"/>
              <w:jc w:val="center"/>
            </w:pPr>
            <w:r>
              <w:t>113</w:t>
            </w:r>
          </w:p>
        </w:tc>
        <w:tc>
          <w:tcPr>
            <w:tcW w:w="1406" w:type="dxa"/>
          </w:tcPr>
          <w:p w14:paraId="1B784D71" w14:textId="77777777" w:rsidR="00734A23" w:rsidRDefault="00734A23" w:rsidP="004B3C5C">
            <w:pPr>
              <w:spacing w:line="360" w:lineRule="auto"/>
              <w:jc w:val="center"/>
            </w:pPr>
            <w:r>
              <w:t>204</w:t>
            </w:r>
          </w:p>
        </w:tc>
        <w:tc>
          <w:tcPr>
            <w:tcW w:w="1318" w:type="dxa"/>
          </w:tcPr>
          <w:p w14:paraId="713F9D79" w14:textId="77777777" w:rsidR="00734A23" w:rsidRDefault="00734A23" w:rsidP="004B3C5C">
            <w:pPr>
              <w:spacing w:line="360" w:lineRule="auto"/>
              <w:jc w:val="center"/>
            </w:pPr>
            <w:r>
              <w:t>30,316</w:t>
            </w:r>
          </w:p>
        </w:tc>
      </w:tr>
      <w:tr w:rsidR="00734A23" w14:paraId="36A3D312" w14:textId="77777777" w:rsidTr="004B3C5C">
        <w:tc>
          <w:tcPr>
            <w:tcW w:w="2847" w:type="dxa"/>
          </w:tcPr>
          <w:p w14:paraId="16781608" w14:textId="77777777" w:rsidR="00734A23" w:rsidRDefault="00734A23" w:rsidP="004B3C5C">
            <w:pPr>
              <w:spacing w:line="360" w:lineRule="auto"/>
            </w:pPr>
            <w:r>
              <w:t>Hamilton East</w:t>
            </w:r>
          </w:p>
        </w:tc>
        <w:tc>
          <w:tcPr>
            <w:tcW w:w="1283" w:type="dxa"/>
          </w:tcPr>
          <w:p w14:paraId="17F1E283" w14:textId="77777777" w:rsidR="00734A23" w:rsidRDefault="00734A23" w:rsidP="004B3C5C">
            <w:pPr>
              <w:spacing w:line="360" w:lineRule="auto"/>
              <w:jc w:val="center"/>
            </w:pPr>
            <w:r>
              <w:t>3</w:t>
            </w:r>
          </w:p>
        </w:tc>
        <w:tc>
          <w:tcPr>
            <w:tcW w:w="1262" w:type="dxa"/>
          </w:tcPr>
          <w:p w14:paraId="358B7882" w14:textId="77777777" w:rsidR="00734A23" w:rsidRDefault="00734A23" w:rsidP="004B3C5C">
            <w:pPr>
              <w:spacing w:line="360" w:lineRule="auto"/>
              <w:jc w:val="center"/>
            </w:pPr>
            <w:r>
              <w:t>85</w:t>
            </w:r>
          </w:p>
        </w:tc>
        <w:tc>
          <w:tcPr>
            <w:tcW w:w="1234" w:type="dxa"/>
          </w:tcPr>
          <w:p w14:paraId="429AE08D" w14:textId="77777777" w:rsidR="00734A23" w:rsidRDefault="00734A23" w:rsidP="004B3C5C">
            <w:pPr>
              <w:spacing w:line="360" w:lineRule="auto"/>
              <w:jc w:val="center"/>
            </w:pPr>
            <w:r>
              <w:t>68</w:t>
            </w:r>
          </w:p>
        </w:tc>
        <w:tc>
          <w:tcPr>
            <w:tcW w:w="1406" w:type="dxa"/>
          </w:tcPr>
          <w:p w14:paraId="4AA56C72" w14:textId="77777777" w:rsidR="00734A23" w:rsidRDefault="00734A23" w:rsidP="004B3C5C">
            <w:pPr>
              <w:spacing w:line="360" w:lineRule="auto"/>
              <w:jc w:val="center"/>
            </w:pPr>
            <w:r>
              <w:t>153</w:t>
            </w:r>
          </w:p>
        </w:tc>
        <w:tc>
          <w:tcPr>
            <w:tcW w:w="1318" w:type="dxa"/>
          </w:tcPr>
          <w:p w14:paraId="473E287B" w14:textId="77777777" w:rsidR="00734A23" w:rsidRDefault="00734A23" w:rsidP="004B3C5C">
            <w:pPr>
              <w:spacing w:line="360" w:lineRule="auto"/>
              <w:jc w:val="center"/>
            </w:pPr>
            <w:r>
              <w:t>35,166</w:t>
            </w:r>
          </w:p>
        </w:tc>
      </w:tr>
      <w:tr w:rsidR="00734A23" w14:paraId="021503AE" w14:textId="77777777" w:rsidTr="004B3C5C">
        <w:tc>
          <w:tcPr>
            <w:tcW w:w="2847" w:type="dxa"/>
          </w:tcPr>
          <w:p w14:paraId="45E531F4" w14:textId="77777777" w:rsidR="00734A23" w:rsidRDefault="00734A23" w:rsidP="004B3C5C">
            <w:pPr>
              <w:spacing w:line="360" w:lineRule="auto"/>
            </w:pPr>
            <w:r>
              <w:t>Parry Sound-Muskoka</w:t>
            </w:r>
          </w:p>
        </w:tc>
        <w:tc>
          <w:tcPr>
            <w:tcW w:w="1283" w:type="dxa"/>
          </w:tcPr>
          <w:p w14:paraId="04BA445F" w14:textId="77777777" w:rsidR="00734A23" w:rsidRDefault="00734A23" w:rsidP="004B3C5C">
            <w:pPr>
              <w:spacing w:line="360" w:lineRule="auto"/>
              <w:jc w:val="center"/>
            </w:pPr>
            <w:r>
              <w:t>3</w:t>
            </w:r>
          </w:p>
        </w:tc>
        <w:tc>
          <w:tcPr>
            <w:tcW w:w="1262" w:type="dxa"/>
          </w:tcPr>
          <w:p w14:paraId="78DDA51C" w14:textId="77777777" w:rsidR="00734A23" w:rsidRDefault="00734A23" w:rsidP="004B3C5C">
            <w:pPr>
              <w:spacing w:line="360" w:lineRule="auto"/>
              <w:jc w:val="center"/>
            </w:pPr>
            <w:r>
              <w:t>141</w:t>
            </w:r>
          </w:p>
        </w:tc>
        <w:tc>
          <w:tcPr>
            <w:tcW w:w="1234" w:type="dxa"/>
          </w:tcPr>
          <w:p w14:paraId="6A1410A4" w14:textId="77777777" w:rsidR="00734A23" w:rsidRDefault="00734A23" w:rsidP="004B3C5C">
            <w:pPr>
              <w:spacing w:line="360" w:lineRule="auto"/>
              <w:jc w:val="center"/>
            </w:pPr>
            <w:r>
              <w:t>152</w:t>
            </w:r>
          </w:p>
        </w:tc>
        <w:tc>
          <w:tcPr>
            <w:tcW w:w="1406" w:type="dxa"/>
          </w:tcPr>
          <w:p w14:paraId="1ECF4BF5" w14:textId="77777777" w:rsidR="00734A23" w:rsidRDefault="00734A23" w:rsidP="004B3C5C">
            <w:pPr>
              <w:spacing w:line="360" w:lineRule="auto"/>
              <w:jc w:val="center"/>
            </w:pPr>
            <w:r>
              <w:t>293</w:t>
            </w:r>
          </w:p>
        </w:tc>
        <w:tc>
          <w:tcPr>
            <w:tcW w:w="1318" w:type="dxa"/>
          </w:tcPr>
          <w:p w14:paraId="11A1AA75" w14:textId="77777777" w:rsidR="00734A23" w:rsidRDefault="00734A23" w:rsidP="004B3C5C">
            <w:pPr>
              <w:spacing w:line="360" w:lineRule="auto"/>
              <w:jc w:val="center"/>
            </w:pPr>
            <w:r>
              <w:t>44,522</w:t>
            </w:r>
          </w:p>
        </w:tc>
      </w:tr>
      <w:tr w:rsidR="00734A23" w14:paraId="6C13146E" w14:textId="77777777" w:rsidTr="004B3C5C">
        <w:tc>
          <w:tcPr>
            <w:tcW w:w="2847" w:type="dxa"/>
          </w:tcPr>
          <w:p w14:paraId="7B3ACE06" w14:textId="77777777" w:rsidR="00734A23" w:rsidRDefault="00734A23" w:rsidP="004B3C5C">
            <w:pPr>
              <w:spacing w:line="360" w:lineRule="auto"/>
            </w:pPr>
            <w:r>
              <w:t>York South</w:t>
            </w:r>
          </w:p>
        </w:tc>
        <w:tc>
          <w:tcPr>
            <w:tcW w:w="1283" w:type="dxa"/>
          </w:tcPr>
          <w:p w14:paraId="19FEB5A5" w14:textId="77777777" w:rsidR="00734A23" w:rsidRDefault="00734A23" w:rsidP="004B3C5C">
            <w:pPr>
              <w:spacing w:line="360" w:lineRule="auto"/>
              <w:jc w:val="center"/>
            </w:pPr>
            <w:r>
              <w:t>3</w:t>
            </w:r>
          </w:p>
        </w:tc>
        <w:tc>
          <w:tcPr>
            <w:tcW w:w="1262" w:type="dxa"/>
          </w:tcPr>
          <w:p w14:paraId="5B8B2FEA" w14:textId="77777777" w:rsidR="00734A23" w:rsidRDefault="00734A23" w:rsidP="004B3C5C">
            <w:pPr>
              <w:spacing w:line="360" w:lineRule="auto"/>
              <w:jc w:val="center"/>
            </w:pPr>
            <w:r>
              <w:t>171</w:t>
            </w:r>
          </w:p>
        </w:tc>
        <w:tc>
          <w:tcPr>
            <w:tcW w:w="1234" w:type="dxa"/>
          </w:tcPr>
          <w:p w14:paraId="05BA0DF6" w14:textId="77777777" w:rsidR="00734A23" w:rsidRDefault="00734A23" w:rsidP="004B3C5C">
            <w:pPr>
              <w:spacing w:line="360" w:lineRule="auto"/>
              <w:jc w:val="center"/>
            </w:pPr>
            <w:r>
              <w:t>48</w:t>
            </w:r>
          </w:p>
        </w:tc>
        <w:tc>
          <w:tcPr>
            <w:tcW w:w="1406" w:type="dxa"/>
          </w:tcPr>
          <w:p w14:paraId="4DB643B3" w14:textId="77777777" w:rsidR="00734A23" w:rsidRDefault="00734A23" w:rsidP="004B3C5C">
            <w:pPr>
              <w:spacing w:line="360" w:lineRule="auto"/>
              <w:jc w:val="center"/>
            </w:pPr>
            <w:r>
              <w:t>219</w:t>
            </w:r>
          </w:p>
        </w:tc>
        <w:tc>
          <w:tcPr>
            <w:tcW w:w="1318" w:type="dxa"/>
          </w:tcPr>
          <w:p w14:paraId="644FFFBE" w14:textId="77777777" w:rsidR="00734A23" w:rsidRDefault="00734A23" w:rsidP="004B3C5C">
            <w:pPr>
              <w:spacing w:line="360" w:lineRule="auto"/>
              <w:jc w:val="center"/>
            </w:pPr>
            <w:r>
              <w:t>30,426</w:t>
            </w:r>
          </w:p>
        </w:tc>
      </w:tr>
      <w:tr w:rsidR="00734A23" w14:paraId="16A5AA0D" w14:textId="77777777" w:rsidTr="004B3C5C">
        <w:tc>
          <w:tcPr>
            <w:tcW w:w="2847" w:type="dxa"/>
          </w:tcPr>
          <w:p w14:paraId="3303BC31" w14:textId="77777777" w:rsidR="00734A23" w:rsidRDefault="00734A23" w:rsidP="004B3C5C">
            <w:pPr>
              <w:spacing w:line="360" w:lineRule="auto"/>
            </w:pPr>
            <w:r>
              <w:t>Beaches-East York</w:t>
            </w:r>
          </w:p>
        </w:tc>
        <w:tc>
          <w:tcPr>
            <w:tcW w:w="1283" w:type="dxa"/>
          </w:tcPr>
          <w:p w14:paraId="315783EF" w14:textId="77777777" w:rsidR="00734A23" w:rsidRDefault="00734A23" w:rsidP="004B3C5C">
            <w:pPr>
              <w:spacing w:line="360" w:lineRule="auto"/>
              <w:jc w:val="center"/>
            </w:pPr>
            <w:r>
              <w:t>3</w:t>
            </w:r>
          </w:p>
        </w:tc>
        <w:tc>
          <w:tcPr>
            <w:tcW w:w="1262" w:type="dxa"/>
          </w:tcPr>
          <w:p w14:paraId="056D4364" w14:textId="77777777" w:rsidR="00734A23" w:rsidRDefault="00734A23" w:rsidP="004B3C5C">
            <w:pPr>
              <w:spacing w:line="360" w:lineRule="auto"/>
              <w:jc w:val="center"/>
            </w:pPr>
            <w:r>
              <w:t>466</w:t>
            </w:r>
          </w:p>
        </w:tc>
        <w:tc>
          <w:tcPr>
            <w:tcW w:w="1234" w:type="dxa"/>
          </w:tcPr>
          <w:p w14:paraId="4BBF0574" w14:textId="77777777" w:rsidR="00734A23" w:rsidRDefault="00734A23" w:rsidP="004B3C5C">
            <w:pPr>
              <w:spacing w:line="360" w:lineRule="auto"/>
              <w:jc w:val="center"/>
            </w:pPr>
            <w:r>
              <w:t>19</w:t>
            </w:r>
          </w:p>
        </w:tc>
        <w:tc>
          <w:tcPr>
            <w:tcW w:w="1406" w:type="dxa"/>
          </w:tcPr>
          <w:p w14:paraId="7A4120D5" w14:textId="77777777" w:rsidR="00734A23" w:rsidRDefault="00734A23" w:rsidP="004B3C5C">
            <w:pPr>
              <w:spacing w:line="360" w:lineRule="auto"/>
              <w:jc w:val="center"/>
            </w:pPr>
            <w:r>
              <w:t>485</w:t>
            </w:r>
          </w:p>
        </w:tc>
        <w:tc>
          <w:tcPr>
            <w:tcW w:w="1318" w:type="dxa"/>
          </w:tcPr>
          <w:p w14:paraId="2F958896" w14:textId="77777777" w:rsidR="00734A23" w:rsidRDefault="00734A23" w:rsidP="004B3C5C">
            <w:pPr>
              <w:spacing w:line="360" w:lineRule="auto"/>
              <w:jc w:val="center"/>
            </w:pPr>
            <w:r>
              <w:t>40,648</w:t>
            </w:r>
          </w:p>
        </w:tc>
      </w:tr>
      <w:tr w:rsidR="00734A23" w14:paraId="1DD6E183" w14:textId="77777777" w:rsidTr="004B3C5C">
        <w:tc>
          <w:tcPr>
            <w:tcW w:w="2847" w:type="dxa"/>
          </w:tcPr>
          <w:p w14:paraId="6C797A1B" w14:textId="77777777" w:rsidR="00734A23" w:rsidRDefault="00734A23" w:rsidP="004B3C5C">
            <w:pPr>
              <w:spacing w:line="360" w:lineRule="auto"/>
            </w:pPr>
            <w:r>
              <w:t>Toronto Centre</w:t>
            </w:r>
          </w:p>
        </w:tc>
        <w:tc>
          <w:tcPr>
            <w:tcW w:w="1283" w:type="dxa"/>
          </w:tcPr>
          <w:p w14:paraId="0B4E3F4B" w14:textId="77777777" w:rsidR="00734A23" w:rsidRDefault="00734A23" w:rsidP="004B3C5C">
            <w:pPr>
              <w:spacing w:line="360" w:lineRule="auto"/>
              <w:jc w:val="center"/>
            </w:pPr>
            <w:r>
              <w:t>3</w:t>
            </w:r>
          </w:p>
        </w:tc>
        <w:tc>
          <w:tcPr>
            <w:tcW w:w="1262" w:type="dxa"/>
          </w:tcPr>
          <w:p w14:paraId="53DEDFDC" w14:textId="77777777" w:rsidR="00734A23" w:rsidRDefault="00734A23" w:rsidP="004B3C5C">
            <w:pPr>
              <w:spacing w:line="360" w:lineRule="auto"/>
              <w:jc w:val="center"/>
            </w:pPr>
            <w:r>
              <w:t>347</w:t>
            </w:r>
          </w:p>
        </w:tc>
        <w:tc>
          <w:tcPr>
            <w:tcW w:w="1234" w:type="dxa"/>
          </w:tcPr>
          <w:p w14:paraId="283EDCEE" w14:textId="77777777" w:rsidR="00734A23" w:rsidRDefault="00734A23" w:rsidP="004B3C5C">
            <w:pPr>
              <w:spacing w:line="360" w:lineRule="auto"/>
              <w:jc w:val="center"/>
            </w:pPr>
            <w:r>
              <w:t>245</w:t>
            </w:r>
          </w:p>
        </w:tc>
        <w:tc>
          <w:tcPr>
            <w:tcW w:w="1406" w:type="dxa"/>
          </w:tcPr>
          <w:p w14:paraId="0EAE606B" w14:textId="77777777" w:rsidR="00734A23" w:rsidRDefault="00734A23" w:rsidP="004B3C5C">
            <w:pPr>
              <w:spacing w:line="360" w:lineRule="auto"/>
              <w:jc w:val="center"/>
            </w:pPr>
            <w:r>
              <w:t>592</w:t>
            </w:r>
          </w:p>
        </w:tc>
        <w:tc>
          <w:tcPr>
            <w:tcW w:w="1318" w:type="dxa"/>
          </w:tcPr>
          <w:p w14:paraId="52B5A710" w14:textId="77777777" w:rsidR="00734A23" w:rsidRDefault="00734A23" w:rsidP="004B3C5C">
            <w:pPr>
              <w:spacing w:line="360" w:lineRule="auto"/>
              <w:jc w:val="center"/>
            </w:pPr>
            <w:r>
              <w:t>34,909</w:t>
            </w:r>
          </w:p>
        </w:tc>
      </w:tr>
      <w:tr w:rsidR="00734A23" w14:paraId="5A48F760" w14:textId="77777777" w:rsidTr="004B3C5C">
        <w:tc>
          <w:tcPr>
            <w:tcW w:w="2847" w:type="dxa"/>
          </w:tcPr>
          <w:p w14:paraId="57962A1E" w14:textId="77777777" w:rsidR="00734A23" w:rsidRDefault="00734A23" w:rsidP="004B3C5C">
            <w:pPr>
              <w:spacing w:line="360" w:lineRule="auto"/>
            </w:pPr>
            <w:r>
              <w:t>Thunder Bay</w:t>
            </w:r>
          </w:p>
        </w:tc>
        <w:tc>
          <w:tcPr>
            <w:tcW w:w="1283" w:type="dxa"/>
          </w:tcPr>
          <w:p w14:paraId="36DA9E56" w14:textId="77777777" w:rsidR="00734A23" w:rsidRDefault="00734A23" w:rsidP="004B3C5C">
            <w:pPr>
              <w:spacing w:line="360" w:lineRule="auto"/>
              <w:jc w:val="center"/>
            </w:pPr>
            <w:r>
              <w:t>2</w:t>
            </w:r>
          </w:p>
        </w:tc>
        <w:tc>
          <w:tcPr>
            <w:tcW w:w="1262" w:type="dxa"/>
          </w:tcPr>
          <w:p w14:paraId="7BF9101F" w14:textId="77777777" w:rsidR="00734A23" w:rsidRDefault="00734A23" w:rsidP="004B3C5C">
            <w:pPr>
              <w:spacing w:line="360" w:lineRule="auto"/>
              <w:jc w:val="center"/>
            </w:pPr>
            <w:r>
              <w:t>93</w:t>
            </w:r>
          </w:p>
        </w:tc>
        <w:tc>
          <w:tcPr>
            <w:tcW w:w="1234" w:type="dxa"/>
          </w:tcPr>
          <w:p w14:paraId="1CEC6F06" w14:textId="77777777" w:rsidR="00734A23" w:rsidRDefault="00734A23" w:rsidP="004B3C5C">
            <w:pPr>
              <w:spacing w:line="360" w:lineRule="auto"/>
              <w:jc w:val="center"/>
            </w:pPr>
            <w:r>
              <w:t>23</w:t>
            </w:r>
          </w:p>
        </w:tc>
        <w:tc>
          <w:tcPr>
            <w:tcW w:w="1406" w:type="dxa"/>
          </w:tcPr>
          <w:p w14:paraId="356BF31A" w14:textId="77777777" w:rsidR="00734A23" w:rsidRDefault="00734A23" w:rsidP="004B3C5C">
            <w:pPr>
              <w:spacing w:line="360" w:lineRule="auto"/>
              <w:jc w:val="center"/>
            </w:pPr>
            <w:r>
              <w:t>116</w:t>
            </w:r>
          </w:p>
        </w:tc>
        <w:tc>
          <w:tcPr>
            <w:tcW w:w="1318" w:type="dxa"/>
          </w:tcPr>
          <w:p w14:paraId="0959EF96" w14:textId="77777777" w:rsidR="00734A23" w:rsidRDefault="00734A23" w:rsidP="004B3C5C">
            <w:pPr>
              <w:spacing w:line="360" w:lineRule="auto"/>
              <w:jc w:val="center"/>
            </w:pPr>
            <w:r>
              <w:t>26,598</w:t>
            </w:r>
          </w:p>
        </w:tc>
      </w:tr>
      <w:tr w:rsidR="00734A23" w14:paraId="756353AA" w14:textId="77777777" w:rsidTr="004B3C5C">
        <w:tc>
          <w:tcPr>
            <w:tcW w:w="2847" w:type="dxa"/>
          </w:tcPr>
          <w:p w14:paraId="3C470C52" w14:textId="77777777" w:rsidR="00734A23" w:rsidRDefault="00734A23" w:rsidP="004B3C5C">
            <w:pPr>
              <w:spacing w:line="360" w:lineRule="auto"/>
            </w:pPr>
            <w:r>
              <w:t>Kingston</w:t>
            </w:r>
          </w:p>
        </w:tc>
        <w:tc>
          <w:tcPr>
            <w:tcW w:w="1283" w:type="dxa"/>
          </w:tcPr>
          <w:p w14:paraId="0CB07597" w14:textId="77777777" w:rsidR="00734A23" w:rsidRDefault="00734A23" w:rsidP="004B3C5C">
            <w:pPr>
              <w:spacing w:line="360" w:lineRule="auto"/>
              <w:jc w:val="center"/>
            </w:pPr>
            <w:r>
              <w:t>3</w:t>
            </w:r>
          </w:p>
        </w:tc>
        <w:tc>
          <w:tcPr>
            <w:tcW w:w="1262" w:type="dxa"/>
          </w:tcPr>
          <w:p w14:paraId="689BE67D" w14:textId="77777777" w:rsidR="00734A23" w:rsidRDefault="00734A23" w:rsidP="004B3C5C">
            <w:pPr>
              <w:spacing w:line="360" w:lineRule="auto"/>
              <w:jc w:val="center"/>
            </w:pPr>
            <w:r>
              <w:t>204</w:t>
            </w:r>
          </w:p>
        </w:tc>
        <w:tc>
          <w:tcPr>
            <w:tcW w:w="1234" w:type="dxa"/>
          </w:tcPr>
          <w:p w14:paraId="3FE631EF" w14:textId="77777777" w:rsidR="00734A23" w:rsidRDefault="00734A23" w:rsidP="004B3C5C">
            <w:pPr>
              <w:spacing w:line="360" w:lineRule="auto"/>
              <w:jc w:val="center"/>
            </w:pPr>
            <w:r>
              <w:t>45</w:t>
            </w:r>
          </w:p>
        </w:tc>
        <w:tc>
          <w:tcPr>
            <w:tcW w:w="1406" w:type="dxa"/>
          </w:tcPr>
          <w:p w14:paraId="7D168692" w14:textId="77777777" w:rsidR="00734A23" w:rsidRDefault="00734A23" w:rsidP="004B3C5C">
            <w:pPr>
              <w:spacing w:line="360" w:lineRule="auto"/>
              <w:jc w:val="center"/>
            </w:pPr>
            <w:r>
              <w:t>249</w:t>
            </w:r>
          </w:p>
        </w:tc>
        <w:tc>
          <w:tcPr>
            <w:tcW w:w="1318" w:type="dxa"/>
          </w:tcPr>
          <w:p w14:paraId="64358CB1" w14:textId="77777777" w:rsidR="00734A23" w:rsidRDefault="00734A23" w:rsidP="004B3C5C">
            <w:pPr>
              <w:spacing w:line="360" w:lineRule="auto"/>
              <w:jc w:val="center"/>
            </w:pPr>
            <w:r>
              <w:t>48,738</w:t>
            </w:r>
          </w:p>
        </w:tc>
      </w:tr>
      <w:tr w:rsidR="00734A23" w14:paraId="650DDD3C" w14:textId="77777777" w:rsidTr="004B3C5C">
        <w:tc>
          <w:tcPr>
            <w:tcW w:w="2847" w:type="dxa"/>
          </w:tcPr>
          <w:p w14:paraId="7E8D9A23" w14:textId="77777777" w:rsidR="00734A23" w:rsidRDefault="00734A23" w:rsidP="004B3C5C">
            <w:pPr>
              <w:spacing w:line="360" w:lineRule="auto"/>
            </w:pPr>
            <w:r>
              <w:t>Ottawa-West</w:t>
            </w:r>
          </w:p>
        </w:tc>
        <w:tc>
          <w:tcPr>
            <w:tcW w:w="1283" w:type="dxa"/>
          </w:tcPr>
          <w:p w14:paraId="195F3ACF" w14:textId="77777777" w:rsidR="00734A23" w:rsidRDefault="00734A23" w:rsidP="004B3C5C">
            <w:pPr>
              <w:spacing w:line="360" w:lineRule="auto"/>
              <w:jc w:val="center"/>
            </w:pPr>
            <w:r>
              <w:t>3</w:t>
            </w:r>
          </w:p>
        </w:tc>
        <w:tc>
          <w:tcPr>
            <w:tcW w:w="1262" w:type="dxa"/>
          </w:tcPr>
          <w:p w14:paraId="755FE80B" w14:textId="77777777" w:rsidR="00734A23" w:rsidRDefault="00734A23" w:rsidP="004B3C5C">
            <w:pPr>
              <w:spacing w:line="360" w:lineRule="auto"/>
              <w:jc w:val="center"/>
            </w:pPr>
            <w:r>
              <w:t>333</w:t>
            </w:r>
          </w:p>
        </w:tc>
        <w:tc>
          <w:tcPr>
            <w:tcW w:w="1234" w:type="dxa"/>
          </w:tcPr>
          <w:p w14:paraId="7B55EDD2" w14:textId="77777777" w:rsidR="00734A23" w:rsidRDefault="00734A23" w:rsidP="004B3C5C">
            <w:pPr>
              <w:spacing w:line="360" w:lineRule="auto"/>
              <w:jc w:val="center"/>
            </w:pPr>
            <w:r>
              <w:t>225</w:t>
            </w:r>
          </w:p>
        </w:tc>
        <w:tc>
          <w:tcPr>
            <w:tcW w:w="1406" w:type="dxa"/>
          </w:tcPr>
          <w:p w14:paraId="2A918CFF" w14:textId="77777777" w:rsidR="00734A23" w:rsidRDefault="00734A23" w:rsidP="004B3C5C">
            <w:pPr>
              <w:spacing w:line="360" w:lineRule="auto"/>
              <w:jc w:val="center"/>
            </w:pPr>
            <w:r>
              <w:t>558</w:t>
            </w:r>
          </w:p>
        </w:tc>
        <w:tc>
          <w:tcPr>
            <w:tcW w:w="1318" w:type="dxa"/>
          </w:tcPr>
          <w:p w14:paraId="2CDAE848" w14:textId="77777777" w:rsidR="00734A23" w:rsidRDefault="00734A23" w:rsidP="004B3C5C">
            <w:pPr>
              <w:spacing w:line="360" w:lineRule="auto"/>
              <w:jc w:val="center"/>
            </w:pPr>
            <w:r>
              <w:t>41,906</w:t>
            </w:r>
          </w:p>
        </w:tc>
      </w:tr>
      <w:tr w:rsidR="00734A23" w14:paraId="0358287A" w14:textId="77777777" w:rsidTr="004B3C5C">
        <w:tc>
          <w:tcPr>
            <w:tcW w:w="2847" w:type="dxa"/>
          </w:tcPr>
          <w:p w14:paraId="5FED20C9" w14:textId="77777777" w:rsidR="00734A23" w:rsidRDefault="00734A23" w:rsidP="004B3C5C">
            <w:pPr>
              <w:spacing w:line="360" w:lineRule="auto"/>
            </w:pPr>
            <w:r>
              <w:t>Glengarry-Prescott-Russell</w:t>
            </w:r>
          </w:p>
        </w:tc>
        <w:tc>
          <w:tcPr>
            <w:tcW w:w="1283" w:type="dxa"/>
          </w:tcPr>
          <w:p w14:paraId="270F9EA1" w14:textId="77777777" w:rsidR="00734A23" w:rsidRDefault="00734A23" w:rsidP="004B3C5C">
            <w:pPr>
              <w:spacing w:line="360" w:lineRule="auto"/>
              <w:jc w:val="center"/>
            </w:pPr>
            <w:r>
              <w:t>2</w:t>
            </w:r>
          </w:p>
        </w:tc>
        <w:tc>
          <w:tcPr>
            <w:tcW w:w="1262" w:type="dxa"/>
          </w:tcPr>
          <w:p w14:paraId="1D4557A3" w14:textId="77777777" w:rsidR="00734A23" w:rsidRDefault="00734A23" w:rsidP="004B3C5C">
            <w:pPr>
              <w:spacing w:line="360" w:lineRule="auto"/>
              <w:jc w:val="center"/>
            </w:pPr>
            <w:r>
              <w:t>40</w:t>
            </w:r>
          </w:p>
        </w:tc>
        <w:tc>
          <w:tcPr>
            <w:tcW w:w="1234" w:type="dxa"/>
          </w:tcPr>
          <w:p w14:paraId="083FD731" w14:textId="77777777" w:rsidR="00734A23" w:rsidRDefault="00734A23" w:rsidP="004B3C5C">
            <w:pPr>
              <w:spacing w:line="360" w:lineRule="auto"/>
              <w:jc w:val="center"/>
            </w:pPr>
            <w:r>
              <w:t>289</w:t>
            </w:r>
          </w:p>
        </w:tc>
        <w:tc>
          <w:tcPr>
            <w:tcW w:w="1406" w:type="dxa"/>
          </w:tcPr>
          <w:p w14:paraId="142F3783" w14:textId="77777777" w:rsidR="00734A23" w:rsidRDefault="00734A23" w:rsidP="004B3C5C">
            <w:pPr>
              <w:spacing w:line="360" w:lineRule="auto"/>
              <w:jc w:val="center"/>
            </w:pPr>
            <w:r>
              <w:t>329</w:t>
            </w:r>
          </w:p>
        </w:tc>
        <w:tc>
          <w:tcPr>
            <w:tcW w:w="1318" w:type="dxa"/>
          </w:tcPr>
          <w:p w14:paraId="727165B8" w14:textId="77777777" w:rsidR="00734A23" w:rsidRDefault="00734A23" w:rsidP="004B3C5C">
            <w:pPr>
              <w:spacing w:line="360" w:lineRule="auto"/>
              <w:jc w:val="center"/>
            </w:pPr>
            <w:r>
              <w:t>42,462</w:t>
            </w:r>
          </w:p>
        </w:tc>
      </w:tr>
      <w:tr w:rsidR="00734A23" w14:paraId="63B9B9D6" w14:textId="77777777" w:rsidTr="004B3C5C">
        <w:tc>
          <w:tcPr>
            <w:tcW w:w="2847" w:type="dxa"/>
          </w:tcPr>
          <w:p w14:paraId="681581B2" w14:textId="77777777" w:rsidR="00734A23" w:rsidRDefault="00734A23" w:rsidP="004B3C5C">
            <w:pPr>
              <w:spacing w:line="360" w:lineRule="auto"/>
            </w:pPr>
            <w:r>
              <w:t>Windsor-Tecumseh</w:t>
            </w:r>
          </w:p>
        </w:tc>
        <w:tc>
          <w:tcPr>
            <w:tcW w:w="1283" w:type="dxa"/>
          </w:tcPr>
          <w:p w14:paraId="1C1D7E68" w14:textId="77777777" w:rsidR="00734A23" w:rsidRDefault="00734A23" w:rsidP="004B3C5C">
            <w:pPr>
              <w:spacing w:line="360" w:lineRule="auto"/>
              <w:jc w:val="center"/>
            </w:pPr>
            <w:r>
              <w:t>3</w:t>
            </w:r>
          </w:p>
        </w:tc>
        <w:tc>
          <w:tcPr>
            <w:tcW w:w="1262" w:type="dxa"/>
          </w:tcPr>
          <w:p w14:paraId="32870F1C" w14:textId="77777777" w:rsidR="00734A23" w:rsidRDefault="00734A23" w:rsidP="004B3C5C">
            <w:pPr>
              <w:spacing w:line="360" w:lineRule="auto"/>
              <w:jc w:val="center"/>
            </w:pPr>
            <w:r>
              <w:t>94</w:t>
            </w:r>
          </w:p>
        </w:tc>
        <w:tc>
          <w:tcPr>
            <w:tcW w:w="1234" w:type="dxa"/>
          </w:tcPr>
          <w:p w14:paraId="025B68E9" w14:textId="77777777" w:rsidR="00734A23" w:rsidRDefault="00734A23" w:rsidP="004B3C5C">
            <w:pPr>
              <w:spacing w:line="360" w:lineRule="auto"/>
              <w:jc w:val="center"/>
            </w:pPr>
            <w:r>
              <w:t>134</w:t>
            </w:r>
          </w:p>
        </w:tc>
        <w:tc>
          <w:tcPr>
            <w:tcW w:w="1406" w:type="dxa"/>
          </w:tcPr>
          <w:p w14:paraId="07D46DEB" w14:textId="77777777" w:rsidR="00734A23" w:rsidRDefault="00734A23" w:rsidP="004B3C5C">
            <w:pPr>
              <w:spacing w:line="360" w:lineRule="auto"/>
              <w:jc w:val="center"/>
            </w:pPr>
            <w:r>
              <w:t>228</w:t>
            </w:r>
          </w:p>
        </w:tc>
        <w:tc>
          <w:tcPr>
            <w:tcW w:w="1318" w:type="dxa"/>
          </w:tcPr>
          <w:p w14:paraId="7B89777C" w14:textId="77777777" w:rsidR="00734A23" w:rsidRDefault="00734A23" w:rsidP="004B3C5C">
            <w:pPr>
              <w:spacing w:line="360" w:lineRule="auto"/>
              <w:jc w:val="center"/>
            </w:pPr>
            <w:r>
              <w:t>38,485</w:t>
            </w:r>
          </w:p>
        </w:tc>
      </w:tr>
      <w:tr w:rsidR="00734A23" w14:paraId="22C5AD28" w14:textId="77777777" w:rsidTr="004B3C5C">
        <w:tc>
          <w:tcPr>
            <w:tcW w:w="2847" w:type="dxa"/>
          </w:tcPr>
          <w:p w14:paraId="671B23BA" w14:textId="77777777" w:rsidR="00734A23" w:rsidRDefault="00734A23" w:rsidP="004B3C5C">
            <w:pPr>
              <w:spacing w:line="360" w:lineRule="auto"/>
            </w:pPr>
            <w:r>
              <w:t>Scarborough-Centre</w:t>
            </w:r>
          </w:p>
        </w:tc>
        <w:tc>
          <w:tcPr>
            <w:tcW w:w="1283" w:type="dxa"/>
          </w:tcPr>
          <w:p w14:paraId="1736805F" w14:textId="77777777" w:rsidR="00734A23" w:rsidRDefault="00734A23" w:rsidP="004B3C5C">
            <w:pPr>
              <w:spacing w:line="360" w:lineRule="auto"/>
              <w:jc w:val="center"/>
            </w:pPr>
            <w:r>
              <w:t>3</w:t>
            </w:r>
          </w:p>
        </w:tc>
        <w:tc>
          <w:tcPr>
            <w:tcW w:w="1262" w:type="dxa"/>
          </w:tcPr>
          <w:p w14:paraId="20E78246" w14:textId="77777777" w:rsidR="00734A23" w:rsidRDefault="00734A23" w:rsidP="004B3C5C">
            <w:pPr>
              <w:spacing w:line="360" w:lineRule="auto"/>
              <w:jc w:val="center"/>
            </w:pPr>
            <w:r>
              <w:t>156</w:t>
            </w:r>
          </w:p>
        </w:tc>
        <w:tc>
          <w:tcPr>
            <w:tcW w:w="1234" w:type="dxa"/>
          </w:tcPr>
          <w:p w14:paraId="6C7D6F06" w14:textId="77777777" w:rsidR="00734A23" w:rsidRDefault="00734A23" w:rsidP="004B3C5C">
            <w:pPr>
              <w:spacing w:line="360" w:lineRule="auto"/>
              <w:jc w:val="center"/>
            </w:pPr>
            <w:r>
              <w:t>51</w:t>
            </w:r>
          </w:p>
        </w:tc>
        <w:tc>
          <w:tcPr>
            <w:tcW w:w="1406" w:type="dxa"/>
          </w:tcPr>
          <w:p w14:paraId="231930D8" w14:textId="77777777" w:rsidR="00734A23" w:rsidRDefault="00734A23" w:rsidP="004B3C5C">
            <w:pPr>
              <w:spacing w:line="360" w:lineRule="auto"/>
              <w:jc w:val="center"/>
            </w:pPr>
            <w:r>
              <w:t>207</w:t>
            </w:r>
          </w:p>
        </w:tc>
        <w:tc>
          <w:tcPr>
            <w:tcW w:w="1318" w:type="dxa"/>
          </w:tcPr>
          <w:p w14:paraId="18738518" w14:textId="77777777" w:rsidR="00734A23" w:rsidRDefault="00734A23" w:rsidP="004B3C5C">
            <w:pPr>
              <w:spacing w:line="360" w:lineRule="auto"/>
              <w:jc w:val="center"/>
            </w:pPr>
            <w:r>
              <w:t>31,876</w:t>
            </w:r>
          </w:p>
        </w:tc>
      </w:tr>
      <w:tr w:rsidR="00734A23" w14:paraId="3EB64113" w14:textId="77777777" w:rsidTr="004B3C5C">
        <w:tc>
          <w:tcPr>
            <w:tcW w:w="2847" w:type="dxa"/>
            <w:shd w:val="clear" w:color="auto" w:fill="F2F2F2" w:themeFill="background1" w:themeFillShade="F2"/>
          </w:tcPr>
          <w:p w14:paraId="14909D4B" w14:textId="77777777" w:rsidR="00734A23" w:rsidRPr="000A70EF" w:rsidRDefault="00734A23" w:rsidP="004B3C5C">
            <w:pPr>
              <w:spacing w:line="360" w:lineRule="auto"/>
            </w:pPr>
            <w:r w:rsidRPr="000A70EF">
              <w:t>Total</w:t>
            </w:r>
          </w:p>
        </w:tc>
        <w:tc>
          <w:tcPr>
            <w:tcW w:w="1283" w:type="dxa"/>
            <w:shd w:val="clear" w:color="auto" w:fill="F2F2F2" w:themeFill="background1" w:themeFillShade="F2"/>
          </w:tcPr>
          <w:p w14:paraId="0AEEFDD9" w14:textId="77777777" w:rsidR="00734A23" w:rsidRDefault="00734A23" w:rsidP="004B3C5C">
            <w:pPr>
              <w:spacing w:line="360" w:lineRule="auto"/>
              <w:jc w:val="center"/>
            </w:pPr>
            <w:r>
              <w:t>40</w:t>
            </w:r>
          </w:p>
        </w:tc>
        <w:tc>
          <w:tcPr>
            <w:tcW w:w="1262" w:type="dxa"/>
            <w:shd w:val="clear" w:color="auto" w:fill="F2F2F2" w:themeFill="background1" w:themeFillShade="F2"/>
          </w:tcPr>
          <w:p w14:paraId="0D8D18C5" w14:textId="77777777" w:rsidR="00734A23" w:rsidRDefault="00734A23" w:rsidP="004B3C5C">
            <w:pPr>
              <w:spacing w:line="360" w:lineRule="auto"/>
              <w:jc w:val="center"/>
            </w:pPr>
            <w:r>
              <w:t>2401</w:t>
            </w:r>
          </w:p>
        </w:tc>
        <w:tc>
          <w:tcPr>
            <w:tcW w:w="1234" w:type="dxa"/>
            <w:shd w:val="clear" w:color="auto" w:fill="F2F2F2" w:themeFill="background1" w:themeFillShade="F2"/>
          </w:tcPr>
          <w:p w14:paraId="78FBF41C" w14:textId="77777777" w:rsidR="00734A23" w:rsidRDefault="00734A23" w:rsidP="004B3C5C">
            <w:pPr>
              <w:spacing w:line="360" w:lineRule="auto"/>
              <w:jc w:val="center"/>
            </w:pPr>
            <w:r>
              <w:t>1448</w:t>
            </w:r>
          </w:p>
        </w:tc>
        <w:tc>
          <w:tcPr>
            <w:tcW w:w="1406" w:type="dxa"/>
            <w:shd w:val="clear" w:color="auto" w:fill="F2F2F2" w:themeFill="background1" w:themeFillShade="F2"/>
          </w:tcPr>
          <w:p w14:paraId="74D0DF5D" w14:textId="77777777" w:rsidR="00734A23" w:rsidRDefault="00734A23" w:rsidP="004B3C5C">
            <w:pPr>
              <w:spacing w:line="360" w:lineRule="auto"/>
              <w:jc w:val="center"/>
            </w:pPr>
            <w:r>
              <w:t>3849</w:t>
            </w:r>
          </w:p>
        </w:tc>
        <w:tc>
          <w:tcPr>
            <w:tcW w:w="1318" w:type="dxa"/>
            <w:shd w:val="clear" w:color="auto" w:fill="F2F2F2" w:themeFill="background1" w:themeFillShade="F2"/>
          </w:tcPr>
          <w:p w14:paraId="0C15E31B" w14:textId="77777777" w:rsidR="00734A23" w:rsidRDefault="00734A23" w:rsidP="004B3C5C">
            <w:pPr>
              <w:spacing w:line="360" w:lineRule="auto"/>
              <w:jc w:val="center"/>
            </w:pPr>
            <w:r>
              <w:t>508,206</w:t>
            </w:r>
          </w:p>
        </w:tc>
      </w:tr>
    </w:tbl>
    <w:p w14:paraId="70EB4D91" w14:textId="77777777" w:rsidR="00734A23" w:rsidRDefault="00734A23" w:rsidP="00734A23">
      <w:pPr>
        <w:spacing w:line="480" w:lineRule="auto"/>
        <w:rPr>
          <w:u w:val="single"/>
        </w:rPr>
      </w:pPr>
    </w:p>
    <w:p w14:paraId="0E0BA173" w14:textId="77777777" w:rsidR="00734A23" w:rsidRDefault="00734A23" w:rsidP="00734A23">
      <w:pPr>
        <w:spacing w:line="480" w:lineRule="auto"/>
      </w:pPr>
      <w:r w:rsidRPr="002A0B4B">
        <w:rPr>
          <w:u w:val="single"/>
        </w:rPr>
        <w:lastRenderedPageBreak/>
        <w:t>Results</w:t>
      </w:r>
    </w:p>
    <w:p w14:paraId="6F3D704C" w14:textId="77777777" w:rsidR="00734A23" w:rsidRDefault="00734A23" w:rsidP="00734A23">
      <w:pPr>
        <w:spacing w:line="480" w:lineRule="auto"/>
      </w:pPr>
      <w:r>
        <w:tab/>
        <w:t xml:space="preserve">Approximately four and a half million Ontarians cast a ballot in the 2022 provincial election. This studies’ sample represented approximately 12% of the provincial vote, or 508,206 (see Table 1.1). The mean number of votes per candidate was 11,416 with a standard deviation of 4320. The mean number of tweets was 60 and mean of retweets was 36. The standard deviation for these variables were 72.7 and 54.3 respectively – suggesting a significant level of variation within the sample. To determine if a relationship between Twitter use and vote outcomes could be found, a series of OLS regression models were conducted. Table 2.1 addresses the first set of hypotheses’: whether Name Recognition Effects are impacted by Twitter use, and whether non-incumbents are more benefited by this effect. </w:t>
      </w:r>
    </w:p>
    <w:tbl>
      <w:tblPr>
        <w:tblStyle w:val="TableGrid"/>
        <w:tblW w:w="0" w:type="auto"/>
        <w:tblLook w:val="04A0" w:firstRow="1" w:lastRow="0" w:firstColumn="1" w:lastColumn="0" w:noHBand="0" w:noVBand="1"/>
      </w:tblPr>
      <w:tblGrid>
        <w:gridCol w:w="1941"/>
        <w:gridCol w:w="1483"/>
        <w:gridCol w:w="1107"/>
        <w:gridCol w:w="1985"/>
        <w:gridCol w:w="1417"/>
        <w:gridCol w:w="1417"/>
      </w:tblGrid>
      <w:tr w:rsidR="00734A23" w14:paraId="5253DF01" w14:textId="77777777" w:rsidTr="004B3C5C">
        <w:tc>
          <w:tcPr>
            <w:tcW w:w="9350" w:type="dxa"/>
            <w:gridSpan w:val="6"/>
            <w:shd w:val="clear" w:color="auto" w:fill="F2F2F2" w:themeFill="background1" w:themeFillShade="F2"/>
          </w:tcPr>
          <w:p w14:paraId="230A044E" w14:textId="77777777" w:rsidR="00734A23" w:rsidRPr="00AE47C6" w:rsidRDefault="00734A23" w:rsidP="004B3C5C">
            <w:pPr>
              <w:spacing w:line="276" w:lineRule="auto"/>
              <w:rPr>
                <w:i/>
                <w:iCs/>
              </w:rPr>
            </w:pPr>
            <w:r>
              <w:t xml:space="preserve">Table 2.1. </w:t>
            </w:r>
            <w:r>
              <w:rPr>
                <w:i/>
                <w:iCs/>
              </w:rPr>
              <w:t>Summary Statistics</w:t>
            </w:r>
          </w:p>
        </w:tc>
      </w:tr>
      <w:tr w:rsidR="00734A23" w14:paraId="5EEEA153" w14:textId="77777777" w:rsidTr="004B3C5C">
        <w:tc>
          <w:tcPr>
            <w:tcW w:w="1941" w:type="dxa"/>
            <w:shd w:val="clear" w:color="auto" w:fill="F2F2F2" w:themeFill="background1" w:themeFillShade="F2"/>
          </w:tcPr>
          <w:p w14:paraId="769F0BD1" w14:textId="77777777" w:rsidR="00734A23" w:rsidRDefault="00734A23" w:rsidP="004B3C5C">
            <w:pPr>
              <w:spacing w:line="276" w:lineRule="auto"/>
              <w:jc w:val="center"/>
            </w:pPr>
            <w:r>
              <w:t>Variable</w:t>
            </w:r>
          </w:p>
        </w:tc>
        <w:tc>
          <w:tcPr>
            <w:tcW w:w="1483" w:type="dxa"/>
            <w:shd w:val="clear" w:color="auto" w:fill="F2F2F2" w:themeFill="background1" w:themeFillShade="F2"/>
          </w:tcPr>
          <w:p w14:paraId="4E9544B0" w14:textId="77777777" w:rsidR="00734A23" w:rsidRDefault="00734A23" w:rsidP="004B3C5C">
            <w:pPr>
              <w:spacing w:line="276" w:lineRule="auto"/>
              <w:jc w:val="center"/>
            </w:pPr>
            <w:r>
              <w:t>Observations</w:t>
            </w:r>
          </w:p>
        </w:tc>
        <w:tc>
          <w:tcPr>
            <w:tcW w:w="1107" w:type="dxa"/>
            <w:shd w:val="clear" w:color="auto" w:fill="F2F2F2" w:themeFill="background1" w:themeFillShade="F2"/>
          </w:tcPr>
          <w:p w14:paraId="4F790634" w14:textId="77777777" w:rsidR="00734A23" w:rsidRDefault="00734A23" w:rsidP="004B3C5C">
            <w:pPr>
              <w:spacing w:line="276" w:lineRule="auto"/>
              <w:jc w:val="center"/>
            </w:pPr>
            <w:r>
              <w:t>Mean</w:t>
            </w:r>
          </w:p>
        </w:tc>
        <w:tc>
          <w:tcPr>
            <w:tcW w:w="1985" w:type="dxa"/>
            <w:shd w:val="clear" w:color="auto" w:fill="F2F2F2" w:themeFill="background1" w:themeFillShade="F2"/>
          </w:tcPr>
          <w:p w14:paraId="70EFD2CD" w14:textId="77777777" w:rsidR="00734A23" w:rsidRDefault="00734A23" w:rsidP="004B3C5C">
            <w:pPr>
              <w:spacing w:line="276" w:lineRule="auto"/>
              <w:jc w:val="center"/>
            </w:pPr>
            <w:r>
              <w:t>Standard Deviation</w:t>
            </w:r>
          </w:p>
        </w:tc>
        <w:tc>
          <w:tcPr>
            <w:tcW w:w="1417" w:type="dxa"/>
            <w:shd w:val="clear" w:color="auto" w:fill="F2F2F2" w:themeFill="background1" w:themeFillShade="F2"/>
          </w:tcPr>
          <w:p w14:paraId="3B77017A" w14:textId="77777777" w:rsidR="00734A23" w:rsidRDefault="00734A23" w:rsidP="004B3C5C">
            <w:pPr>
              <w:spacing w:line="276" w:lineRule="auto"/>
              <w:jc w:val="center"/>
            </w:pPr>
            <w:r>
              <w:t>Minimum</w:t>
            </w:r>
          </w:p>
        </w:tc>
        <w:tc>
          <w:tcPr>
            <w:tcW w:w="1417" w:type="dxa"/>
            <w:shd w:val="clear" w:color="auto" w:fill="F2F2F2" w:themeFill="background1" w:themeFillShade="F2"/>
          </w:tcPr>
          <w:p w14:paraId="5F807AA9" w14:textId="77777777" w:rsidR="00734A23" w:rsidRDefault="00734A23" w:rsidP="004B3C5C">
            <w:pPr>
              <w:spacing w:line="276" w:lineRule="auto"/>
              <w:jc w:val="center"/>
            </w:pPr>
            <w:r>
              <w:t>Maximum</w:t>
            </w:r>
          </w:p>
        </w:tc>
      </w:tr>
      <w:tr w:rsidR="00734A23" w14:paraId="5FA07957" w14:textId="77777777" w:rsidTr="004B3C5C">
        <w:tc>
          <w:tcPr>
            <w:tcW w:w="1941" w:type="dxa"/>
          </w:tcPr>
          <w:p w14:paraId="03AFD7A1" w14:textId="77777777" w:rsidR="00734A23" w:rsidRPr="008E6FF7" w:rsidRDefault="00734A23" w:rsidP="004B3C5C">
            <w:pPr>
              <w:spacing w:line="276" w:lineRule="auto"/>
              <w:rPr>
                <w:i/>
                <w:iCs/>
              </w:rPr>
            </w:pPr>
            <w:r w:rsidRPr="008E6FF7">
              <w:rPr>
                <w:i/>
                <w:iCs/>
              </w:rPr>
              <w:t>Tweets</w:t>
            </w:r>
          </w:p>
        </w:tc>
        <w:tc>
          <w:tcPr>
            <w:tcW w:w="1483" w:type="dxa"/>
          </w:tcPr>
          <w:p w14:paraId="0BEFF33D" w14:textId="77777777" w:rsidR="00734A23" w:rsidRDefault="00734A23" w:rsidP="004B3C5C">
            <w:pPr>
              <w:spacing w:line="276" w:lineRule="auto"/>
            </w:pPr>
            <w:r>
              <w:t>2,401</w:t>
            </w:r>
          </w:p>
        </w:tc>
        <w:tc>
          <w:tcPr>
            <w:tcW w:w="1107" w:type="dxa"/>
          </w:tcPr>
          <w:p w14:paraId="0F532409" w14:textId="77777777" w:rsidR="00734A23" w:rsidRDefault="00734A23" w:rsidP="004B3C5C">
            <w:pPr>
              <w:spacing w:line="276" w:lineRule="auto"/>
            </w:pPr>
            <w:r>
              <w:t>60</w:t>
            </w:r>
          </w:p>
        </w:tc>
        <w:tc>
          <w:tcPr>
            <w:tcW w:w="1985" w:type="dxa"/>
          </w:tcPr>
          <w:p w14:paraId="039A1B94" w14:textId="77777777" w:rsidR="00734A23" w:rsidRDefault="00734A23" w:rsidP="004B3C5C">
            <w:pPr>
              <w:spacing w:line="276" w:lineRule="auto"/>
            </w:pPr>
            <w:r>
              <w:t>72</w:t>
            </w:r>
          </w:p>
        </w:tc>
        <w:tc>
          <w:tcPr>
            <w:tcW w:w="1417" w:type="dxa"/>
          </w:tcPr>
          <w:p w14:paraId="4A20B9FB" w14:textId="77777777" w:rsidR="00734A23" w:rsidRDefault="00734A23" w:rsidP="004B3C5C">
            <w:pPr>
              <w:spacing w:line="276" w:lineRule="auto"/>
            </w:pPr>
            <w:r>
              <w:t>3</w:t>
            </w:r>
          </w:p>
        </w:tc>
        <w:tc>
          <w:tcPr>
            <w:tcW w:w="1417" w:type="dxa"/>
          </w:tcPr>
          <w:p w14:paraId="648BBB62" w14:textId="77777777" w:rsidR="00734A23" w:rsidRDefault="00734A23" w:rsidP="004B3C5C">
            <w:pPr>
              <w:spacing w:line="276" w:lineRule="auto"/>
            </w:pPr>
            <w:r>
              <w:t>383</w:t>
            </w:r>
          </w:p>
        </w:tc>
      </w:tr>
      <w:tr w:rsidR="00734A23" w14:paraId="0D86C87F" w14:textId="77777777" w:rsidTr="004B3C5C">
        <w:trPr>
          <w:trHeight w:val="86"/>
        </w:trPr>
        <w:tc>
          <w:tcPr>
            <w:tcW w:w="1941" w:type="dxa"/>
          </w:tcPr>
          <w:p w14:paraId="2A5BD72C" w14:textId="77777777" w:rsidR="00734A23" w:rsidRPr="008E6FF7" w:rsidRDefault="00734A23" w:rsidP="004B3C5C">
            <w:pPr>
              <w:spacing w:line="276" w:lineRule="auto"/>
              <w:rPr>
                <w:i/>
                <w:iCs/>
              </w:rPr>
            </w:pPr>
            <w:r w:rsidRPr="008E6FF7">
              <w:rPr>
                <w:i/>
                <w:iCs/>
              </w:rPr>
              <w:t>Retweets</w:t>
            </w:r>
          </w:p>
        </w:tc>
        <w:tc>
          <w:tcPr>
            <w:tcW w:w="1483" w:type="dxa"/>
          </w:tcPr>
          <w:p w14:paraId="205A8149" w14:textId="77777777" w:rsidR="00734A23" w:rsidRDefault="00734A23" w:rsidP="004B3C5C">
            <w:pPr>
              <w:spacing w:line="276" w:lineRule="auto"/>
            </w:pPr>
            <w:r>
              <w:t>1,448</w:t>
            </w:r>
          </w:p>
        </w:tc>
        <w:tc>
          <w:tcPr>
            <w:tcW w:w="1107" w:type="dxa"/>
          </w:tcPr>
          <w:p w14:paraId="4B1EA03D" w14:textId="77777777" w:rsidR="00734A23" w:rsidRDefault="00734A23" w:rsidP="004B3C5C">
            <w:pPr>
              <w:spacing w:line="276" w:lineRule="auto"/>
            </w:pPr>
            <w:r>
              <w:t>36.2</w:t>
            </w:r>
          </w:p>
        </w:tc>
        <w:tc>
          <w:tcPr>
            <w:tcW w:w="1985" w:type="dxa"/>
          </w:tcPr>
          <w:p w14:paraId="70F63261" w14:textId="77777777" w:rsidR="00734A23" w:rsidRDefault="00734A23" w:rsidP="004B3C5C">
            <w:pPr>
              <w:spacing w:line="276" w:lineRule="auto"/>
            </w:pPr>
            <w:r>
              <w:t>54.3</w:t>
            </w:r>
          </w:p>
        </w:tc>
        <w:tc>
          <w:tcPr>
            <w:tcW w:w="1417" w:type="dxa"/>
          </w:tcPr>
          <w:p w14:paraId="2FF7947F" w14:textId="77777777" w:rsidR="00734A23" w:rsidRDefault="00734A23" w:rsidP="004B3C5C">
            <w:pPr>
              <w:spacing w:line="276" w:lineRule="auto"/>
            </w:pPr>
            <w:r>
              <w:t>0</w:t>
            </w:r>
          </w:p>
        </w:tc>
        <w:tc>
          <w:tcPr>
            <w:tcW w:w="1417" w:type="dxa"/>
          </w:tcPr>
          <w:p w14:paraId="48089D49" w14:textId="77777777" w:rsidR="00734A23" w:rsidRDefault="00734A23" w:rsidP="004B3C5C">
            <w:pPr>
              <w:spacing w:line="276" w:lineRule="auto"/>
            </w:pPr>
            <w:r>
              <w:t>249</w:t>
            </w:r>
          </w:p>
        </w:tc>
      </w:tr>
      <w:tr w:rsidR="00734A23" w14:paraId="7757F61A" w14:textId="77777777" w:rsidTr="004B3C5C">
        <w:trPr>
          <w:trHeight w:val="86"/>
        </w:trPr>
        <w:tc>
          <w:tcPr>
            <w:tcW w:w="1941" w:type="dxa"/>
          </w:tcPr>
          <w:p w14:paraId="06C674DA" w14:textId="77777777" w:rsidR="00734A23" w:rsidRPr="008E6FF7" w:rsidRDefault="00734A23" w:rsidP="004B3C5C">
            <w:pPr>
              <w:spacing w:line="276" w:lineRule="auto"/>
            </w:pPr>
            <w:r>
              <w:rPr>
                <w:i/>
                <w:iCs/>
              </w:rPr>
              <w:t>Total Tweets</w:t>
            </w:r>
          </w:p>
        </w:tc>
        <w:tc>
          <w:tcPr>
            <w:tcW w:w="1483" w:type="dxa"/>
          </w:tcPr>
          <w:p w14:paraId="067D71F7" w14:textId="77777777" w:rsidR="00734A23" w:rsidRDefault="00734A23" w:rsidP="004B3C5C">
            <w:pPr>
              <w:spacing w:line="276" w:lineRule="auto"/>
            </w:pPr>
            <w:r>
              <w:t>3,849</w:t>
            </w:r>
          </w:p>
        </w:tc>
        <w:tc>
          <w:tcPr>
            <w:tcW w:w="1107" w:type="dxa"/>
          </w:tcPr>
          <w:p w14:paraId="1589CF00" w14:textId="77777777" w:rsidR="00734A23" w:rsidRDefault="00734A23" w:rsidP="004B3C5C">
            <w:pPr>
              <w:spacing w:line="276" w:lineRule="auto"/>
            </w:pPr>
            <w:r>
              <w:t>96.2</w:t>
            </w:r>
          </w:p>
        </w:tc>
        <w:tc>
          <w:tcPr>
            <w:tcW w:w="1985" w:type="dxa"/>
          </w:tcPr>
          <w:p w14:paraId="62D6E44D" w14:textId="77777777" w:rsidR="00734A23" w:rsidRDefault="00734A23" w:rsidP="004B3C5C">
            <w:pPr>
              <w:spacing w:line="276" w:lineRule="auto"/>
            </w:pPr>
            <w:r>
              <w:t>101.91</w:t>
            </w:r>
          </w:p>
        </w:tc>
        <w:tc>
          <w:tcPr>
            <w:tcW w:w="1417" w:type="dxa"/>
          </w:tcPr>
          <w:p w14:paraId="69014BBE" w14:textId="77777777" w:rsidR="00734A23" w:rsidRDefault="00734A23" w:rsidP="004B3C5C">
            <w:pPr>
              <w:spacing w:line="276" w:lineRule="auto"/>
            </w:pPr>
            <w:r>
              <w:t>1</w:t>
            </w:r>
          </w:p>
        </w:tc>
        <w:tc>
          <w:tcPr>
            <w:tcW w:w="1417" w:type="dxa"/>
          </w:tcPr>
          <w:p w14:paraId="71C395D5" w14:textId="77777777" w:rsidR="00734A23" w:rsidRDefault="00734A23" w:rsidP="004B3C5C">
            <w:pPr>
              <w:spacing w:line="276" w:lineRule="auto"/>
            </w:pPr>
            <w:r>
              <w:t>452</w:t>
            </w:r>
          </w:p>
        </w:tc>
      </w:tr>
    </w:tbl>
    <w:p w14:paraId="048928AD" w14:textId="77777777" w:rsidR="00734A23" w:rsidRDefault="00734A23" w:rsidP="00734A23">
      <w:pPr>
        <w:spacing w:line="480" w:lineRule="auto"/>
      </w:pPr>
    </w:p>
    <w:p w14:paraId="1CEA379C" w14:textId="77777777" w:rsidR="00734A23" w:rsidRPr="000C5603" w:rsidRDefault="00734A23" w:rsidP="00734A23">
      <w:pPr>
        <w:spacing w:line="480" w:lineRule="auto"/>
        <w:ind w:firstLine="720"/>
      </w:pPr>
      <w:r>
        <w:t>Model 1* performed a m</w:t>
      </w:r>
      <w:r w:rsidRPr="00673A19">
        <w:t xml:space="preserve">ultivariate OLS </w:t>
      </w:r>
      <w:r>
        <w:t>r</w:t>
      </w:r>
      <w:r w:rsidRPr="00673A19">
        <w:t xml:space="preserve">egression of the </w:t>
      </w:r>
      <w:r>
        <w:t>r</w:t>
      </w:r>
      <w:r w:rsidRPr="00673A19">
        <w:t xml:space="preserve">elationship between </w:t>
      </w:r>
      <w:r>
        <w:t>r</w:t>
      </w:r>
      <w:r w:rsidRPr="00673A19">
        <w:t xml:space="preserve">etweets, </w:t>
      </w:r>
      <w:r>
        <w:t>t</w:t>
      </w:r>
      <w:r w:rsidRPr="00673A19">
        <w:t xml:space="preserve">weets, and </w:t>
      </w:r>
      <w:r>
        <w:t>v</w:t>
      </w:r>
      <w:r w:rsidRPr="00673A19">
        <w:t>otes</w:t>
      </w:r>
      <w:r>
        <w:t>; where votes were the dependant variable was tweets, and retweets respectively were the independent variables. For H</w:t>
      </w:r>
      <w:r w:rsidRPr="00AE184F">
        <w:rPr>
          <w:vertAlign w:val="subscript"/>
        </w:rPr>
        <w:t>1a</w:t>
      </w:r>
      <w:r>
        <w:t>, an increase in retweets by a factor on one increases the number of votes received by 33; for original tweets, the associated increase in votes was 5. When examining the second hypothesis (H</w:t>
      </w:r>
      <w:r w:rsidRPr="00AE184F">
        <w:rPr>
          <w:vertAlign w:val="subscript"/>
        </w:rPr>
        <w:t>1b</w:t>
      </w:r>
      <w:r>
        <w:t>), the difference in outcomes between incumbents and non-incumbents is highly evident. For retweets, the non-incumbents (H</w:t>
      </w:r>
      <w:r w:rsidRPr="00AE184F">
        <w:rPr>
          <w:vertAlign w:val="subscript"/>
        </w:rPr>
        <w:t>1b</w:t>
      </w:r>
      <w:r>
        <w:rPr>
          <w:vertAlign w:val="superscript"/>
        </w:rPr>
        <w:t xml:space="preserve">2 </w:t>
      </w:r>
      <w:r>
        <w:t>*) received approximately 31 votes per retweet, whereas incumbents (H</w:t>
      </w:r>
      <w:r w:rsidRPr="00AE184F">
        <w:rPr>
          <w:vertAlign w:val="subscript"/>
        </w:rPr>
        <w:t>1b</w:t>
      </w:r>
      <w:r>
        <w:rPr>
          <w:vertAlign w:val="superscript"/>
        </w:rPr>
        <w:t xml:space="preserve">1 </w:t>
      </w:r>
      <w:r w:rsidRPr="00ED3407">
        <w:t>*</w:t>
      </w:r>
      <w:r>
        <w:t>) vote increase was 76. When looking at original tweets, there was a modest benefit for non-incumbents (H</w:t>
      </w:r>
      <w:r w:rsidRPr="00AE184F">
        <w:rPr>
          <w:vertAlign w:val="subscript"/>
        </w:rPr>
        <w:t>1b</w:t>
      </w:r>
      <w:r>
        <w:rPr>
          <w:vertAlign w:val="superscript"/>
        </w:rPr>
        <w:t xml:space="preserve">2 </w:t>
      </w:r>
      <w:r>
        <w:t xml:space="preserve">*) of 5 votes, while a one </w:t>
      </w:r>
      <w:r>
        <w:lastRenderedPageBreak/>
        <w:t>unit increase in original tweets for incumbents (H</w:t>
      </w:r>
      <w:r w:rsidRPr="00AE184F">
        <w:rPr>
          <w:vertAlign w:val="subscript"/>
        </w:rPr>
        <w:t>1b</w:t>
      </w:r>
      <w:r>
        <w:rPr>
          <w:vertAlign w:val="superscript"/>
        </w:rPr>
        <w:t xml:space="preserve">1 </w:t>
      </w:r>
      <w:r w:rsidRPr="00ED3407">
        <w:t>*</w:t>
      </w:r>
      <w:r>
        <w:t>) corresponded with a loss of 46 votes. However, the relatively small sample size for both H</w:t>
      </w:r>
      <w:r w:rsidRPr="00AE184F">
        <w:rPr>
          <w:vertAlign w:val="subscript"/>
        </w:rPr>
        <w:t>1b</w:t>
      </w:r>
      <w:r>
        <w:rPr>
          <w:vertAlign w:val="superscript"/>
        </w:rPr>
        <w:t>1</w:t>
      </w:r>
      <w:r>
        <w:t xml:space="preserve"> * &amp; H</w:t>
      </w:r>
      <w:r w:rsidRPr="00AE184F">
        <w:rPr>
          <w:vertAlign w:val="subscript"/>
        </w:rPr>
        <w:t>1b</w:t>
      </w:r>
      <w:r>
        <w:rPr>
          <w:vertAlign w:val="superscript"/>
        </w:rPr>
        <w:t>1</w:t>
      </w:r>
      <w:r>
        <w:t xml:space="preserve"> ** should be noted. </w:t>
      </w:r>
    </w:p>
    <w:tbl>
      <w:tblPr>
        <w:tblStyle w:val="TableGrid"/>
        <w:tblW w:w="0" w:type="auto"/>
        <w:tblLook w:val="04A0" w:firstRow="1" w:lastRow="0" w:firstColumn="1" w:lastColumn="0" w:noHBand="0" w:noVBand="1"/>
      </w:tblPr>
      <w:tblGrid>
        <w:gridCol w:w="2520"/>
        <w:gridCol w:w="2247"/>
        <w:gridCol w:w="2355"/>
        <w:gridCol w:w="2228"/>
      </w:tblGrid>
      <w:tr w:rsidR="00734A23" w14:paraId="7E7CDEBC" w14:textId="77777777" w:rsidTr="004B3C5C">
        <w:tc>
          <w:tcPr>
            <w:tcW w:w="9350" w:type="dxa"/>
            <w:gridSpan w:val="4"/>
            <w:tcBorders>
              <w:top w:val="single" w:sz="4" w:space="0" w:color="auto"/>
              <w:left w:val="single" w:sz="4" w:space="0" w:color="auto"/>
              <w:bottom w:val="nil"/>
              <w:right w:val="single" w:sz="4" w:space="0" w:color="auto"/>
            </w:tcBorders>
            <w:shd w:val="clear" w:color="auto" w:fill="E7E6E6" w:themeFill="background2"/>
          </w:tcPr>
          <w:p w14:paraId="60642F71" w14:textId="77777777" w:rsidR="00734A23" w:rsidRPr="000C79C1" w:rsidRDefault="00734A23" w:rsidP="004B3C5C">
            <w:pPr>
              <w:spacing w:line="276" w:lineRule="auto"/>
            </w:pPr>
            <w:r>
              <w:t xml:space="preserve">Table 2.2. </w:t>
            </w:r>
            <w:r w:rsidRPr="000C5603">
              <w:rPr>
                <w:i/>
                <w:iCs/>
              </w:rPr>
              <w:t xml:space="preserve">Multivariate OLS Regression </w:t>
            </w:r>
            <w:r>
              <w:rPr>
                <w:i/>
                <w:iCs/>
              </w:rPr>
              <w:t>of the Relationship between Retweets, Tweets, and Votes &amp; Bivariate Regression Between Total Tweets and Votes</w:t>
            </w:r>
          </w:p>
        </w:tc>
      </w:tr>
      <w:tr w:rsidR="00734A23" w14:paraId="4094E587" w14:textId="77777777" w:rsidTr="004B3C5C">
        <w:tc>
          <w:tcPr>
            <w:tcW w:w="2520" w:type="dxa"/>
            <w:tcBorders>
              <w:top w:val="single" w:sz="4" w:space="0" w:color="auto"/>
              <w:left w:val="single" w:sz="4" w:space="0" w:color="auto"/>
              <w:bottom w:val="nil"/>
              <w:right w:val="nil"/>
            </w:tcBorders>
            <w:shd w:val="clear" w:color="auto" w:fill="E7E6E6" w:themeFill="background2"/>
          </w:tcPr>
          <w:p w14:paraId="1779C697" w14:textId="77777777" w:rsidR="00734A23" w:rsidRDefault="00734A23" w:rsidP="004B3C5C">
            <w:pPr>
              <w:spacing w:line="276" w:lineRule="auto"/>
              <w:jc w:val="center"/>
            </w:pPr>
          </w:p>
        </w:tc>
        <w:tc>
          <w:tcPr>
            <w:tcW w:w="2247" w:type="dxa"/>
            <w:tcBorders>
              <w:top w:val="single" w:sz="4" w:space="0" w:color="auto"/>
              <w:left w:val="nil"/>
              <w:bottom w:val="nil"/>
              <w:right w:val="nil"/>
            </w:tcBorders>
            <w:shd w:val="clear" w:color="auto" w:fill="E7E6E6" w:themeFill="background2"/>
          </w:tcPr>
          <w:p w14:paraId="35C43EBC" w14:textId="77777777" w:rsidR="00734A23" w:rsidRDefault="00734A23" w:rsidP="004B3C5C">
            <w:pPr>
              <w:spacing w:line="276" w:lineRule="auto"/>
              <w:jc w:val="center"/>
            </w:pPr>
            <w:r>
              <w:t>H</w:t>
            </w:r>
            <w:r w:rsidRPr="00AE184F">
              <w:rPr>
                <w:vertAlign w:val="subscript"/>
              </w:rPr>
              <w:t>1a</w:t>
            </w:r>
          </w:p>
        </w:tc>
        <w:tc>
          <w:tcPr>
            <w:tcW w:w="2355" w:type="dxa"/>
            <w:tcBorders>
              <w:top w:val="single" w:sz="4" w:space="0" w:color="auto"/>
              <w:left w:val="nil"/>
              <w:bottom w:val="nil"/>
              <w:right w:val="nil"/>
            </w:tcBorders>
            <w:shd w:val="clear" w:color="auto" w:fill="E7E6E6" w:themeFill="background2"/>
          </w:tcPr>
          <w:p w14:paraId="44A78EC2" w14:textId="77777777" w:rsidR="00734A23" w:rsidRPr="003B74CC" w:rsidRDefault="00734A23" w:rsidP="004B3C5C">
            <w:pPr>
              <w:spacing w:line="276" w:lineRule="auto"/>
              <w:jc w:val="center"/>
              <w:rPr>
                <w:vertAlign w:val="superscript"/>
              </w:rPr>
            </w:pPr>
            <w:r>
              <w:t>H</w:t>
            </w:r>
            <w:r w:rsidRPr="00AE184F">
              <w:rPr>
                <w:vertAlign w:val="subscript"/>
              </w:rPr>
              <w:t>1b</w:t>
            </w:r>
            <w:r>
              <w:rPr>
                <w:vertAlign w:val="superscript"/>
              </w:rPr>
              <w:t>1</w:t>
            </w:r>
          </w:p>
        </w:tc>
        <w:tc>
          <w:tcPr>
            <w:tcW w:w="2228" w:type="dxa"/>
            <w:tcBorders>
              <w:top w:val="single" w:sz="4" w:space="0" w:color="auto"/>
              <w:left w:val="nil"/>
              <w:bottom w:val="nil"/>
              <w:right w:val="single" w:sz="4" w:space="0" w:color="auto"/>
            </w:tcBorders>
            <w:shd w:val="clear" w:color="auto" w:fill="E7E6E6" w:themeFill="background2"/>
          </w:tcPr>
          <w:p w14:paraId="6B1C87DC" w14:textId="77777777" w:rsidR="00734A23" w:rsidRPr="003B74CC" w:rsidRDefault="00734A23" w:rsidP="004B3C5C">
            <w:pPr>
              <w:spacing w:line="276" w:lineRule="auto"/>
              <w:jc w:val="center"/>
              <w:rPr>
                <w:vertAlign w:val="superscript"/>
              </w:rPr>
            </w:pPr>
            <w:r>
              <w:t>H</w:t>
            </w:r>
            <w:r w:rsidRPr="00AE184F">
              <w:rPr>
                <w:vertAlign w:val="subscript"/>
              </w:rPr>
              <w:t>1b</w:t>
            </w:r>
            <w:r>
              <w:rPr>
                <w:vertAlign w:val="superscript"/>
              </w:rPr>
              <w:t>2</w:t>
            </w:r>
          </w:p>
        </w:tc>
      </w:tr>
      <w:tr w:rsidR="00734A23" w14:paraId="1F921D97" w14:textId="77777777" w:rsidTr="004B3C5C">
        <w:tc>
          <w:tcPr>
            <w:tcW w:w="2520" w:type="dxa"/>
            <w:tcBorders>
              <w:top w:val="nil"/>
              <w:left w:val="single" w:sz="4" w:space="0" w:color="auto"/>
              <w:bottom w:val="nil"/>
              <w:right w:val="nil"/>
            </w:tcBorders>
            <w:shd w:val="clear" w:color="auto" w:fill="E7E6E6" w:themeFill="background2"/>
          </w:tcPr>
          <w:p w14:paraId="2B364762" w14:textId="77777777" w:rsidR="00734A23" w:rsidRPr="009E3830" w:rsidRDefault="00734A23" w:rsidP="004B3C5C">
            <w:pPr>
              <w:spacing w:line="276" w:lineRule="auto"/>
              <w:jc w:val="center"/>
            </w:pPr>
            <w:r w:rsidRPr="009E3830">
              <w:t>Independent Variable</w:t>
            </w:r>
          </w:p>
        </w:tc>
        <w:tc>
          <w:tcPr>
            <w:tcW w:w="2247" w:type="dxa"/>
            <w:tcBorders>
              <w:top w:val="nil"/>
              <w:left w:val="nil"/>
              <w:bottom w:val="nil"/>
              <w:right w:val="nil"/>
            </w:tcBorders>
            <w:shd w:val="clear" w:color="auto" w:fill="E7E6E6" w:themeFill="background2"/>
          </w:tcPr>
          <w:p w14:paraId="5C5D3E2F" w14:textId="77777777" w:rsidR="00734A23" w:rsidRDefault="00734A23" w:rsidP="004B3C5C">
            <w:pPr>
              <w:spacing w:line="276" w:lineRule="auto"/>
              <w:jc w:val="center"/>
            </w:pPr>
            <w:r>
              <w:t xml:space="preserve">Votes </w:t>
            </w:r>
          </w:p>
        </w:tc>
        <w:tc>
          <w:tcPr>
            <w:tcW w:w="2355" w:type="dxa"/>
            <w:tcBorders>
              <w:top w:val="nil"/>
              <w:left w:val="nil"/>
              <w:bottom w:val="nil"/>
              <w:right w:val="nil"/>
            </w:tcBorders>
            <w:shd w:val="clear" w:color="auto" w:fill="E7E6E6" w:themeFill="background2"/>
          </w:tcPr>
          <w:p w14:paraId="00278B23" w14:textId="77777777" w:rsidR="00734A23" w:rsidRDefault="00734A23" w:rsidP="004B3C5C">
            <w:pPr>
              <w:spacing w:line="276" w:lineRule="auto"/>
              <w:jc w:val="center"/>
            </w:pPr>
            <w:r>
              <w:t>Votes</w:t>
            </w:r>
          </w:p>
        </w:tc>
        <w:tc>
          <w:tcPr>
            <w:tcW w:w="2228" w:type="dxa"/>
            <w:tcBorders>
              <w:top w:val="nil"/>
              <w:left w:val="nil"/>
              <w:bottom w:val="nil"/>
              <w:right w:val="single" w:sz="4" w:space="0" w:color="auto"/>
            </w:tcBorders>
            <w:shd w:val="clear" w:color="auto" w:fill="E7E6E6" w:themeFill="background2"/>
          </w:tcPr>
          <w:p w14:paraId="08116D13" w14:textId="77777777" w:rsidR="00734A23" w:rsidRDefault="00734A23" w:rsidP="004B3C5C">
            <w:pPr>
              <w:spacing w:line="276" w:lineRule="auto"/>
              <w:jc w:val="center"/>
            </w:pPr>
            <w:r>
              <w:t>Votes</w:t>
            </w:r>
          </w:p>
        </w:tc>
      </w:tr>
      <w:tr w:rsidR="00734A23" w14:paraId="3B92758C" w14:textId="77777777" w:rsidTr="004B3C5C">
        <w:tc>
          <w:tcPr>
            <w:tcW w:w="2520" w:type="dxa"/>
            <w:tcBorders>
              <w:top w:val="nil"/>
              <w:left w:val="single" w:sz="4" w:space="0" w:color="auto"/>
              <w:bottom w:val="single" w:sz="4" w:space="0" w:color="auto"/>
              <w:right w:val="nil"/>
            </w:tcBorders>
            <w:shd w:val="clear" w:color="auto" w:fill="E7E6E6" w:themeFill="background2"/>
          </w:tcPr>
          <w:p w14:paraId="4385E7BD" w14:textId="77777777" w:rsidR="00734A23" w:rsidRDefault="00734A23" w:rsidP="004B3C5C">
            <w:pPr>
              <w:spacing w:line="276" w:lineRule="auto"/>
              <w:jc w:val="center"/>
            </w:pPr>
          </w:p>
        </w:tc>
        <w:tc>
          <w:tcPr>
            <w:tcW w:w="2247" w:type="dxa"/>
            <w:tcBorders>
              <w:top w:val="nil"/>
              <w:left w:val="nil"/>
              <w:bottom w:val="single" w:sz="4" w:space="0" w:color="auto"/>
              <w:right w:val="nil"/>
            </w:tcBorders>
            <w:shd w:val="clear" w:color="auto" w:fill="E7E6E6" w:themeFill="background2"/>
          </w:tcPr>
          <w:p w14:paraId="0318099B" w14:textId="77777777" w:rsidR="00734A23" w:rsidRDefault="00734A23" w:rsidP="004B3C5C">
            <w:pPr>
              <w:spacing w:line="276" w:lineRule="auto"/>
              <w:jc w:val="center"/>
            </w:pPr>
            <w:r>
              <w:t>(</w:t>
            </w:r>
            <w:r w:rsidRPr="003B74CC">
              <w:rPr>
                <w:i/>
                <w:iCs/>
              </w:rPr>
              <w:t>SE</w:t>
            </w:r>
            <w:r>
              <w:t>)</w:t>
            </w:r>
          </w:p>
        </w:tc>
        <w:tc>
          <w:tcPr>
            <w:tcW w:w="2355" w:type="dxa"/>
            <w:tcBorders>
              <w:top w:val="nil"/>
              <w:left w:val="nil"/>
              <w:bottom w:val="single" w:sz="4" w:space="0" w:color="auto"/>
              <w:right w:val="nil"/>
            </w:tcBorders>
            <w:shd w:val="clear" w:color="auto" w:fill="E7E6E6" w:themeFill="background2"/>
          </w:tcPr>
          <w:p w14:paraId="4C352320" w14:textId="77777777" w:rsidR="00734A23" w:rsidRDefault="00734A23" w:rsidP="004B3C5C">
            <w:pPr>
              <w:spacing w:line="276" w:lineRule="auto"/>
              <w:jc w:val="center"/>
            </w:pPr>
            <w:r>
              <w:t>(</w:t>
            </w:r>
            <w:r w:rsidRPr="003B74CC">
              <w:rPr>
                <w:i/>
                <w:iCs/>
              </w:rPr>
              <w:t>SE</w:t>
            </w:r>
            <w:r>
              <w:t>)</w:t>
            </w:r>
          </w:p>
        </w:tc>
        <w:tc>
          <w:tcPr>
            <w:tcW w:w="2228" w:type="dxa"/>
            <w:tcBorders>
              <w:top w:val="nil"/>
              <w:left w:val="nil"/>
              <w:bottom w:val="single" w:sz="4" w:space="0" w:color="auto"/>
              <w:right w:val="single" w:sz="4" w:space="0" w:color="auto"/>
            </w:tcBorders>
            <w:shd w:val="clear" w:color="auto" w:fill="E7E6E6" w:themeFill="background2"/>
          </w:tcPr>
          <w:p w14:paraId="2D9155B9" w14:textId="77777777" w:rsidR="00734A23" w:rsidRDefault="00734A23" w:rsidP="004B3C5C">
            <w:pPr>
              <w:spacing w:line="276" w:lineRule="auto"/>
              <w:jc w:val="center"/>
            </w:pPr>
            <w:r>
              <w:t>(</w:t>
            </w:r>
            <w:r w:rsidRPr="003B74CC">
              <w:rPr>
                <w:i/>
                <w:iCs/>
              </w:rPr>
              <w:t>SE</w:t>
            </w:r>
            <w:r>
              <w:t>)</w:t>
            </w:r>
          </w:p>
        </w:tc>
      </w:tr>
      <w:tr w:rsidR="00734A23" w14:paraId="449DC039" w14:textId="77777777" w:rsidTr="004B3C5C">
        <w:tc>
          <w:tcPr>
            <w:tcW w:w="2520" w:type="dxa"/>
            <w:tcBorders>
              <w:top w:val="single" w:sz="4" w:space="0" w:color="auto"/>
              <w:left w:val="single" w:sz="4" w:space="0" w:color="auto"/>
              <w:bottom w:val="nil"/>
              <w:right w:val="nil"/>
            </w:tcBorders>
          </w:tcPr>
          <w:p w14:paraId="7CB43F71" w14:textId="77777777" w:rsidR="00734A23" w:rsidRDefault="00734A23" w:rsidP="004B3C5C">
            <w:pPr>
              <w:spacing w:line="276" w:lineRule="auto"/>
              <w:jc w:val="center"/>
            </w:pPr>
            <w:r w:rsidRPr="009E3830">
              <w:rPr>
                <w:i/>
                <w:iCs/>
              </w:rPr>
              <w:t>Retweets</w:t>
            </w:r>
            <w:r>
              <w:t>*</w:t>
            </w:r>
          </w:p>
        </w:tc>
        <w:tc>
          <w:tcPr>
            <w:tcW w:w="2247" w:type="dxa"/>
            <w:tcBorders>
              <w:top w:val="single" w:sz="4" w:space="0" w:color="auto"/>
              <w:left w:val="nil"/>
              <w:bottom w:val="nil"/>
              <w:right w:val="nil"/>
            </w:tcBorders>
          </w:tcPr>
          <w:p w14:paraId="29F2CC1C" w14:textId="77777777" w:rsidR="00734A23" w:rsidRDefault="00734A23" w:rsidP="004B3C5C">
            <w:pPr>
              <w:tabs>
                <w:tab w:val="center" w:pos="1015"/>
                <w:tab w:val="right" w:pos="2031"/>
              </w:tabs>
              <w:spacing w:line="276" w:lineRule="auto"/>
            </w:pPr>
            <w:r>
              <w:tab/>
            </w:r>
            <w:r w:rsidRPr="00824FE5">
              <w:t>33.53655</w:t>
            </w:r>
            <w:r>
              <w:t xml:space="preserve"> *</w:t>
            </w:r>
          </w:p>
          <w:p w14:paraId="628D23F7" w14:textId="77777777" w:rsidR="00734A23" w:rsidRDefault="00734A23" w:rsidP="004B3C5C">
            <w:pPr>
              <w:spacing w:line="276" w:lineRule="auto"/>
              <w:jc w:val="center"/>
            </w:pPr>
            <w:r>
              <w:t>(</w:t>
            </w:r>
            <w:r w:rsidRPr="00824FE5">
              <w:t>12.10621</w:t>
            </w:r>
            <w:r>
              <w:t>) *</w:t>
            </w:r>
          </w:p>
        </w:tc>
        <w:tc>
          <w:tcPr>
            <w:tcW w:w="2355" w:type="dxa"/>
            <w:tcBorders>
              <w:top w:val="single" w:sz="4" w:space="0" w:color="auto"/>
              <w:left w:val="nil"/>
              <w:bottom w:val="nil"/>
              <w:right w:val="nil"/>
            </w:tcBorders>
          </w:tcPr>
          <w:p w14:paraId="5BA993BE" w14:textId="77777777" w:rsidR="00734A23" w:rsidRDefault="00734A23" w:rsidP="004B3C5C">
            <w:pPr>
              <w:spacing w:line="276" w:lineRule="auto"/>
              <w:jc w:val="center"/>
            </w:pPr>
            <w:r w:rsidRPr="00824FE5">
              <w:t>76.16583</w:t>
            </w:r>
            <w:r>
              <w:t xml:space="preserve"> *</w:t>
            </w:r>
          </w:p>
          <w:p w14:paraId="1395D823" w14:textId="77777777" w:rsidR="00734A23" w:rsidRDefault="00734A23" w:rsidP="004B3C5C">
            <w:pPr>
              <w:spacing w:line="276" w:lineRule="auto"/>
              <w:jc w:val="center"/>
            </w:pPr>
            <w:r>
              <w:t>(75.54132) *</w:t>
            </w:r>
          </w:p>
        </w:tc>
        <w:tc>
          <w:tcPr>
            <w:tcW w:w="2228" w:type="dxa"/>
            <w:tcBorders>
              <w:top w:val="single" w:sz="4" w:space="0" w:color="auto"/>
              <w:left w:val="nil"/>
              <w:bottom w:val="nil"/>
              <w:right w:val="single" w:sz="4" w:space="0" w:color="auto"/>
            </w:tcBorders>
          </w:tcPr>
          <w:p w14:paraId="769170B5" w14:textId="77777777" w:rsidR="00734A23" w:rsidRDefault="00734A23" w:rsidP="004B3C5C">
            <w:pPr>
              <w:spacing w:line="276" w:lineRule="auto"/>
              <w:jc w:val="center"/>
            </w:pPr>
            <w:r w:rsidRPr="00AA1614">
              <w:t xml:space="preserve">30.99937 </w:t>
            </w:r>
            <w:r>
              <w:t>* (</w:t>
            </w:r>
            <w:r w:rsidRPr="00AA1614">
              <w:t>12.52451</w:t>
            </w:r>
            <w:r>
              <w:t>) *</w:t>
            </w:r>
          </w:p>
        </w:tc>
      </w:tr>
      <w:tr w:rsidR="00734A23" w14:paraId="02C970E4" w14:textId="77777777" w:rsidTr="004B3C5C">
        <w:trPr>
          <w:trHeight w:val="868"/>
        </w:trPr>
        <w:tc>
          <w:tcPr>
            <w:tcW w:w="2520" w:type="dxa"/>
            <w:tcBorders>
              <w:top w:val="nil"/>
              <w:left w:val="single" w:sz="4" w:space="0" w:color="auto"/>
              <w:bottom w:val="nil"/>
              <w:right w:val="nil"/>
            </w:tcBorders>
          </w:tcPr>
          <w:p w14:paraId="72E416E8" w14:textId="77777777" w:rsidR="00734A23" w:rsidRDefault="00734A23" w:rsidP="004B3C5C">
            <w:pPr>
              <w:spacing w:line="276" w:lineRule="auto"/>
              <w:jc w:val="center"/>
            </w:pPr>
            <w:r w:rsidRPr="009E3830">
              <w:rPr>
                <w:i/>
                <w:iCs/>
              </w:rPr>
              <w:t>Tweets</w:t>
            </w:r>
            <w:r>
              <w:t>*</w:t>
            </w:r>
          </w:p>
        </w:tc>
        <w:tc>
          <w:tcPr>
            <w:tcW w:w="2247" w:type="dxa"/>
            <w:tcBorders>
              <w:top w:val="nil"/>
              <w:left w:val="nil"/>
              <w:bottom w:val="nil"/>
              <w:right w:val="nil"/>
            </w:tcBorders>
          </w:tcPr>
          <w:p w14:paraId="334FB812" w14:textId="77777777" w:rsidR="00734A23" w:rsidRDefault="00734A23" w:rsidP="004B3C5C">
            <w:pPr>
              <w:spacing w:line="276" w:lineRule="auto"/>
              <w:jc w:val="center"/>
            </w:pPr>
            <w:r w:rsidRPr="00824FE5">
              <w:t>5.145726</w:t>
            </w:r>
            <w:r>
              <w:t xml:space="preserve"> *</w:t>
            </w:r>
          </w:p>
          <w:p w14:paraId="145552B3" w14:textId="77777777" w:rsidR="00734A23" w:rsidRPr="00E33A5C" w:rsidRDefault="00734A23" w:rsidP="004B3C5C">
            <w:pPr>
              <w:spacing w:line="276" w:lineRule="auto"/>
              <w:jc w:val="center"/>
            </w:pPr>
            <w:r>
              <w:t>(</w:t>
            </w:r>
            <w:r w:rsidRPr="00824FE5">
              <w:t>9.03593</w:t>
            </w:r>
            <w:r>
              <w:t>) *</w:t>
            </w:r>
          </w:p>
        </w:tc>
        <w:tc>
          <w:tcPr>
            <w:tcW w:w="2355" w:type="dxa"/>
            <w:tcBorders>
              <w:top w:val="nil"/>
              <w:left w:val="nil"/>
              <w:bottom w:val="nil"/>
              <w:right w:val="nil"/>
            </w:tcBorders>
          </w:tcPr>
          <w:p w14:paraId="28524D6F" w14:textId="77777777" w:rsidR="00734A23" w:rsidRDefault="00734A23" w:rsidP="004B3C5C">
            <w:pPr>
              <w:spacing w:line="276" w:lineRule="auto"/>
              <w:jc w:val="center"/>
            </w:pPr>
            <w:r w:rsidRPr="00824FE5">
              <w:t>-46.70978</w:t>
            </w:r>
            <w:r>
              <w:t xml:space="preserve"> *</w:t>
            </w:r>
          </w:p>
          <w:p w14:paraId="78715BD6" w14:textId="77777777" w:rsidR="00734A23" w:rsidRPr="00E33A5C" w:rsidRDefault="00734A23" w:rsidP="004B3C5C">
            <w:pPr>
              <w:spacing w:line="276" w:lineRule="auto"/>
              <w:jc w:val="center"/>
            </w:pPr>
            <w:r>
              <w:t>(</w:t>
            </w:r>
            <w:r w:rsidRPr="00824FE5">
              <w:t>37.84759</w:t>
            </w:r>
            <w:r>
              <w:t>) *</w:t>
            </w:r>
          </w:p>
        </w:tc>
        <w:tc>
          <w:tcPr>
            <w:tcW w:w="2228" w:type="dxa"/>
            <w:tcBorders>
              <w:top w:val="nil"/>
              <w:left w:val="nil"/>
              <w:bottom w:val="nil"/>
              <w:right w:val="single" w:sz="4" w:space="0" w:color="auto"/>
            </w:tcBorders>
          </w:tcPr>
          <w:p w14:paraId="2FDD09A5" w14:textId="77777777" w:rsidR="00734A23" w:rsidRDefault="00734A23" w:rsidP="004B3C5C">
            <w:pPr>
              <w:spacing w:line="276" w:lineRule="auto"/>
              <w:jc w:val="center"/>
            </w:pPr>
            <w:r w:rsidRPr="00AA1614">
              <w:t>8.75117</w:t>
            </w:r>
            <w:r>
              <w:t xml:space="preserve"> *</w:t>
            </w:r>
          </w:p>
          <w:p w14:paraId="4DC7BDCE" w14:textId="77777777" w:rsidR="00734A23" w:rsidRPr="00E33A5C" w:rsidRDefault="00734A23" w:rsidP="004B3C5C">
            <w:pPr>
              <w:spacing w:line="276" w:lineRule="auto"/>
              <w:jc w:val="center"/>
            </w:pPr>
            <w:r>
              <w:t>(</w:t>
            </w:r>
            <w:r w:rsidRPr="00AA1614">
              <w:t>9.490406</w:t>
            </w:r>
            <w:r>
              <w:t>) *</w:t>
            </w:r>
          </w:p>
        </w:tc>
      </w:tr>
      <w:tr w:rsidR="00734A23" w14:paraId="4B96406E" w14:textId="77777777" w:rsidTr="004B3C5C">
        <w:trPr>
          <w:trHeight w:val="868"/>
        </w:trPr>
        <w:tc>
          <w:tcPr>
            <w:tcW w:w="2520" w:type="dxa"/>
            <w:tcBorders>
              <w:top w:val="nil"/>
              <w:left w:val="single" w:sz="4" w:space="0" w:color="auto"/>
              <w:bottom w:val="single" w:sz="4" w:space="0" w:color="auto"/>
              <w:right w:val="nil"/>
            </w:tcBorders>
          </w:tcPr>
          <w:p w14:paraId="04FC8145" w14:textId="77777777" w:rsidR="00734A23" w:rsidRDefault="00734A23" w:rsidP="004B3C5C">
            <w:pPr>
              <w:spacing w:line="276" w:lineRule="auto"/>
              <w:jc w:val="center"/>
            </w:pPr>
            <w:r>
              <w:rPr>
                <w:i/>
                <w:iCs/>
              </w:rPr>
              <w:t>Total</w:t>
            </w:r>
            <w:r w:rsidRPr="009E3830">
              <w:rPr>
                <w:i/>
                <w:iCs/>
              </w:rPr>
              <w:t xml:space="preserve"> Tweets</w:t>
            </w:r>
            <w:r>
              <w:t>**</w:t>
            </w:r>
          </w:p>
        </w:tc>
        <w:tc>
          <w:tcPr>
            <w:tcW w:w="2247" w:type="dxa"/>
            <w:tcBorders>
              <w:top w:val="nil"/>
              <w:left w:val="nil"/>
              <w:bottom w:val="single" w:sz="4" w:space="0" w:color="auto"/>
              <w:right w:val="nil"/>
            </w:tcBorders>
          </w:tcPr>
          <w:p w14:paraId="65F7EE83" w14:textId="77777777" w:rsidR="00734A23" w:rsidRDefault="00734A23" w:rsidP="004B3C5C">
            <w:pPr>
              <w:spacing w:line="276" w:lineRule="auto"/>
              <w:jc w:val="center"/>
            </w:pPr>
            <w:r w:rsidRPr="00997D4C">
              <w:t>16.13396</w:t>
            </w:r>
            <w:r>
              <w:t xml:space="preserve"> **</w:t>
            </w:r>
          </w:p>
          <w:p w14:paraId="7385FC22" w14:textId="77777777" w:rsidR="00734A23" w:rsidRPr="00824FE5" w:rsidRDefault="00734A23" w:rsidP="004B3C5C">
            <w:pPr>
              <w:spacing w:line="276" w:lineRule="auto"/>
              <w:jc w:val="center"/>
            </w:pPr>
            <w:r>
              <w:t>(6.359593) **</w:t>
            </w:r>
          </w:p>
        </w:tc>
        <w:tc>
          <w:tcPr>
            <w:tcW w:w="2355" w:type="dxa"/>
            <w:tcBorders>
              <w:top w:val="nil"/>
              <w:left w:val="nil"/>
              <w:bottom w:val="single" w:sz="4" w:space="0" w:color="auto"/>
              <w:right w:val="nil"/>
            </w:tcBorders>
          </w:tcPr>
          <w:p w14:paraId="76268C20" w14:textId="77777777" w:rsidR="00734A23" w:rsidRDefault="00734A23" w:rsidP="004B3C5C">
            <w:pPr>
              <w:spacing w:line="276" w:lineRule="auto"/>
              <w:jc w:val="center"/>
            </w:pPr>
            <w:r w:rsidRPr="000C79C1">
              <w:t>-33.55036</w:t>
            </w:r>
            <w:r>
              <w:t xml:space="preserve"> **</w:t>
            </w:r>
          </w:p>
          <w:p w14:paraId="3FDA977E" w14:textId="77777777" w:rsidR="00734A23" w:rsidRPr="00824FE5" w:rsidRDefault="00734A23" w:rsidP="004B3C5C">
            <w:pPr>
              <w:spacing w:line="276" w:lineRule="auto"/>
              <w:jc w:val="center"/>
            </w:pPr>
            <w:r>
              <w:t>(44.47853) **</w:t>
            </w:r>
          </w:p>
        </w:tc>
        <w:tc>
          <w:tcPr>
            <w:tcW w:w="2228" w:type="dxa"/>
            <w:tcBorders>
              <w:top w:val="nil"/>
              <w:left w:val="nil"/>
              <w:bottom w:val="single" w:sz="4" w:space="0" w:color="auto"/>
              <w:right w:val="single" w:sz="4" w:space="0" w:color="auto"/>
            </w:tcBorders>
          </w:tcPr>
          <w:p w14:paraId="3FF29DF5" w14:textId="77777777" w:rsidR="00734A23" w:rsidRDefault="00734A23" w:rsidP="004B3C5C">
            <w:pPr>
              <w:spacing w:line="276" w:lineRule="auto"/>
              <w:jc w:val="center"/>
            </w:pPr>
            <w:r>
              <w:t>17.51415 **</w:t>
            </w:r>
          </w:p>
          <w:p w14:paraId="59A28A08" w14:textId="77777777" w:rsidR="00734A23" w:rsidRPr="00AA1614" w:rsidRDefault="00734A23" w:rsidP="004B3C5C">
            <w:pPr>
              <w:spacing w:line="276" w:lineRule="auto"/>
              <w:jc w:val="center"/>
            </w:pPr>
            <w:r>
              <w:t>(6.47958) **</w:t>
            </w:r>
          </w:p>
        </w:tc>
      </w:tr>
      <w:tr w:rsidR="00734A23" w14:paraId="24D12DC0" w14:textId="77777777" w:rsidTr="004B3C5C">
        <w:trPr>
          <w:trHeight w:val="385"/>
        </w:trPr>
        <w:tc>
          <w:tcPr>
            <w:tcW w:w="2520" w:type="dxa"/>
            <w:tcBorders>
              <w:top w:val="single" w:sz="4" w:space="0" w:color="auto"/>
              <w:left w:val="single" w:sz="4" w:space="0" w:color="auto"/>
              <w:bottom w:val="nil"/>
              <w:right w:val="nil"/>
            </w:tcBorders>
            <w:shd w:val="clear" w:color="auto" w:fill="F2F2F2" w:themeFill="background1" w:themeFillShade="F2"/>
          </w:tcPr>
          <w:p w14:paraId="5E328889" w14:textId="77777777" w:rsidR="00734A23" w:rsidRPr="00D079E5" w:rsidRDefault="00734A23" w:rsidP="004B3C5C">
            <w:pPr>
              <w:spacing w:line="276" w:lineRule="auto"/>
              <w:jc w:val="center"/>
            </w:pPr>
            <w:r>
              <w:t>R</w:t>
            </w:r>
            <w:r w:rsidRPr="007B2E14">
              <w:rPr>
                <w:vertAlign w:val="superscript"/>
              </w:rPr>
              <w:t>2</w:t>
            </w:r>
            <w:r>
              <w:rPr>
                <w:vertAlign w:val="superscript"/>
              </w:rPr>
              <w:t xml:space="preserve"> </w:t>
            </w:r>
            <w:r>
              <w:t>*</w:t>
            </w:r>
          </w:p>
        </w:tc>
        <w:tc>
          <w:tcPr>
            <w:tcW w:w="2247" w:type="dxa"/>
            <w:tcBorders>
              <w:top w:val="single" w:sz="4" w:space="0" w:color="auto"/>
              <w:left w:val="nil"/>
              <w:bottom w:val="nil"/>
              <w:right w:val="nil"/>
            </w:tcBorders>
            <w:shd w:val="clear" w:color="auto" w:fill="F2F2F2" w:themeFill="background1" w:themeFillShade="F2"/>
          </w:tcPr>
          <w:p w14:paraId="53ACE209" w14:textId="77777777" w:rsidR="00734A23" w:rsidRDefault="00734A23" w:rsidP="004B3C5C">
            <w:pPr>
              <w:spacing w:line="276" w:lineRule="auto"/>
              <w:jc w:val="center"/>
            </w:pPr>
            <w:r w:rsidRPr="00824FE5">
              <w:t>0.20</w:t>
            </w:r>
            <w:r>
              <w:t>51 *</w:t>
            </w:r>
          </w:p>
        </w:tc>
        <w:tc>
          <w:tcPr>
            <w:tcW w:w="2355" w:type="dxa"/>
            <w:tcBorders>
              <w:top w:val="single" w:sz="4" w:space="0" w:color="auto"/>
              <w:left w:val="nil"/>
              <w:bottom w:val="nil"/>
              <w:right w:val="nil"/>
            </w:tcBorders>
            <w:shd w:val="clear" w:color="auto" w:fill="F2F2F2" w:themeFill="background1" w:themeFillShade="F2"/>
          </w:tcPr>
          <w:p w14:paraId="2A684D2F" w14:textId="77777777" w:rsidR="00734A23" w:rsidRDefault="00734A23" w:rsidP="004B3C5C">
            <w:pPr>
              <w:spacing w:line="276" w:lineRule="auto"/>
              <w:jc w:val="center"/>
            </w:pPr>
            <w:r w:rsidRPr="000F5D82">
              <w:t>0.5453</w:t>
            </w:r>
            <w:r>
              <w:t xml:space="preserve"> *</w:t>
            </w:r>
          </w:p>
        </w:tc>
        <w:tc>
          <w:tcPr>
            <w:tcW w:w="2228" w:type="dxa"/>
            <w:tcBorders>
              <w:top w:val="single" w:sz="4" w:space="0" w:color="auto"/>
              <w:left w:val="nil"/>
              <w:bottom w:val="nil"/>
              <w:right w:val="single" w:sz="4" w:space="0" w:color="auto"/>
            </w:tcBorders>
            <w:shd w:val="clear" w:color="auto" w:fill="F2F2F2" w:themeFill="background1" w:themeFillShade="F2"/>
          </w:tcPr>
          <w:p w14:paraId="7E65DCB6" w14:textId="77777777" w:rsidR="00734A23" w:rsidRDefault="00734A23" w:rsidP="004B3C5C">
            <w:pPr>
              <w:spacing w:line="276" w:lineRule="auto"/>
              <w:jc w:val="center"/>
            </w:pPr>
            <w:r w:rsidRPr="00824FE5">
              <w:t>0.22</w:t>
            </w:r>
            <w:r>
              <w:t>52 *</w:t>
            </w:r>
          </w:p>
        </w:tc>
      </w:tr>
      <w:tr w:rsidR="00734A23" w14:paraId="041D0C32" w14:textId="77777777" w:rsidTr="004B3C5C">
        <w:tc>
          <w:tcPr>
            <w:tcW w:w="2520" w:type="dxa"/>
            <w:tcBorders>
              <w:top w:val="nil"/>
              <w:left w:val="single" w:sz="4" w:space="0" w:color="auto"/>
              <w:bottom w:val="nil"/>
              <w:right w:val="nil"/>
            </w:tcBorders>
            <w:shd w:val="clear" w:color="auto" w:fill="F2F2F2" w:themeFill="background1" w:themeFillShade="F2"/>
          </w:tcPr>
          <w:p w14:paraId="07D4ED81" w14:textId="77777777" w:rsidR="00734A23" w:rsidRDefault="00734A23" w:rsidP="004B3C5C">
            <w:pPr>
              <w:spacing w:line="276" w:lineRule="auto"/>
              <w:jc w:val="center"/>
            </w:pPr>
            <w:r>
              <w:rPr>
                <w:i/>
                <w:iCs/>
              </w:rPr>
              <w:t>n</w:t>
            </w:r>
            <w:r>
              <w:t xml:space="preserve"> *</w:t>
            </w:r>
          </w:p>
          <w:p w14:paraId="0EA81DAC" w14:textId="77777777" w:rsidR="00734A23" w:rsidRDefault="00734A23" w:rsidP="004B3C5C">
            <w:pPr>
              <w:spacing w:line="276" w:lineRule="auto"/>
              <w:jc w:val="center"/>
            </w:pPr>
            <w:r>
              <w:t>R</w:t>
            </w:r>
            <w:r w:rsidRPr="00D079E5">
              <w:rPr>
                <w:vertAlign w:val="superscript"/>
              </w:rPr>
              <w:t>2</w:t>
            </w:r>
            <w:r>
              <w:t xml:space="preserve"> **</w:t>
            </w:r>
          </w:p>
          <w:p w14:paraId="6286FE9D" w14:textId="77777777" w:rsidR="00734A23" w:rsidRPr="00D079E5" w:rsidRDefault="00734A23" w:rsidP="004B3C5C">
            <w:pPr>
              <w:spacing w:line="276" w:lineRule="auto"/>
              <w:jc w:val="center"/>
            </w:pPr>
            <w:r w:rsidRPr="00856725">
              <w:rPr>
                <w:i/>
                <w:iCs/>
              </w:rPr>
              <w:t xml:space="preserve">n </w:t>
            </w:r>
            <w:r>
              <w:t>**</w:t>
            </w:r>
          </w:p>
        </w:tc>
        <w:tc>
          <w:tcPr>
            <w:tcW w:w="2247" w:type="dxa"/>
            <w:tcBorders>
              <w:top w:val="nil"/>
              <w:left w:val="nil"/>
              <w:bottom w:val="nil"/>
              <w:right w:val="nil"/>
            </w:tcBorders>
            <w:shd w:val="clear" w:color="auto" w:fill="F2F2F2" w:themeFill="background1" w:themeFillShade="F2"/>
          </w:tcPr>
          <w:p w14:paraId="6FE2B08A" w14:textId="77777777" w:rsidR="00734A23" w:rsidRDefault="00734A23" w:rsidP="004B3C5C">
            <w:pPr>
              <w:spacing w:line="276" w:lineRule="auto"/>
              <w:jc w:val="center"/>
            </w:pPr>
            <w:r>
              <w:t>40 *</w:t>
            </w:r>
          </w:p>
          <w:p w14:paraId="669B805D" w14:textId="77777777" w:rsidR="00734A23" w:rsidRDefault="00734A23" w:rsidP="004B3C5C">
            <w:pPr>
              <w:spacing w:line="276" w:lineRule="auto"/>
              <w:jc w:val="center"/>
            </w:pPr>
            <w:r>
              <w:t>0.1448 **</w:t>
            </w:r>
          </w:p>
          <w:p w14:paraId="76984EB7" w14:textId="77777777" w:rsidR="00734A23" w:rsidRDefault="00734A23" w:rsidP="004B3C5C">
            <w:pPr>
              <w:spacing w:line="276" w:lineRule="auto"/>
              <w:jc w:val="center"/>
            </w:pPr>
            <w:r>
              <w:t>40 **</w:t>
            </w:r>
          </w:p>
        </w:tc>
        <w:tc>
          <w:tcPr>
            <w:tcW w:w="2355" w:type="dxa"/>
            <w:tcBorders>
              <w:top w:val="nil"/>
              <w:left w:val="nil"/>
              <w:bottom w:val="nil"/>
              <w:right w:val="nil"/>
            </w:tcBorders>
            <w:shd w:val="clear" w:color="auto" w:fill="F2F2F2" w:themeFill="background1" w:themeFillShade="F2"/>
          </w:tcPr>
          <w:p w14:paraId="4C10C801" w14:textId="77777777" w:rsidR="00734A23" w:rsidRDefault="00734A23" w:rsidP="004B3C5C">
            <w:pPr>
              <w:spacing w:line="276" w:lineRule="auto"/>
              <w:jc w:val="center"/>
            </w:pPr>
            <w:r>
              <w:t>6 *</w:t>
            </w:r>
          </w:p>
          <w:p w14:paraId="3AD59C37" w14:textId="77777777" w:rsidR="00734A23" w:rsidRDefault="00734A23" w:rsidP="004B3C5C">
            <w:pPr>
              <w:spacing w:line="276" w:lineRule="auto"/>
              <w:jc w:val="center"/>
            </w:pPr>
            <w:r>
              <w:t>0.1245 **</w:t>
            </w:r>
          </w:p>
          <w:p w14:paraId="2FD6B942" w14:textId="77777777" w:rsidR="00734A23" w:rsidRDefault="00734A23" w:rsidP="004B3C5C">
            <w:pPr>
              <w:spacing w:line="276" w:lineRule="auto"/>
              <w:jc w:val="center"/>
            </w:pPr>
            <w:r>
              <w:t>6 **</w:t>
            </w:r>
          </w:p>
        </w:tc>
        <w:tc>
          <w:tcPr>
            <w:tcW w:w="2228" w:type="dxa"/>
            <w:tcBorders>
              <w:top w:val="nil"/>
              <w:left w:val="nil"/>
              <w:bottom w:val="nil"/>
              <w:right w:val="single" w:sz="4" w:space="0" w:color="auto"/>
            </w:tcBorders>
            <w:shd w:val="clear" w:color="auto" w:fill="F2F2F2" w:themeFill="background1" w:themeFillShade="F2"/>
          </w:tcPr>
          <w:p w14:paraId="5B8DD332" w14:textId="77777777" w:rsidR="00734A23" w:rsidRDefault="00734A23" w:rsidP="004B3C5C">
            <w:pPr>
              <w:spacing w:line="276" w:lineRule="auto"/>
              <w:jc w:val="center"/>
            </w:pPr>
            <w:r>
              <w:t>34 *</w:t>
            </w:r>
          </w:p>
          <w:p w14:paraId="6AEC042C" w14:textId="77777777" w:rsidR="00734A23" w:rsidRDefault="00734A23" w:rsidP="004B3C5C">
            <w:pPr>
              <w:spacing w:line="276" w:lineRule="auto"/>
              <w:jc w:val="center"/>
            </w:pPr>
            <w:r>
              <w:t>0.1859 **</w:t>
            </w:r>
          </w:p>
          <w:p w14:paraId="7B68F21C" w14:textId="77777777" w:rsidR="00734A23" w:rsidRDefault="00734A23" w:rsidP="004B3C5C">
            <w:pPr>
              <w:spacing w:line="276" w:lineRule="auto"/>
              <w:jc w:val="center"/>
            </w:pPr>
            <w:r>
              <w:t>34 **</w:t>
            </w:r>
          </w:p>
        </w:tc>
      </w:tr>
      <w:tr w:rsidR="00734A23" w14:paraId="30368EA9" w14:textId="77777777" w:rsidTr="004B3C5C">
        <w:trPr>
          <w:trHeight w:val="1036"/>
        </w:trPr>
        <w:tc>
          <w:tcPr>
            <w:tcW w:w="9350" w:type="dxa"/>
            <w:gridSpan w:val="4"/>
            <w:tcBorders>
              <w:top w:val="nil"/>
              <w:left w:val="single" w:sz="4" w:space="0" w:color="auto"/>
              <w:bottom w:val="single" w:sz="4" w:space="0" w:color="auto"/>
              <w:right w:val="single" w:sz="4" w:space="0" w:color="auto"/>
            </w:tcBorders>
            <w:shd w:val="clear" w:color="auto" w:fill="F2F2F2" w:themeFill="background1" w:themeFillShade="F2"/>
          </w:tcPr>
          <w:p w14:paraId="69697C8E" w14:textId="77777777" w:rsidR="00734A23" w:rsidRDefault="00734A23" w:rsidP="004B3C5C">
            <w:pPr>
              <w:spacing w:line="276" w:lineRule="auto"/>
              <w:rPr>
                <w:b/>
                <w:bCs/>
                <w:sz w:val="20"/>
                <w:szCs w:val="20"/>
              </w:rPr>
            </w:pPr>
          </w:p>
          <w:p w14:paraId="0EDC3BBD" w14:textId="77777777" w:rsidR="00734A23" w:rsidRPr="00BB43F2" w:rsidRDefault="00734A23" w:rsidP="004B3C5C">
            <w:pPr>
              <w:pBdr>
                <w:top w:val="single" w:sz="4" w:space="1" w:color="auto"/>
              </w:pBdr>
              <w:spacing w:line="276" w:lineRule="auto"/>
              <w:rPr>
                <w:b/>
                <w:bCs/>
                <w:sz w:val="20"/>
                <w:szCs w:val="20"/>
                <w:u w:val="single"/>
              </w:rPr>
            </w:pPr>
            <w:r w:rsidRPr="00BB43F2">
              <w:rPr>
                <w:b/>
                <w:bCs/>
                <w:sz w:val="20"/>
                <w:szCs w:val="20"/>
                <w:u w:val="single"/>
              </w:rPr>
              <w:t>Notes</w:t>
            </w:r>
          </w:p>
          <w:p w14:paraId="31EC8792" w14:textId="77777777" w:rsidR="00734A23" w:rsidRPr="00675131" w:rsidRDefault="00734A23" w:rsidP="004B3C5C">
            <w:pPr>
              <w:pBdr>
                <w:top w:val="single" w:sz="4" w:space="1" w:color="auto"/>
              </w:pBdr>
              <w:spacing w:line="276" w:lineRule="auto"/>
              <w:rPr>
                <w:sz w:val="20"/>
                <w:szCs w:val="20"/>
              </w:rPr>
            </w:pPr>
            <w:r w:rsidRPr="00675131">
              <w:rPr>
                <w:b/>
                <w:bCs/>
                <w:sz w:val="20"/>
                <w:szCs w:val="20"/>
              </w:rPr>
              <w:t>H</w:t>
            </w:r>
            <w:r w:rsidRPr="00675131">
              <w:rPr>
                <w:b/>
                <w:bCs/>
                <w:sz w:val="20"/>
                <w:szCs w:val="20"/>
                <w:vertAlign w:val="subscript"/>
              </w:rPr>
              <w:t>1a</w:t>
            </w:r>
            <w:r w:rsidRPr="00675131">
              <w:rPr>
                <w:b/>
                <w:bCs/>
                <w:sz w:val="20"/>
                <w:szCs w:val="20"/>
              </w:rPr>
              <w:t>:</w:t>
            </w:r>
            <w:r w:rsidRPr="00675131">
              <w:rPr>
                <w:sz w:val="20"/>
                <w:szCs w:val="20"/>
              </w:rPr>
              <w:t xml:space="preserve"> Political candidates who send more </w:t>
            </w:r>
            <w:r w:rsidRPr="00675131">
              <w:rPr>
                <w:b/>
                <w:bCs/>
                <w:sz w:val="20"/>
                <w:szCs w:val="20"/>
              </w:rPr>
              <w:t>total tweets</w:t>
            </w:r>
            <w:r w:rsidRPr="00675131">
              <w:rPr>
                <w:sz w:val="20"/>
                <w:szCs w:val="20"/>
              </w:rPr>
              <w:t xml:space="preserve"> during an election campaign will win more votes.</w:t>
            </w:r>
          </w:p>
          <w:p w14:paraId="5A19B192" w14:textId="77777777" w:rsidR="00734A23" w:rsidRDefault="00734A23" w:rsidP="004B3C5C">
            <w:pPr>
              <w:spacing w:line="276" w:lineRule="auto"/>
              <w:rPr>
                <w:sz w:val="20"/>
                <w:szCs w:val="20"/>
              </w:rPr>
            </w:pPr>
            <w:r w:rsidRPr="00675131">
              <w:rPr>
                <w:b/>
                <w:bCs/>
                <w:sz w:val="20"/>
                <w:szCs w:val="20"/>
              </w:rPr>
              <w:t>H</w:t>
            </w:r>
            <w:r w:rsidRPr="00675131">
              <w:rPr>
                <w:b/>
                <w:bCs/>
                <w:sz w:val="20"/>
                <w:szCs w:val="20"/>
                <w:vertAlign w:val="subscript"/>
              </w:rPr>
              <w:t>1b</w:t>
            </w:r>
            <w:r w:rsidRPr="00675131">
              <w:rPr>
                <w:sz w:val="20"/>
                <w:szCs w:val="20"/>
              </w:rPr>
              <w:t xml:space="preserve">: Incumbent candidates will receive less of a vote dividend from Twitter use than non-incumbents. </w:t>
            </w:r>
          </w:p>
          <w:p w14:paraId="26BE1D76" w14:textId="77777777" w:rsidR="00734A23" w:rsidRDefault="00734A23" w:rsidP="004B3C5C">
            <w:pPr>
              <w:spacing w:line="276" w:lineRule="auto"/>
              <w:rPr>
                <w:sz w:val="20"/>
                <w:szCs w:val="20"/>
              </w:rPr>
            </w:pPr>
            <w:r w:rsidRPr="00675131">
              <w:rPr>
                <w:b/>
                <w:bCs/>
                <w:sz w:val="20"/>
                <w:szCs w:val="20"/>
              </w:rPr>
              <w:t>H</w:t>
            </w:r>
            <w:r w:rsidRPr="00675131">
              <w:rPr>
                <w:b/>
                <w:bCs/>
                <w:sz w:val="20"/>
                <w:szCs w:val="20"/>
                <w:vertAlign w:val="subscript"/>
              </w:rPr>
              <w:t>1b</w:t>
            </w:r>
            <w:r>
              <w:rPr>
                <w:b/>
                <w:bCs/>
                <w:sz w:val="20"/>
                <w:szCs w:val="20"/>
                <w:vertAlign w:val="superscript"/>
              </w:rPr>
              <w:t>1</w:t>
            </w:r>
            <w:r>
              <w:rPr>
                <w:b/>
                <w:bCs/>
                <w:sz w:val="20"/>
                <w:szCs w:val="20"/>
              </w:rPr>
              <w:t xml:space="preserve"> </w:t>
            </w:r>
            <w:r w:rsidRPr="00C32E24">
              <w:rPr>
                <w:sz w:val="20"/>
                <w:szCs w:val="20"/>
              </w:rPr>
              <w:t>Incumbent</w:t>
            </w:r>
          </w:p>
          <w:p w14:paraId="667CEF2A" w14:textId="77777777" w:rsidR="00734A23" w:rsidRPr="00C32E24" w:rsidRDefault="00734A23" w:rsidP="004B3C5C">
            <w:pPr>
              <w:spacing w:line="276" w:lineRule="auto"/>
              <w:rPr>
                <w:sz w:val="20"/>
                <w:szCs w:val="20"/>
              </w:rPr>
            </w:pPr>
            <w:r w:rsidRPr="00675131">
              <w:rPr>
                <w:b/>
                <w:bCs/>
                <w:sz w:val="20"/>
                <w:szCs w:val="20"/>
              </w:rPr>
              <w:t>H</w:t>
            </w:r>
            <w:r w:rsidRPr="00675131">
              <w:rPr>
                <w:b/>
                <w:bCs/>
                <w:sz w:val="20"/>
                <w:szCs w:val="20"/>
                <w:vertAlign w:val="subscript"/>
              </w:rPr>
              <w:t>1b</w:t>
            </w:r>
            <w:r>
              <w:rPr>
                <w:b/>
                <w:bCs/>
                <w:sz w:val="20"/>
                <w:szCs w:val="20"/>
                <w:vertAlign w:val="superscript"/>
              </w:rPr>
              <w:t>2</w:t>
            </w:r>
            <w:r>
              <w:rPr>
                <w:b/>
                <w:bCs/>
                <w:sz w:val="20"/>
                <w:szCs w:val="20"/>
              </w:rPr>
              <w:t xml:space="preserve"> </w:t>
            </w:r>
            <w:r w:rsidRPr="00C32E24">
              <w:rPr>
                <w:sz w:val="20"/>
                <w:szCs w:val="20"/>
              </w:rPr>
              <w:t>Non</w:t>
            </w:r>
            <w:r>
              <w:rPr>
                <w:b/>
                <w:bCs/>
                <w:sz w:val="20"/>
                <w:szCs w:val="20"/>
              </w:rPr>
              <w:t>-</w:t>
            </w:r>
            <w:r w:rsidRPr="00C32E24">
              <w:rPr>
                <w:sz w:val="20"/>
                <w:szCs w:val="20"/>
              </w:rPr>
              <w:t>Incumbent</w:t>
            </w:r>
            <w:r>
              <w:rPr>
                <w:sz w:val="20"/>
                <w:szCs w:val="20"/>
                <w:vertAlign w:val="subscript"/>
              </w:rPr>
              <w:t xml:space="preserve"> </w:t>
            </w:r>
          </w:p>
          <w:p w14:paraId="61EFFA0B" w14:textId="77777777" w:rsidR="00734A23" w:rsidRDefault="00734A23" w:rsidP="004B3C5C">
            <w:pPr>
              <w:spacing w:line="276" w:lineRule="auto"/>
              <w:rPr>
                <w:sz w:val="20"/>
                <w:szCs w:val="20"/>
              </w:rPr>
            </w:pPr>
            <w:r>
              <w:rPr>
                <w:sz w:val="20"/>
                <w:szCs w:val="20"/>
              </w:rPr>
              <w:t>* Model 1</w:t>
            </w:r>
          </w:p>
          <w:p w14:paraId="4E586564" w14:textId="77777777" w:rsidR="00734A23" w:rsidRPr="00675131" w:rsidRDefault="00734A23" w:rsidP="004B3C5C">
            <w:pPr>
              <w:spacing w:line="276" w:lineRule="auto"/>
              <w:rPr>
                <w:sz w:val="20"/>
                <w:szCs w:val="20"/>
              </w:rPr>
            </w:pPr>
            <w:r>
              <w:rPr>
                <w:sz w:val="20"/>
                <w:szCs w:val="20"/>
              </w:rPr>
              <w:t>** Model 2</w:t>
            </w:r>
          </w:p>
        </w:tc>
      </w:tr>
    </w:tbl>
    <w:p w14:paraId="380BC15C" w14:textId="77777777" w:rsidR="00734A23" w:rsidRDefault="00734A23" w:rsidP="00734A23">
      <w:pPr>
        <w:spacing w:line="480" w:lineRule="auto"/>
      </w:pPr>
    </w:p>
    <w:p w14:paraId="3605C9B4" w14:textId="77777777" w:rsidR="00734A23" w:rsidRDefault="00734A23" w:rsidP="00734A23">
      <w:pPr>
        <w:spacing w:line="480" w:lineRule="auto"/>
        <w:ind w:firstLine="720"/>
      </w:pPr>
      <w:r>
        <w:t>Model 2 ** performed a bivariate OLS regression of the relationship between total tweets (tweets + retweets) and votes; where votes were the dependant variable and total tweets were the independent variable. This model was used to test both H</w:t>
      </w:r>
      <w:r w:rsidRPr="00AE184F">
        <w:rPr>
          <w:vertAlign w:val="subscript"/>
        </w:rPr>
        <w:t>1a</w:t>
      </w:r>
      <w:r>
        <w:t xml:space="preserve"> and H</w:t>
      </w:r>
      <w:r w:rsidRPr="00AE184F">
        <w:rPr>
          <w:vertAlign w:val="subscript"/>
        </w:rPr>
        <w:t>1</w:t>
      </w:r>
      <w:r>
        <w:rPr>
          <w:vertAlign w:val="subscript"/>
        </w:rPr>
        <w:t>b</w:t>
      </w:r>
      <w:r>
        <w:t>. While the previous model was beneficial to distinguish between tweets and retweets, Model 2 seeks to aggregate each candidate’s presence on the platform into a single variable. For H</w:t>
      </w:r>
      <w:r w:rsidRPr="00AE184F">
        <w:rPr>
          <w:vertAlign w:val="subscript"/>
        </w:rPr>
        <w:t>1a</w:t>
      </w:r>
      <w:r>
        <w:t>, a one unit increase in all tweets increased votes received by 16. When looking at the second hypothesis, the difference in votes received is similarly differentiated between incumbents and non-incumbents. For non-</w:t>
      </w:r>
      <w:r>
        <w:lastRenderedPageBreak/>
        <w:t>incumbents (H</w:t>
      </w:r>
      <w:r w:rsidRPr="00AE184F">
        <w:rPr>
          <w:vertAlign w:val="subscript"/>
        </w:rPr>
        <w:t>1b</w:t>
      </w:r>
      <w:r>
        <w:rPr>
          <w:vertAlign w:val="superscript"/>
        </w:rPr>
        <w:t xml:space="preserve">2 </w:t>
      </w:r>
      <w:r>
        <w:t>**), a one unit increase in total tweets increased votes received by 17; while for incumbents (H</w:t>
      </w:r>
      <w:r w:rsidRPr="00AE184F">
        <w:rPr>
          <w:vertAlign w:val="subscript"/>
        </w:rPr>
        <w:t>1b</w:t>
      </w:r>
      <w:r>
        <w:rPr>
          <w:vertAlign w:val="superscript"/>
        </w:rPr>
        <w:t xml:space="preserve">1 </w:t>
      </w:r>
      <w:r>
        <w:t xml:space="preserve">**), a one unit increase in total tweets resulted in a loss of 33 votes. The results of Model 2 ** seemingly confirm the academic censuses described in a previous section. When controlling for incumbency, the benefit yielded from increased Twitter activity only results in increased votes for non-incumbent candidates. As previously discussed, incumbents already benefit from popular name recognition as a result of their previous electoral performance. The same cannot said for non-incumbent candidates, who would enjoy far less name recognition than their incumbent opponent. </w:t>
      </w:r>
    </w:p>
    <w:p w14:paraId="1717CBB8" w14:textId="77777777" w:rsidR="00734A23" w:rsidRDefault="00734A23" w:rsidP="00734A23">
      <w:pPr>
        <w:spacing w:line="480" w:lineRule="auto"/>
        <w:ind w:firstLine="720"/>
      </w:pPr>
      <w:r>
        <w:t>Table 2.3 outlines both Model 3 *** and Model 4 ****. Model 3 *** outlines a bivariate OLS regression of the relationship between retweets and votes received, regardless of incumbency. The result of this regression can be found in Table 2.3. For Conservative candidates (H</w:t>
      </w:r>
      <w:r w:rsidRPr="00AE184F">
        <w:rPr>
          <w:vertAlign w:val="subscript"/>
        </w:rPr>
        <w:t>2</w:t>
      </w:r>
      <w:r>
        <w:rPr>
          <w:vertAlign w:val="superscript"/>
        </w:rPr>
        <w:t>1</w:t>
      </w:r>
      <w:r>
        <w:t xml:space="preserve">), a one unit increase in retweets yielded an approximate increase in votes by 30. Conservative candidates benefited the least from retweets out of the sample. ONDP candidates on the other hand, benefited the most from an increase in retweets – with a coefficient of 45 votes. Lastly, for Liberal candidates, a one unit increase in retweets resulted in an increase 37 votes. </w:t>
      </w:r>
    </w:p>
    <w:p w14:paraId="06EF16B5" w14:textId="77777777" w:rsidR="00734A23" w:rsidRDefault="00734A23" w:rsidP="00734A23">
      <w:pPr>
        <w:spacing w:line="480" w:lineRule="auto"/>
        <w:ind w:firstLine="720"/>
      </w:pPr>
      <w:r>
        <w:t xml:space="preserve">Model 4 **** conducted a similar bivariate OLS regression as model 3 ***, however it controls for incumbency. As described previously, the impacts of broadcast effects are more pronounced in non-incumbent candidates – as such, model 4 **** seeks to address this issue. When controlling for incumbency, the votes yielded from a unit increase in retweets from PCPO candidates fell slightly to 27. The decline was far more drastic for ONDP candidates, for whom under Model 4 **** benefit the least from a one unit increase in retweets, with 19 votes. For non-incumbent liberal candidates, the benefit from a one unit </w:t>
      </w:r>
      <w:proofErr w:type="gramStart"/>
      <w:r>
        <w:t>increase</w:t>
      </w:r>
      <w:proofErr w:type="gramEnd"/>
      <w:r>
        <w:t xml:space="preserve"> in retweets corresponded </w:t>
      </w:r>
      <w:r>
        <w:lastRenderedPageBreak/>
        <w:t xml:space="preserve">in 27 more votes. The results of Model 4 **** seem to confirm the academic consensus regarding benefits of broadcast effects for non-incumbents. </w:t>
      </w:r>
    </w:p>
    <w:p w14:paraId="1D46CE76" w14:textId="77777777" w:rsidR="00734A23" w:rsidRDefault="00734A23" w:rsidP="00734A23">
      <w:pPr>
        <w:spacing w:line="480" w:lineRule="auto"/>
        <w:ind w:firstLine="720"/>
      </w:pPr>
    </w:p>
    <w:tbl>
      <w:tblPr>
        <w:tblStyle w:val="TableGrid"/>
        <w:tblW w:w="0" w:type="auto"/>
        <w:tblLook w:val="04A0" w:firstRow="1" w:lastRow="0" w:firstColumn="1" w:lastColumn="0" w:noHBand="0" w:noVBand="1"/>
      </w:tblPr>
      <w:tblGrid>
        <w:gridCol w:w="2520"/>
        <w:gridCol w:w="2247"/>
        <w:gridCol w:w="2355"/>
        <w:gridCol w:w="2228"/>
      </w:tblGrid>
      <w:tr w:rsidR="00734A23" w14:paraId="6CBF153E" w14:textId="77777777" w:rsidTr="004B3C5C">
        <w:trPr>
          <w:trHeight w:val="527"/>
        </w:trPr>
        <w:tc>
          <w:tcPr>
            <w:tcW w:w="9350" w:type="dxa"/>
            <w:gridSpan w:val="4"/>
            <w:tcBorders>
              <w:top w:val="single" w:sz="4" w:space="0" w:color="auto"/>
              <w:left w:val="single" w:sz="4" w:space="0" w:color="auto"/>
              <w:bottom w:val="nil"/>
              <w:right w:val="single" w:sz="4" w:space="0" w:color="auto"/>
            </w:tcBorders>
            <w:shd w:val="clear" w:color="auto" w:fill="E7E6E6" w:themeFill="background2"/>
          </w:tcPr>
          <w:p w14:paraId="406B3AE4" w14:textId="77777777" w:rsidR="00734A23" w:rsidRDefault="00734A23" w:rsidP="004B3C5C">
            <w:pPr>
              <w:spacing w:line="276" w:lineRule="auto"/>
            </w:pPr>
            <w:r>
              <w:t xml:space="preserve">Table 2.3. </w:t>
            </w:r>
            <w:r w:rsidRPr="002D20AE">
              <w:rPr>
                <w:i/>
                <w:iCs/>
              </w:rPr>
              <w:t>Bivariate</w:t>
            </w:r>
            <w:r>
              <w:t xml:space="preserve"> </w:t>
            </w:r>
            <w:r>
              <w:rPr>
                <w:i/>
                <w:iCs/>
              </w:rPr>
              <w:t>OLS</w:t>
            </w:r>
            <w:r w:rsidRPr="000C5603">
              <w:rPr>
                <w:i/>
                <w:iCs/>
              </w:rPr>
              <w:t xml:space="preserve"> Regression</w:t>
            </w:r>
            <w:r>
              <w:rPr>
                <w:i/>
                <w:iCs/>
              </w:rPr>
              <w:t xml:space="preserve"> of the Relationship between Retweets &amp; Votes</w:t>
            </w:r>
          </w:p>
        </w:tc>
      </w:tr>
      <w:tr w:rsidR="00734A23" w14:paraId="441F482F" w14:textId="77777777" w:rsidTr="004B3C5C">
        <w:tc>
          <w:tcPr>
            <w:tcW w:w="2520" w:type="dxa"/>
            <w:tcBorders>
              <w:top w:val="single" w:sz="4" w:space="0" w:color="auto"/>
              <w:left w:val="single" w:sz="4" w:space="0" w:color="auto"/>
              <w:bottom w:val="nil"/>
              <w:right w:val="nil"/>
            </w:tcBorders>
            <w:shd w:val="clear" w:color="auto" w:fill="E7E6E6" w:themeFill="background2"/>
          </w:tcPr>
          <w:p w14:paraId="799ED23F" w14:textId="77777777" w:rsidR="00734A23" w:rsidRDefault="00734A23" w:rsidP="004B3C5C">
            <w:pPr>
              <w:spacing w:line="360" w:lineRule="auto"/>
              <w:jc w:val="center"/>
            </w:pPr>
          </w:p>
        </w:tc>
        <w:tc>
          <w:tcPr>
            <w:tcW w:w="2247" w:type="dxa"/>
            <w:tcBorders>
              <w:top w:val="single" w:sz="4" w:space="0" w:color="auto"/>
              <w:left w:val="nil"/>
              <w:bottom w:val="nil"/>
              <w:right w:val="nil"/>
            </w:tcBorders>
            <w:shd w:val="clear" w:color="auto" w:fill="E7E6E6" w:themeFill="background2"/>
          </w:tcPr>
          <w:p w14:paraId="5CF4BC49" w14:textId="77777777" w:rsidR="00734A23" w:rsidRDefault="00734A23" w:rsidP="004B3C5C">
            <w:pPr>
              <w:spacing w:line="360" w:lineRule="auto"/>
              <w:jc w:val="center"/>
            </w:pPr>
            <w:r>
              <w:t>H</w:t>
            </w:r>
            <w:r w:rsidRPr="00AE184F">
              <w:rPr>
                <w:vertAlign w:val="subscript"/>
              </w:rPr>
              <w:t>2</w:t>
            </w:r>
            <w:r>
              <w:rPr>
                <w:vertAlign w:val="superscript"/>
              </w:rPr>
              <w:t>1</w:t>
            </w:r>
          </w:p>
        </w:tc>
        <w:tc>
          <w:tcPr>
            <w:tcW w:w="2355" w:type="dxa"/>
            <w:tcBorders>
              <w:top w:val="single" w:sz="4" w:space="0" w:color="auto"/>
              <w:left w:val="nil"/>
              <w:bottom w:val="nil"/>
              <w:right w:val="nil"/>
            </w:tcBorders>
            <w:shd w:val="clear" w:color="auto" w:fill="E7E6E6" w:themeFill="background2"/>
          </w:tcPr>
          <w:p w14:paraId="33E83109" w14:textId="77777777" w:rsidR="00734A23" w:rsidRPr="003B74CC" w:rsidRDefault="00734A23" w:rsidP="004B3C5C">
            <w:pPr>
              <w:spacing w:line="360" w:lineRule="auto"/>
              <w:jc w:val="center"/>
              <w:rPr>
                <w:vertAlign w:val="superscript"/>
              </w:rPr>
            </w:pPr>
            <w:r>
              <w:t>H</w:t>
            </w:r>
            <w:r w:rsidRPr="00AE184F">
              <w:rPr>
                <w:vertAlign w:val="subscript"/>
              </w:rPr>
              <w:t>2</w:t>
            </w:r>
            <w:r>
              <w:rPr>
                <w:vertAlign w:val="superscript"/>
              </w:rPr>
              <w:t>2</w:t>
            </w:r>
          </w:p>
        </w:tc>
        <w:tc>
          <w:tcPr>
            <w:tcW w:w="2228" w:type="dxa"/>
            <w:tcBorders>
              <w:top w:val="single" w:sz="4" w:space="0" w:color="auto"/>
              <w:left w:val="nil"/>
              <w:bottom w:val="nil"/>
              <w:right w:val="single" w:sz="4" w:space="0" w:color="auto"/>
            </w:tcBorders>
            <w:shd w:val="clear" w:color="auto" w:fill="E7E6E6" w:themeFill="background2"/>
          </w:tcPr>
          <w:p w14:paraId="6DADEB0D" w14:textId="77777777" w:rsidR="00734A23" w:rsidRPr="000F5D82" w:rsidRDefault="00734A23" w:rsidP="004B3C5C">
            <w:pPr>
              <w:spacing w:line="360" w:lineRule="auto"/>
              <w:jc w:val="center"/>
              <w:rPr>
                <w:vertAlign w:val="superscript"/>
              </w:rPr>
            </w:pPr>
            <w:r>
              <w:t>H</w:t>
            </w:r>
            <w:r w:rsidRPr="00AE184F">
              <w:rPr>
                <w:vertAlign w:val="subscript"/>
              </w:rPr>
              <w:t>2</w:t>
            </w:r>
            <w:r>
              <w:rPr>
                <w:vertAlign w:val="superscript"/>
              </w:rPr>
              <w:t>3</w:t>
            </w:r>
          </w:p>
        </w:tc>
      </w:tr>
      <w:tr w:rsidR="00734A23" w14:paraId="0D4DB6F3" w14:textId="77777777" w:rsidTr="004B3C5C">
        <w:tc>
          <w:tcPr>
            <w:tcW w:w="2520" w:type="dxa"/>
            <w:tcBorders>
              <w:top w:val="nil"/>
              <w:left w:val="single" w:sz="4" w:space="0" w:color="auto"/>
              <w:bottom w:val="nil"/>
              <w:right w:val="nil"/>
            </w:tcBorders>
            <w:shd w:val="clear" w:color="auto" w:fill="E7E6E6" w:themeFill="background2"/>
          </w:tcPr>
          <w:p w14:paraId="7F2113A7" w14:textId="77777777" w:rsidR="00734A23" w:rsidRDefault="00734A23" w:rsidP="004B3C5C">
            <w:pPr>
              <w:spacing w:line="360" w:lineRule="auto"/>
              <w:jc w:val="center"/>
            </w:pPr>
            <w:r>
              <w:t>Independent Variable</w:t>
            </w:r>
          </w:p>
        </w:tc>
        <w:tc>
          <w:tcPr>
            <w:tcW w:w="2247" w:type="dxa"/>
            <w:tcBorders>
              <w:top w:val="nil"/>
              <w:left w:val="nil"/>
              <w:bottom w:val="nil"/>
              <w:right w:val="nil"/>
            </w:tcBorders>
            <w:shd w:val="clear" w:color="auto" w:fill="E7E6E6" w:themeFill="background2"/>
          </w:tcPr>
          <w:p w14:paraId="32FBF30B" w14:textId="77777777" w:rsidR="00734A23" w:rsidRDefault="00734A23" w:rsidP="004B3C5C">
            <w:pPr>
              <w:spacing w:line="360" w:lineRule="auto"/>
              <w:jc w:val="center"/>
            </w:pPr>
            <w:r>
              <w:t>Votes</w:t>
            </w:r>
          </w:p>
        </w:tc>
        <w:tc>
          <w:tcPr>
            <w:tcW w:w="2355" w:type="dxa"/>
            <w:tcBorders>
              <w:top w:val="nil"/>
              <w:left w:val="nil"/>
              <w:bottom w:val="nil"/>
              <w:right w:val="nil"/>
            </w:tcBorders>
            <w:shd w:val="clear" w:color="auto" w:fill="E7E6E6" w:themeFill="background2"/>
          </w:tcPr>
          <w:p w14:paraId="06A7ACC4" w14:textId="77777777" w:rsidR="00734A23" w:rsidRDefault="00734A23" w:rsidP="004B3C5C">
            <w:pPr>
              <w:spacing w:line="360" w:lineRule="auto"/>
              <w:jc w:val="center"/>
            </w:pPr>
            <w:r>
              <w:t>Votes</w:t>
            </w:r>
          </w:p>
        </w:tc>
        <w:tc>
          <w:tcPr>
            <w:tcW w:w="2228" w:type="dxa"/>
            <w:tcBorders>
              <w:top w:val="nil"/>
              <w:left w:val="nil"/>
              <w:bottom w:val="nil"/>
              <w:right w:val="single" w:sz="4" w:space="0" w:color="auto"/>
            </w:tcBorders>
            <w:shd w:val="clear" w:color="auto" w:fill="E7E6E6" w:themeFill="background2"/>
          </w:tcPr>
          <w:p w14:paraId="699B7E6B" w14:textId="77777777" w:rsidR="00734A23" w:rsidRDefault="00734A23" w:rsidP="004B3C5C">
            <w:pPr>
              <w:spacing w:line="360" w:lineRule="auto"/>
              <w:jc w:val="center"/>
            </w:pPr>
            <w:r>
              <w:t>Votes</w:t>
            </w:r>
          </w:p>
        </w:tc>
      </w:tr>
      <w:tr w:rsidR="00734A23" w14:paraId="4206DF9D" w14:textId="77777777" w:rsidTr="004B3C5C">
        <w:trPr>
          <w:trHeight w:val="606"/>
        </w:trPr>
        <w:tc>
          <w:tcPr>
            <w:tcW w:w="2520" w:type="dxa"/>
            <w:tcBorders>
              <w:top w:val="nil"/>
              <w:left w:val="single" w:sz="4" w:space="0" w:color="auto"/>
              <w:bottom w:val="single" w:sz="4" w:space="0" w:color="auto"/>
              <w:right w:val="nil"/>
            </w:tcBorders>
            <w:shd w:val="clear" w:color="auto" w:fill="E7E6E6" w:themeFill="background2"/>
          </w:tcPr>
          <w:p w14:paraId="79704737" w14:textId="77777777" w:rsidR="00734A23" w:rsidRDefault="00734A23" w:rsidP="004B3C5C">
            <w:pPr>
              <w:spacing w:line="360" w:lineRule="auto"/>
              <w:jc w:val="center"/>
            </w:pPr>
          </w:p>
        </w:tc>
        <w:tc>
          <w:tcPr>
            <w:tcW w:w="2247" w:type="dxa"/>
            <w:tcBorders>
              <w:top w:val="nil"/>
              <w:left w:val="nil"/>
              <w:bottom w:val="single" w:sz="4" w:space="0" w:color="auto"/>
              <w:right w:val="nil"/>
            </w:tcBorders>
            <w:shd w:val="clear" w:color="auto" w:fill="E7E6E6" w:themeFill="background2"/>
          </w:tcPr>
          <w:p w14:paraId="6368F8FF" w14:textId="77777777" w:rsidR="00734A23" w:rsidRDefault="00734A23" w:rsidP="004B3C5C">
            <w:pPr>
              <w:spacing w:line="360" w:lineRule="auto"/>
              <w:jc w:val="center"/>
            </w:pPr>
            <w:r>
              <w:t>(</w:t>
            </w:r>
            <w:r w:rsidRPr="003B74CC">
              <w:rPr>
                <w:i/>
                <w:iCs/>
              </w:rPr>
              <w:t>SE</w:t>
            </w:r>
            <w:r>
              <w:t>)</w:t>
            </w:r>
          </w:p>
        </w:tc>
        <w:tc>
          <w:tcPr>
            <w:tcW w:w="2355" w:type="dxa"/>
            <w:tcBorders>
              <w:top w:val="nil"/>
              <w:left w:val="nil"/>
              <w:bottom w:val="single" w:sz="4" w:space="0" w:color="auto"/>
              <w:right w:val="nil"/>
            </w:tcBorders>
            <w:shd w:val="clear" w:color="auto" w:fill="E7E6E6" w:themeFill="background2"/>
          </w:tcPr>
          <w:p w14:paraId="4D253DC1" w14:textId="77777777" w:rsidR="00734A23" w:rsidRDefault="00734A23" w:rsidP="004B3C5C">
            <w:pPr>
              <w:spacing w:line="360" w:lineRule="auto"/>
              <w:jc w:val="center"/>
            </w:pPr>
            <w:r>
              <w:t>(</w:t>
            </w:r>
            <w:r w:rsidRPr="003B74CC">
              <w:rPr>
                <w:i/>
                <w:iCs/>
              </w:rPr>
              <w:t>SE</w:t>
            </w:r>
            <w:r>
              <w:t>)</w:t>
            </w:r>
          </w:p>
        </w:tc>
        <w:tc>
          <w:tcPr>
            <w:tcW w:w="2228" w:type="dxa"/>
            <w:tcBorders>
              <w:top w:val="nil"/>
              <w:left w:val="nil"/>
              <w:bottom w:val="single" w:sz="4" w:space="0" w:color="auto"/>
              <w:right w:val="single" w:sz="4" w:space="0" w:color="auto"/>
            </w:tcBorders>
            <w:shd w:val="clear" w:color="auto" w:fill="E7E6E6" w:themeFill="background2"/>
          </w:tcPr>
          <w:p w14:paraId="28BEFD44" w14:textId="77777777" w:rsidR="00734A23" w:rsidRDefault="00734A23" w:rsidP="004B3C5C">
            <w:pPr>
              <w:spacing w:line="360" w:lineRule="auto"/>
              <w:jc w:val="center"/>
            </w:pPr>
            <w:r>
              <w:t>(</w:t>
            </w:r>
            <w:r w:rsidRPr="003B74CC">
              <w:rPr>
                <w:i/>
                <w:iCs/>
              </w:rPr>
              <w:t>SE</w:t>
            </w:r>
            <w:r>
              <w:t>)</w:t>
            </w:r>
          </w:p>
        </w:tc>
      </w:tr>
      <w:tr w:rsidR="00734A23" w14:paraId="48F7D63F" w14:textId="77777777" w:rsidTr="004B3C5C">
        <w:trPr>
          <w:trHeight w:val="1084"/>
        </w:trPr>
        <w:tc>
          <w:tcPr>
            <w:tcW w:w="2520" w:type="dxa"/>
            <w:tcBorders>
              <w:top w:val="single" w:sz="4" w:space="0" w:color="auto"/>
              <w:left w:val="single" w:sz="4" w:space="0" w:color="auto"/>
              <w:bottom w:val="nil"/>
              <w:right w:val="nil"/>
            </w:tcBorders>
          </w:tcPr>
          <w:p w14:paraId="1CBD4F92" w14:textId="77777777" w:rsidR="00734A23" w:rsidRDefault="00734A23" w:rsidP="004B3C5C">
            <w:pPr>
              <w:spacing w:line="360" w:lineRule="auto"/>
              <w:jc w:val="center"/>
            </w:pPr>
          </w:p>
          <w:p w14:paraId="25A25D19" w14:textId="77777777" w:rsidR="00734A23" w:rsidRDefault="00734A23" w:rsidP="004B3C5C">
            <w:pPr>
              <w:spacing w:line="360" w:lineRule="auto"/>
              <w:jc w:val="center"/>
            </w:pPr>
            <w:r w:rsidRPr="00BD5DE4">
              <w:rPr>
                <w:i/>
                <w:iCs/>
              </w:rPr>
              <w:t>Retweets</w:t>
            </w:r>
            <w:r>
              <w:t xml:space="preserve"> ***</w:t>
            </w:r>
          </w:p>
        </w:tc>
        <w:tc>
          <w:tcPr>
            <w:tcW w:w="2247" w:type="dxa"/>
            <w:tcBorders>
              <w:top w:val="single" w:sz="4" w:space="0" w:color="auto"/>
              <w:left w:val="nil"/>
              <w:bottom w:val="nil"/>
              <w:right w:val="nil"/>
            </w:tcBorders>
          </w:tcPr>
          <w:p w14:paraId="60DA3F61" w14:textId="77777777" w:rsidR="00734A23" w:rsidRDefault="00734A23" w:rsidP="004B3C5C">
            <w:pPr>
              <w:spacing w:line="360" w:lineRule="auto"/>
              <w:jc w:val="center"/>
            </w:pPr>
          </w:p>
          <w:p w14:paraId="2FBE4807" w14:textId="77777777" w:rsidR="00734A23" w:rsidRDefault="00734A23" w:rsidP="004B3C5C">
            <w:pPr>
              <w:spacing w:line="360" w:lineRule="auto"/>
              <w:jc w:val="center"/>
            </w:pPr>
            <w:r w:rsidRPr="000B31CA">
              <w:t xml:space="preserve">29.94381 </w:t>
            </w:r>
            <w:r>
              <w:t>***</w:t>
            </w:r>
          </w:p>
          <w:p w14:paraId="31DDFB94" w14:textId="77777777" w:rsidR="00734A23" w:rsidRDefault="00734A23" w:rsidP="004B3C5C">
            <w:pPr>
              <w:spacing w:line="360" w:lineRule="auto"/>
              <w:jc w:val="center"/>
            </w:pPr>
            <w:r>
              <w:t>(</w:t>
            </w:r>
            <w:r w:rsidRPr="00824FE5">
              <w:t>1</w:t>
            </w:r>
            <w:r>
              <w:t>6</w:t>
            </w:r>
            <w:r w:rsidRPr="00824FE5">
              <w:t>.</w:t>
            </w:r>
            <w:r>
              <w:t>31951) ***</w:t>
            </w:r>
          </w:p>
        </w:tc>
        <w:tc>
          <w:tcPr>
            <w:tcW w:w="2355" w:type="dxa"/>
            <w:tcBorders>
              <w:top w:val="single" w:sz="4" w:space="0" w:color="auto"/>
              <w:left w:val="nil"/>
              <w:bottom w:val="nil"/>
              <w:right w:val="nil"/>
            </w:tcBorders>
          </w:tcPr>
          <w:p w14:paraId="2C0917BC" w14:textId="77777777" w:rsidR="00734A23" w:rsidRDefault="00734A23" w:rsidP="004B3C5C">
            <w:pPr>
              <w:spacing w:line="360" w:lineRule="auto"/>
              <w:jc w:val="center"/>
            </w:pPr>
          </w:p>
          <w:p w14:paraId="73E05F43" w14:textId="77777777" w:rsidR="00734A23" w:rsidRDefault="00734A23" w:rsidP="004B3C5C">
            <w:pPr>
              <w:spacing w:line="360" w:lineRule="auto"/>
              <w:jc w:val="center"/>
            </w:pPr>
            <w:r w:rsidRPr="000B31CA">
              <w:t xml:space="preserve">45.56364 </w:t>
            </w:r>
            <w:r>
              <w:t>***</w:t>
            </w:r>
          </w:p>
          <w:p w14:paraId="01B370A0" w14:textId="77777777" w:rsidR="00734A23" w:rsidRDefault="00734A23" w:rsidP="004B3C5C">
            <w:pPr>
              <w:spacing w:line="360" w:lineRule="auto"/>
              <w:jc w:val="center"/>
            </w:pPr>
            <w:r>
              <w:t>(</w:t>
            </w:r>
            <w:r w:rsidRPr="000B31CA">
              <w:t>94.22037</w:t>
            </w:r>
            <w:r>
              <w:t>) ***</w:t>
            </w:r>
          </w:p>
        </w:tc>
        <w:tc>
          <w:tcPr>
            <w:tcW w:w="2228" w:type="dxa"/>
            <w:tcBorders>
              <w:top w:val="single" w:sz="4" w:space="0" w:color="auto"/>
              <w:left w:val="nil"/>
              <w:bottom w:val="nil"/>
              <w:right w:val="single" w:sz="4" w:space="0" w:color="auto"/>
            </w:tcBorders>
          </w:tcPr>
          <w:p w14:paraId="5BF45129" w14:textId="77777777" w:rsidR="00734A23" w:rsidRDefault="00734A23" w:rsidP="004B3C5C">
            <w:pPr>
              <w:spacing w:line="360" w:lineRule="auto"/>
              <w:jc w:val="center"/>
            </w:pPr>
          </w:p>
          <w:p w14:paraId="46DA8416" w14:textId="77777777" w:rsidR="00734A23" w:rsidRDefault="00734A23" w:rsidP="004B3C5C">
            <w:pPr>
              <w:spacing w:line="360" w:lineRule="auto"/>
              <w:jc w:val="center"/>
            </w:pPr>
            <w:r w:rsidRPr="000F5D82">
              <w:t xml:space="preserve">  36.83663 </w:t>
            </w:r>
            <w:r>
              <w:t>*** (</w:t>
            </w:r>
            <w:r w:rsidRPr="000F5D82">
              <w:t>17.72527</w:t>
            </w:r>
            <w:r>
              <w:t>) ***</w:t>
            </w:r>
          </w:p>
          <w:p w14:paraId="480A29F1" w14:textId="77777777" w:rsidR="00734A23" w:rsidRDefault="00734A23" w:rsidP="004B3C5C">
            <w:pPr>
              <w:spacing w:line="360" w:lineRule="auto"/>
            </w:pPr>
          </w:p>
        </w:tc>
      </w:tr>
      <w:tr w:rsidR="00734A23" w14:paraId="05BC9810" w14:textId="77777777" w:rsidTr="004B3C5C">
        <w:trPr>
          <w:trHeight w:val="792"/>
        </w:trPr>
        <w:tc>
          <w:tcPr>
            <w:tcW w:w="2520" w:type="dxa"/>
            <w:tcBorders>
              <w:top w:val="nil"/>
              <w:left w:val="single" w:sz="4" w:space="0" w:color="auto"/>
              <w:bottom w:val="single" w:sz="4" w:space="0" w:color="auto"/>
              <w:right w:val="nil"/>
            </w:tcBorders>
          </w:tcPr>
          <w:p w14:paraId="66E3049A" w14:textId="77777777" w:rsidR="00734A23" w:rsidRDefault="00734A23" w:rsidP="004B3C5C">
            <w:pPr>
              <w:spacing w:line="360" w:lineRule="auto"/>
              <w:jc w:val="center"/>
            </w:pPr>
          </w:p>
          <w:p w14:paraId="2E34805B" w14:textId="77777777" w:rsidR="00734A23" w:rsidRDefault="00734A23" w:rsidP="004B3C5C">
            <w:pPr>
              <w:spacing w:line="360" w:lineRule="auto"/>
              <w:jc w:val="center"/>
            </w:pPr>
            <w:r w:rsidRPr="00BD5DE4">
              <w:rPr>
                <w:i/>
                <w:iCs/>
              </w:rPr>
              <w:t>Retweets</w:t>
            </w:r>
            <w:r>
              <w:t xml:space="preserve"> ****</w:t>
            </w:r>
          </w:p>
          <w:p w14:paraId="2F2CF8EE" w14:textId="77777777" w:rsidR="00734A23" w:rsidRDefault="00734A23" w:rsidP="004B3C5C">
            <w:pPr>
              <w:spacing w:line="360" w:lineRule="auto"/>
              <w:jc w:val="center"/>
            </w:pPr>
          </w:p>
        </w:tc>
        <w:tc>
          <w:tcPr>
            <w:tcW w:w="2247" w:type="dxa"/>
            <w:tcBorders>
              <w:top w:val="nil"/>
              <w:left w:val="nil"/>
              <w:bottom w:val="single" w:sz="4" w:space="0" w:color="auto"/>
              <w:right w:val="nil"/>
            </w:tcBorders>
          </w:tcPr>
          <w:p w14:paraId="6B567C14" w14:textId="77777777" w:rsidR="00734A23" w:rsidRDefault="00734A23" w:rsidP="004B3C5C">
            <w:pPr>
              <w:spacing w:line="360" w:lineRule="auto"/>
              <w:jc w:val="center"/>
            </w:pPr>
          </w:p>
          <w:p w14:paraId="6FE2FF41" w14:textId="77777777" w:rsidR="00734A23" w:rsidRDefault="00734A23" w:rsidP="004B3C5C">
            <w:pPr>
              <w:spacing w:line="360" w:lineRule="auto"/>
              <w:jc w:val="center"/>
            </w:pPr>
            <w:r w:rsidRPr="000273C3">
              <w:t xml:space="preserve">26.61886 </w:t>
            </w:r>
            <w:r>
              <w:t>****</w:t>
            </w:r>
          </w:p>
          <w:p w14:paraId="72674158" w14:textId="77777777" w:rsidR="00734A23" w:rsidRDefault="00734A23" w:rsidP="004B3C5C">
            <w:pPr>
              <w:spacing w:line="360" w:lineRule="auto"/>
              <w:jc w:val="center"/>
            </w:pPr>
            <w:r>
              <w:t>(17.12761) ****</w:t>
            </w:r>
          </w:p>
        </w:tc>
        <w:tc>
          <w:tcPr>
            <w:tcW w:w="2355" w:type="dxa"/>
            <w:tcBorders>
              <w:top w:val="nil"/>
              <w:left w:val="nil"/>
              <w:bottom w:val="single" w:sz="4" w:space="0" w:color="auto"/>
              <w:right w:val="nil"/>
            </w:tcBorders>
          </w:tcPr>
          <w:p w14:paraId="7E42B9FC" w14:textId="77777777" w:rsidR="00734A23" w:rsidRDefault="00734A23" w:rsidP="004B3C5C">
            <w:pPr>
              <w:spacing w:line="360" w:lineRule="auto"/>
            </w:pPr>
          </w:p>
          <w:p w14:paraId="60E603D6" w14:textId="77777777" w:rsidR="00734A23" w:rsidRDefault="00734A23" w:rsidP="004B3C5C">
            <w:pPr>
              <w:spacing w:line="360" w:lineRule="auto"/>
              <w:jc w:val="center"/>
            </w:pPr>
            <w:r>
              <w:t>19.02234 ****</w:t>
            </w:r>
          </w:p>
          <w:p w14:paraId="732E1C5B" w14:textId="77777777" w:rsidR="00734A23" w:rsidRDefault="00734A23" w:rsidP="004B3C5C">
            <w:pPr>
              <w:spacing w:line="360" w:lineRule="auto"/>
              <w:jc w:val="center"/>
            </w:pPr>
            <w:r>
              <w:t>(7.051871) ****</w:t>
            </w:r>
          </w:p>
        </w:tc>
        <w:tc>
          <w:tcPr>
            <w:tcW w:w="2228" w:type="dxa"/>
            <w:tcBorders>
              <w:top w:val="nil"/>
              <w:left w:val="nil"/>
              <w:bottom w:val="single" w:sz="4" w:space="0" w:color="auto"/>
              <w:right w:val="single" w:sz="4" w:space="0" w:color="auto"/>
            </w:tcBorders>
          </w:tcPr>
          <w:p w14:paraId="4B02B350" w14:textId="77777777" w:rsidR="00734A23" w:rsidRDefault="00734A23" w:rsidP="004B3C5C">
            <w:pPr>
              <w:spacing w:line="360" w:lineRule="auto"/>
              <w:jc w:val="center"/>
            </w:pPr>
          </w:p>
          <w:p w14:paraId="41A5DF66" w14:textId="77777777" w:rsidR="00734A23" w:rsidRDefault="00734A23" w:rsidP="004B3C5C">
            <w:pPr>
              <w:spacing w:line="360" w:lineRule="auto"/>
              <w:jc w:val="center"/>
            </w:pPr>
            <w:r w:rsidRPr="000F5D82">
              <w:t xml:space="preserve">  </w:t>
            </w:r>
            <w:r>
              <w:t>27.59679 ****</w:t>
            </w:r>
          </w:p>
          <w:p w14:paraId="13783602" w14:textId="77777777" w:rsidR="00734A23" w:rsidRDefault="00734A23" w:rsidP="004B3C5C">
            <w:pPr>
              <w:spacing w:line="360" w:lineRule="auto"/>
              <w:jc w:val="center"/>
            </w:pPr>
            <w:r w:rsidRPr="000F5D82">
              <w:t xml:space="preserve"> </w:t>
            </w:r>
            <w:r>
              <w:t>(23.63888) ****</w:t>
            </w:r>
          </w:p>
        </w:tc>
      </w:tr>
      <w:tr w:rsidR="00734A23" w14:paraId="3BBF2CD1" w14:textId="77777777" w:rsidTr="004B3C5C">
        <w:trPr>
          <w:trHeight w:val="385"/>
        </w:trPr>
        <w:tc>
          <w:tcPr>
            <w:tcW w:w="2520" w:type="dxa"/>
            <w:tcBorders>
              <w:top w:val="single" w:sz="4" w:space="0" w:color="auto"/>
              <w:left w:val="single" w:sz="4" w:space="0" w:color="auto"/>
              <w:bottom w:val="nil"/>
              <w:right w:val="nil"/>
            </w:tcBorders>
            <w:shd w:val="clear" w:color="auto" w:fill="F2F2F2" w:themeFill="background1" w:themeFillShade="F2"/>
          </w:tcPr>
          <w:p w14:paraId="2F224D2B" w14:textId="77777777" w:rsidR="00734A23" w:rsidRDefault="00734A23" w:rsidP="004B3C5C">
            <w:pPr>
              <w:spacing w:line="360" w:lineRule="auto"/>
              <w:jc w:val="center"/>
            </w:pPr>
            <w:r>
              <w:t>R</w:t>
            </w:r>
            <w:r w:rsidRPr="007B2E14">
              <w:rPr>
                <w:vertAlign w:val="superscript"/>
              </w:rPr>
              <w:t>2</w:t>
            </w:r>
            <w:r>
              <w:rPr>
                <w:vertAlign w:val="superscript"/>
              </w:rPr>
              <w:t xml:space="preserve"> ***</w:t>
            </w:r>
          </w:p>
        </w:tc>
        <w:tc>
          <w:tcPr>
            <w:tcW w:w="2247" w:type="dxa"/>
            <w:tcBorders>
              <w:top w:val="single" w:sz="4" w:space="0" w:color="auto"/>
              <w:left w:val="nil"/>
              <w:bottom w:val="nil"/>
              <w:right w:val="nil"/>
            </w:tcBorders>
            <w:shd w:val="clear" w:color="auto" w:fill="F2F2F2" w:themeFill="background1" w:themeFillShade="F2"/>
          </w:tcPr>
          <w:p w14:paraId="51F73CAB" w14:textId="77777777" w:rsidR="00734A23" w:rsidRDefault="00734A23" w:rsidP="004B3C5C">
            <w:pPr>
              <w:spacing w:line="360" w:lineRule="auto"/>
              <w:jc w:val="center"/>
            </w:pPr>
            <w:r w:rsidRPr="000F5D82">
              <w:t>0.2191</w:t>
            </w:r>
            <w:r>
              <w:t xml:space="preserve"> ***</w:t>
            </w:r>
          </w:p>
        </w:tc>
        <w:tc>
          <w:tcPr>
            <w:tcW w:w="2355" w:type="dxa"/>
            <w:tcBorders>
              <w:top w:val="single" w:sz="4" w:space="0" w:color="auto"/>
              <w:left w:val="nil"/>
              <w:bottom w:val="nil"/>
              <w:right w:val="nil"/>
            </w:tcBorders>
            <w:shd w:val="clear" w:color="auto" w:fill="F2F2F2" w:themeFill="background1" w:themeFillShade="F2"/>
          </w:tcPr>
          <w:p w14:paraId="14DF41FE" w14:textId="77777777" w:rsidR="00734A23" w:rsidRDefault="00734A23" w:rsidP="004B3C5C">
            <w:pPr>
              <w:spacing w:line="360" w:lineRule="auto"/>
              <w:jc w:val="center"/>
            </w:pPr>
            <w:r w:rsidRPr="000F5D82">
              <w:t>0.229</w:t>
            </w:r>
            <w:r>
              <w:t>0 ***</w:t>
            </w:r>
          </w:p>
        </w:tc>
        <w:tc>
          <w:tcPr>
            <w:tcW w:w="2228" w:type="dxa"/>
            <w:tcBorders>
              <w:top w:val="single" w:sz="4" w:space="0" w:color="auto"/>
              <w:left w:val="nil"/>
              <w:bottom w:val="nil"/>
              <w:right w:val="single" w:sz="4" w:space="0" w:color="auto"/>
            </w:tcBorders>
            <w:shd w:val="clear" w:color="auto" w:fill="F2F2F2" w:themeFill="background1" w:themeFillShade="F2"/>
          </w:tcPr>
          <w:p w14:paraId="53F366E4" w14:textId="77777777" w:rsidR="00734A23" w:rsidRDefault="00734A23" w:rsidP="004B3C5C">
            <w:pPr>
              <w:spacing w:line="360" w:lineRule="auto"/>
              <w:jc w:val="center"/>
            </w:pPr>
            <w:r w:rsidRPr="000F5D82">
              <w:t>0.2819</w:t>
            </w:r>
            <w:r>
              <w:t>***</w:t>
            </w:r>
          </w:p>
        </w:tc>
      </w:tr>
      <w:tr w:rsidR="00734A23" w14:paraId="10BED319" w14:textId="77777777" w:rsidTr="004B3C5C">
        <w:trPr>
          <w:trHeight w:val="669"/>
        </w:trPr>
        <w:tc>
          <w:tcPr>
            <w:tcW w:w="2520" w:type="dxa"/>
            <w:tcBorders>
              <w:top w:val="nil"/>
              <w:left w:val="single" w:sz="4" w:space="0" w:color="auto"/>
              <w:bottom w:val="nil"/>
              <w:right w:val="nil"/>
            </w:tcBorders>
            <w:shd w:val="clear" w:color="auto" w:fill="F2F2F2" w:themeFill="background1" w:themeFillShade="F2"/>
          </w:tcPr>
          <w:p w14:paraId="30272EA9" w14:textId="77777777" w:rsidR="00734A23" w:rsidRPr="0098534F" w:rsidRDefault="00734A23" w:rsidP="004B3C5C">
            <w:pPr>
              <w:spacing w:line="360" w:lineRule="auto"/>
              <w:jc w:val="center"/>
            </w:pPr>
            <w:r>
              <w:rPr>
                <w:i/>
                <w:iCs/>
              </w:rPr>
              <w:t>N</w:t>
            </w:r>
            <w:r>
              <w:t xml:space="preserve"> ***</w:t>
            </w:r>
          </w:p>
          <w:p w14:paraId="6A35CFFA" w14:textId="77777777" w:rsidR="00734A23" w:rsidRPr="0098534F" w:rsidRDefault="00734A23" w:rsidP="004B3C5C">
            <w:pPr>
              <w:spacing w:line="360" w:lineRule="auto"/>
              <w:jc w:val="center"/>
            </w:pPr>
            <w:r>
              <w:t>R</w:t>
            </w:r>
            <w:r w:rsidRPr="007B2E14">
              <w:rPr>
                <w:vertAlign w:val="superscript"/>
              </w:rPr>
              <w:t>2</w:t>
            </w:r>
            <w:r>
              <w:t xml:space="preserve"> ****</w:t>
            </w:r>
          </w:p>
        </w:tc>
        <w:tc>
          <w:tcPr>
            <w:tcW w:w="2247" w:type="dxa"/>
            <w:tcBorders>
              <w:top w:val="nil"/>
              <w:left w:val="nil"/>
              <w:bottom w:val="nil"/>
              <w:right w:val="nil"/>
            </w:tcBorders>
            <w:shd w:val="clear" w:color="auto" w:fill="F2F2F2" w:themeFill="background1" w:themeFillShade="F2"/>
          </w:tcPr>
          <w:p w14:paraId="2D7887B5" w14:textId="77777777" w:rsidR="00734A23" w:rsidRDefault="00734A23" w:rsidP="004B3C5C">
            <w:pPr>
              <w:spacing w:line="360" w:lineRule="auto"/>
              <w:jc w:val="center"/>
            </w:pPr>
            <w:r>
              <w:t>14 ***</w:t>
            </w:r>
          </w:p>
          <w:p w14:paraId="03FAF516" w14:textId="77777777" w:rsidR="00734A23" w:rsidRPr="000F5D82" w:rsidRDefault="00734A23" w:rsidP="004B3C5C">
            <w:pPr>
              <w:spacing w:line="360" w:lineRule="auto"/>
              <w:jc w:val="center"/>
            </w:pPr>
            <w:r>
              <w:t>0.1945 ****</w:t>
            </w:r>
          </w:p>
        </w:tc>
        <w:tc>
          <w:tcPr>
            <w:tcW w:w="2355" w:type="dxa"/>
            <w:tcBorders>
              <w:top w:val="nil"/>
              <w:left w:val="nil"/>
              <w:bottom w:val="nil"/>
              <w:right w:val="nil"/>
            </w:tcBorders>
            <w:shd w:val="clear" w:color="auto" w:fill="F2F2F2" w:themeFill="background1" w:themeFillShade="F2"/>
          </w:tcPr>
          <w:p w14:paraId="4D9907A9" w14:textId="77777777" w:rsidR="00734A23" w:rsidRDefault="00734A23" w:rsidP="004B3C5C">
            <w:pPr>
              <w:spacing w:line="360" w:lineRule="auto"/>
              <w:jc w:val="center"/>
            </w:pPr>
            <w:r>
              <w:t>12 ***</w:t>
            </w:r>
          </w:p>
          <w:p w14:paraId="02C7C0DB" w14:textId="77777777" w:rsidR="00734A23" w:rsidRPr="000F5D82" w:rsidRDefault="00734A23" w:rsidP="004B3C5C">
            <w:pPr>
              <w:spacing w:line="360" w:lineRule="auto"/>
              <w:jc w:val="center"/>
            </w:pPr>
            <w:r w:rsidRPr="00747F0A">
              <w:t>0.4763</w:t>
            </w:r>
            <w:r>
              <w:t xml:space="preserve"> ****</w:t>
            </w:r>
          </w:p>
        </w:tc>
        <w:tc>
          <w:tcPr>
            <w:tcW w:w="2228" w:type="dxa"/>
            <w:tcBorders>
              <w:top w:val="nil"/>
              <w:left w:val="nil"/>
              <w:bottom w:val="nil"/>
              <w:right w:val="single" w:sz="4" w:space="0" w:color="auto"/>
            </w:tcBorders>
            <w:shd w:val="clear" w:color="auto" w:fill="F2F2F2" w:themeFill="background1" w:themeFillShade="F2"/>
          </w:tcPr>
          <w:p w14:paraId="443E3899" w14:textId="77777777" w:rsidR="00734A23" w:rsidRDefault="00734A23" w:rsidP="004B3C5C">
            <w:pPr>
              <w:spacing w:line="360" w:lineRule="auto"/>
              <w:jc w:val="center"/>
            </w:pPr>
            <w:r>
              <w:t>13***</w:t>
            </w:r>
          </w:p>
          <w:p w14:paraId="220E116A" w14:textId="77777777" w:rsidR="00734A23" w:rsidRPr="000F5D82" w:rsidRDefault="00734A23" w:rsidP="004B3C5C">
            <w:pPr>
              <w:spacing w:line="360" w:lineRule="auto"/>
              <w:jc w:val="center"/>
            </w:pPr>
            <w:r w:rsidRPr="00747F0A">
              <w:t>0.1315</w:t>
            </w:r>
            <w:r>
              <w:t xml:space="preserve"> ****</w:t>
            </w:r>
          </w:p>
        </w:tc>
      </w:tr>
      <w:tr w:rsidR="00734A23" w14:paraId="4651B956" w14:textId="77777777" w:rsidTr="004B3C5C">
        <w:trPr>
          <w:trHeight w:val="387"/>
        </w:trPr>
        <w:tc>
          <w:tcPr>
            <w:tcW w:w="2520" w:type="dxa"/>
            <w:tcBorders>
              <w:top w:val="nil"/>
              <w:left w:val="single" w:sz="4" w:space="0" w:color="auto"/>
              <w:bottom w:val="single" w:sz="4" w:space="0" w:color="auto"/>
              <w:right w:val="nil"/>
            </w:tcBorders>
            <w:shd w:val="clear" w:color="auto" w:fill="F2F2F2" w:themeFill="background1" w:themeFillShade="F2"/>
          </w:tcPr>
          <w:p w14:paraId="03B5136B" w14:textId="77777777" w:rsidR="00734A23" w:rsidRPr="00B73500" w:rsidRDefault="00734A23" w:rsidP="004B3C5C">
            <w:pPr>
              <w:spacing w:line="360" w:lineRule="auto"/>
              <w:jc w:val="center"/>
            </w:pPr>
            <w:r>
              <w:rPr>
                <w:i/>
                <w:iCs/>
              </w:rPr>
              <w:t>N</w:t>
            </w:r>
            <w:r>
              <w:t xml:space="preserve"> ****</w:t>
            </w:r>
          </w:p>
        </w:tc>
        <w:tc>
          <w:tcPr>
            <w:tcW w:w="2247" w:type="dxa"/>
            <w:tcBorders>
              <w:top w:val="nil"/>
              <w:left w:val="nil"/>
              <w:bottom w:val="single" w:sz="4" w:space="0" w:color="auto"/>
              <w:right w:val="nil"/>
            </w:tcBorders>
            <w:shd w:val="clear" w:color="auto" w:fill="F2F2F2" w:themeFill="background1" w:themeFillShade="F2"/>
          </w:tcPr>
          <w:p w14:paraId="54B69F3A" w14:textId="77777777" w:rsidR="00734A23" w:rsidRDefault="00734A23" w:rsidP="004B3C5C">
            <w:pPr>
              <w:spacing w:line="360" w:lineRule="auto"/>
              <w:jc w:val="center"/>
            </w:pPr>
            <w:r>
              <w:t>12 ****</w:t>
            </w:r>
          </w:p>
        </w:tc>
        <w:tc>
          <w:tcPr>
            <w:tcW w:w="2355" w:type="dxa"/>
            <w:tcBorders>
              <w:top w:val="nil"/>
              <w:left w:val="nil"/>
              <w:bottom w:val="single" w:sz="4" w:space="0" w:color="auto"/>
              <w:right w:val="nil"/>
            </w:tcBorders>
            <w:shd w:val="clear" w:color="auto" w:fill="F2F2F2" w:themeFill="background1" w:themeFillShade="F2"/>
          </w:tcPr>
          <w:p w14:paraId="7D07461D" w14:textId="77777777" w:rsidR="00734A23" w:rsidRDefault="00734A23" w:rsidP="004B3C5C">
            <w:pPr>
              <w:spacing w:line="360" w:lineRule="auto"/>
              <w:jc w:val="center"/>
            </w:pPr>
            <w:r>
              <w:t>10 ****</w:t>
            </w:r>
          </w:p>
        </w:tc>
        <w:tc>
          <w:tcPr>
            <w:tcW w:w="2228" w:type="dxa"/>
            <w:tcBorders>
              <w:top w:val="nil"/>
              <w:left w:val="nil"/>
              <w:bottom w:val="single" w:sz="4" w:space="0" w:color="auto"/>
              <w:right w:val="single" w:sz="4" w:space="0" w:color="auto"/>
            </w:tcBorders>
            <w:shd w:val="clear" w:color="auto" w:fill="F2F2F2" w:themeFill="background1" w:themeFillShade="F2"/>
          </w:tcPr>
          <w:p w14:paraId="1B19C2C5" w14:textId="77777777" w:rsidR="00734A23" w:rsidRDefault="00734A23" w:rsidP="004B3C5C">
            <w:pPr>
              <w:spacing w:line="360" w:lineRule="auto"/>
              <w:jc w:val="center"/>
            </w:pPr>
            <w:r>
              <w:t>11 ****</w:t>
            </w:r>
          </w:p>
        </w:tc>
      </w:tr>
      <w:tr w:rsidR="00734A23" w14:paraId="28CC0D5D" w14:textId="77777777" w:rsidTr="004B3C5C">
        <w:trPr>
          <w:trHeight w:val="914"/>
        </w:trPr>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3FF3CE" w14:textId="77777777" w:rsidR="00734A23" w:rsidRPr="00BB43F2" w:rsidRDefault="00734A23" w:rsidP="004B3C5C">
            <w:pPr>
              <w:spacing w:line="360" w:lineRule="auto"/>
              <w:rPr>
                <w:b/>
                <w:bCs/>
                <w:sz w:val="20"/>
                <w:szCs w:val="20"/>
                <w:u w:val="single"/>
              </w:rPr>
            </w:pPr>
            <w:r w:rsidRPr="00BB43F2">
              <w:rPr>
                <w:b/>
                <w:bCs/>
                <w:sz w:val="20"/>
                <w:szCs w:val="20"/>
                <w:u w:val="single"/>
              </w:rPr>
              <w:t>Notes</w:t>
            </w:r>
          </w:p>
          <w:p w14:paraId="5878FE53" w14:textId="77777777" w:rsidR="00734A23" w:rsidRDefault="00734A23" w:rsidP="004B3C5C">
            <w:pPr>
              <w:spacing w:line="360" w:lineRule="auto"/>
              <w:rPr>
                <w:sz w:val="20"/>
                <w:szCs w:val="20"/>
              </w:rPr>
            </w:pPr>
            <w:r w:rsidRPr="00675131">
              <w:rPr>
                <w:b/>
                <w:bCs/>
                <w:sz w:val="20"/>
                <w:szCs w:val="20"/>
              </w:rPr>
              <w:t>H</w:t>
            </w:r>
            <w:r w:rsidRPr="00675131">
              <w:rPr>
                <w:b/>
                <w:bCs/>
                <w:sz w:val="20"/>
                <w:szCs w:val="20"/>
                <w:vertAlign w:val="subscript"/>
              </w:rPr>
              <w:t>2</w:t>
            </w:r>
            <w:r w:rsidRPr="00675131">
              <w:rPr>
                <w:sz w:val="20"/>
                <w:szCs w:val="20"/>
              </w:rPr>
              <w:t xml:space="preserve">: Political candidates who send more </w:t>
            </w:r>
            <w:r w:rsidRPr="00675131">
              <w:rPr>
                <w:b/>
                <w:bCs/>
                <w:sz w:val="20"/>
                <w:szCs w:val="20"/>
              </w:rPr>
              <w:t>retweets</w:t>
            </w:r>
            <w:r w:rsidRPr="00675131">
              <w:rPr>
                <w:sz w:val="20"/>
                <w:szCs w:val="20"/>
              </w:rPr>
              <w:t xml:space="preserve"> during an election campaign will win more votes.</w:t>
            </w:r>
          </w:p>
          <w:p w14:paraId="34C1A3D9" w14:textId="77777777" w:rsidR="00734A23" w:rsidRPr="003367AD" w:rsidRDefault="00734A23" w:rsidP="004B3C5C">
            <w:pPr>
              <w:spacing w:line="360" w:lineRule="auto"/>
              <w:rPr>
                <w:sz w:val="20"/>
                <w:szCs w:val="20"/>
              </w:rPr>
            </w:pPr>
            <w:r w:rsidRPr="00675131">
              <w:rPr>
                <w:b/>
                <w:bCs/>
                <w:sz w:val="20"/>
                <w:szCs w:val="20"/>
              </w:rPr>
              <w:t>H</w:t>
            </w:r>
            <w:r w:rsidRPr="00675131">
              <w:rPr>
                <w:b/>
                <w:bCs/>
                <w:sz w:val="20"/>
                <w:szCs w:val="20"/>
                <w:vertAlign w:val="subscript"/>
              </w:rPr>
              <w:t>2</w:t>
            </w:r>
            <w:r>
              <w:rPr>
                <w:b/>
                <w:bCs/>
                <w:sz w:val="20"/>
                <w:szCs w:val="20"/>
                <w:vertAlign w:val="superscript"/>
              </w:rPr>
              <w:t>1</w:t>
            </w:r>
            <w:r>
              <w:rPr>
                <w:b/>
                <w:bCs/>
                <w:sz w:val="20"/>
                <w:szCs w:val="20"/>
              </w:rPr>
              <w:t xml:space="preserve"> </w:t>
            </w:r>
            <w:r w:rsidRPr="003367AD">
              <w:rPr>
                <w:sz w:val="20"/>
                <w:szCs w:val="20"/>
              </w:rPr>
              <w:t>Progressive Conservative Party of Ontario (PCPO)</w:t>
            </w:r>
          </w:p>
          <w:p w14:paraId="03B792AE" w14:textId="77777777" w:rsidR="00734A23" w:rsidRPr="003367AD" w:rsidRDefault="00734A23" w:rsidP="004B3C5C">
            <w:pPr>
              <w:spacing w:line="360" w:lineRule="auto"/>
              <w:rPr>
                <w:sz w:val="20"/>
                <w:szCs w:val="20"/>
              </w:rPr>
            </w:pPr>
            <w:r w:rsidRPr="00675131">
              <w:rPr>
                <w:b/>
                <w:bCs/>
                <w:sz w:val="20"/>
                <w:szCs w:val="20"/>
              </w:rPr>
              <w:t>H</w:t>
            </w:r>
            <w:r w:rsidRPr="00675131">
              <w:rPr>
                <w:b/>
                <w:bCs/>
                <w:sz w:val="20"/>
                <w:szCs w:val="20"/>
                <w:vertAlign w:val="subscript"/>
              </w:rPr>
              <w:t>2</w:t>
            </w:r>
            <w:r>
              <w:rPr>
                <w:b/>
                <w:bCs/>
                <w:sz w:val="20"/>
                <w:szCs w:val="20"/>
                <w:vertAlign w:val="superscript"/>
              </w:rPr>
              <w:t>2</w:t>
            </w:r>
            <w:r>
              <w:rPr>
                <w:b/>
                <w:bCs/>
                <w:sz w:val="20"/>
                <w:szCs w:val="20"/>
              </w:rPr>
              <w:t xml:space="preserve"> </w:t>
            </w:r>
            <w:r w:rsidRPr="003367AD">
              <w:rPr>
                <w:sz w:val="20"/>
                <w:szCs w:val="20"/>
              </w:rPr>
              <w:t>Ontario</w:t>
            </w:r>
            <w:r>
              <w:rPr>
                <w:sz w:val="20"/>
                <w:szCs w:val="20"/>
              </w:rPr>
              <w:t xml:space="preserve"> New Democratic Party</w:t>
            </w:r>
            <w:r w:rsidRPr="003367AD">
              <w:rPr>
                <w:sz w:val="20"/>
                <w:szCs w:val="20"/>
              </w:rPr>
              <w:t xml:space="preserve"> (</w:t>
            </w:r>
            <w:r>
              <w:rPr>
                <w:sz w:val="20"/>
                <w:szCs w:val="20"/>
              </w:rPr>
              <w:t>ONDP</w:t>
            </w:r>
            <w:r w:rsidRPr="003367AD">
              <w:rPr>
                <w:sz w:val="20"/>
                <w:szCs w:val="20"/>
              </w:rPr>
              <w:t>)</w:t>
            </w:r>
          </w:p>
          <w:p w14:paraId="3482BE55" w14:textId="77777777" w:rsidR="00734A23" w:rsidRPr="003367AD" w:rsidRDefault="00734A23" w:rsidP="004B3C5C">
            <w:pPr>
              <w:spacing w:line="360" w:lineRule="auto"/>
              <w:rPr>
                <w:sz w:val="20"/>
                <w:szCs w:val="20"/>
              </w:rPr>
            </w:pPr>
            <w:r w:rsidRPr="00675131">
              <w:rPr>
                <w:b/>
                <w:bCs/>
                <w:sz w:val="20"/>
                <w:szCs w:val="20"/>
              </w:rPr>
              <w:t>H</w:t>
            </w:r>
            <w:r w:rsidRPr="00675131">
              <w:rPr>
                <w:b/>
                <w:bCs/>
                <w:sz w:val="20"/>
                <w:szCs w:val="20"/>
                <w:vertAlign w:val="subscript"/>
              </w:rPr>
              <w:t>2</w:t>
            </w:r>
            <w:r w:rsidRPr="003367AD">
              <w:rPr>
                <w:b/>
                <w:bCs/>
                <w:sz w:val="20"/>
                <w:szCs w:val="20"/>
                <w:vertAlign w:val="superscript"/>
              </w:rPr>
              <w:t>3</w:t>
            </w:r>
            <w:r>
              <w:rPr>
                <w:b/>
                <w:bCs/>
                <w:sz w:val="20"/>
                <w:szCs w:val="20"/>
              </w:rPr>
              <w:t xml:space="preserve"> </w:t>
            </w:r>
            <w:r w:rsidRPr="003367AD">
              <w:rPr>
                <w:sz w:val="20"/>
                <w:szCs w:val="20"/>
              </w:rPr>
              <w:t xml:space="preserve">Ontario </w:t>
            </w:r>
            <w:r>
              <w:rPr>
                <w:sz w:val="20"/>
                <w:szCs w:val="20"/>
              </w:rPr>
              <w:t xml:space="preserve">Liberal Party </w:t>
            </w:r>
            <w:r w:rsidRPr="003367AD">
              <w:rPr>
                <w:sz w:val="20"/>
                <w:szCs w:val="20"/>
              </w:rPr>
              <w:t>(</w:t>
            </w:r>
            <w:r>
              <w:rPr>
                <w:sz w:val="20"/>
                <w:szCs w:val="20"/>
              </w:rPr>
              <w:t>OLP</w:t>
            </w:r>
            <w:r w:rsidRPr="003367AD">
              <w:rPr>
                <w:sz w:val="20"/>
                <w:szCs w:val="20"/>
              </w:rPr>
              <w:t>)</w:t>
            </w:r>
          </w:p>
          <w:p w14:paraId="16CC814C" w14:textId="77777777" w:rsidR="00734A23" w:rsidRDefault="00734A23" w:rsidP="004B3C5C">
            <w:pPr>
              <w:spacing w:line="360" w:lineRule="auto"/>
              <w:rPr>
                <w:sz w:val="20"/>
                <w:szCs w:val="20"/>
              </w:rPr>
            </w:pPr>
            <w:r>
              <w:rPr>
                <w:sz w:val="20"/>
                <w:szCs w:val="20"/>
              </w:rPr>
              <w:t>*** Model 3</w:t>
            </w:r>
          </w:p>
          <w:p w14:paraId="3E88FFD9" w14:textId="77777777" w:rsidR="00734A23" w:rsidRPr="00675131" w:rsidRDefault="00734A23" w:rsidP="004B3C5C">
            <w:pPr>
              <w:spacing w:line="360" w:lineRule="auto"/>
              <w:rPr>
                <w:sz w:val="20"/>
                <w:szCs w:val="20"/>
              </w:rPr>
            </w:pPr>
            <w:r>
              <w:rPr>
                <w:sz w:val="20"/>
                <w:szCs w:val="20"/>
              </w:rPr>
              <w:t>**** Model 4</w:t>
            </w:r>
          </w:p>
        </w:tc>
      </w:tr>
    </w:tbl>
    <w:p w14:paraId="372960FB" w14:textId="77777777" w:rsidR="00734A23" w:rsidRDefault="00734A23" w:rsidP="00734A23">
      <w:pPr>
        <w:spacing w:line="480" w:lineRule="auto"/>
      </w:pPr>
    </w:p>
    <w:p w14:paraId="497A5FDD" w14:textId="77777777" w:rsidR="00734A23" w:rsidRDefault="00734A23" w:rsidP="00734A23">
      <w:pPr>
        <w:spacing w:line="480" w:lineRule="auto"/>
      </w:pPr>
    </w:p>
    <w:p w14:paraId="76BC8397" w14:textId="77777777" w:rsidR="00734A23" w:rsidRDefault="00734A23" w:rsidP="00734A23">
      <w:pPr>
        <w:spacing w:line="480" w:lineRule="auto"/>
      </w:pPr>
    </w:p>
    <w:p w14:paraId="39111DAF" w14:textId="77777777" w:rsidR="00734A23" w:rsidRDefault="00734A23" w:rsidP="00734A23">
      <w:pPr>
        <w:spacing w:line="480" w:lineRule="auto"/>
      </w:pPr>
    </w:p>
    <w:p w14:paraId="60AC96B8" w14:textId="77777777" w:rsidR="00734A23" w:rsidRDefault="00734A23" w:rsidP="00734A23">
      <w:pPr>
        <w:spacing w:line="480" w:lineRule="auto"/>
      </w:pPr>
      <w:r w:rsidRPr="00222FD5">
        <w:rPr>
          <w:u w:val="single"/>
        </w:rPr>
        <w:lastRenderedPageBreak/>
        <w:t>Discussion</w:t>
      </w:r>
    </w:p>
    <w:p w14:paraId="581EEA02" w14:textId="77777777" w:rsidR="00734A23" w:rsidRDefault="00734A23" w:rsidP="00734A23">
      <w:pPr>
        <w:spacing w:line="480" w:lineRule="auto"/>
      </w:pPr>
      <w:r>
        <w:tab/>
        <w:t>The results outlined in the previous section demonstrate considerable evidence of a relationship between a political candidate’s activity on Twitter and their electoral performance. While the multivariate regression model for H</w:t>
      </w:r>
      <w:r w:rsidRPr="00FD2831">
        <w:rPr>
          <w:vertAlign w:val="subscript"/>
        </w:rPr>
        <w:t>1</w:t>
      </w:r>
      <w:r>
        <w:rPr>
          <w:vertAlign w:val="subscript"/>
        </w:rPr>
        <w:t>a</w:t>
      </w:r>
      <w:r>
        <w:t xml:space="preserve"> * demonstrates a relationship between Twitter presence and votes received the lack of control group limits the interpretations that can be made of the findings. Due to the ubiquity of Twitter, not enough candidates lacked a social media presence to allow for a control group to be established. As such, the finding relating to H</w:t>
      </w:r>
      <w:r w:rsidRPr="00F75FBC">
        <w:rPr>
          <w:vertAlign w:val="subscript"/>
        </w:rPr>
        <w:t>1b</w:t>
      </w:r>
      <w:r>
        <w:t xml:space="preserve"> are of increased importance. Both model 1 * and model 2 ** highlight a disparity in the relationship between Twitter activity and votes received. This finding is consistent, if not slightly below, the consensus within the academic literature. For example, Bright et. al (2020) found that increasing tweets sent during a campaign by a factor of 10 increase the votes for non-incumbent candidates by 270 or approximately half a percentage point – while model 2 ** found this increase to be 170 </w:t>
      </w:r>
    </w:p>
    <w:p w14:paraId="35042E69" w14:textId="77777777" w:rsidR="00734A23" w:rsidRDefault="00734A23" w:rsidP="00734A23">
      <w:pPr>
        <w:spacing w:line="480" w:lineRule="auto"/>
      </w:pPr>
      <w:r>
        <w:t xml:space="preserve">votes (half a percentage point of the average vote from this studies’ sample is 182 votes).  </w:t>
      </w:r>
    </w:p>
    <w:tbl>
      <w:tblPr>
        <w:tblStyle w:val="TableGrid"/>
        <w:tblpPr w:leftFromText="180" w:rightFromText="180" w:vertAnchor="text" w:horzAnchor="margin" w:tblpY="187"/>
        <w:tblW w:w="0" w:type="auto"/>
        <w:tblLook w:val="04A0" w:firstRow="1" w:lastRow="0" w:firstColumn="1" w:lastColumn="0" w:noHBand="0" w:noVBand="1"/>
      </w:tblPr>
      <w:tblGrid>
        <w:gridCol w:w="1870"/>
        <w:gridCol w:w="1870"/>
        <w:gridCol w:w="1870"/>
        <w:gridCol w:w="1870"/>
        <w:gridCol w:w="1870"/>
      </w:tblGrid>
      <w:tr w:rsidR="00734A23" w14:paraId="3AAEB732" w14:textId="77777777" w:rsidTr="004B3C5C">
        <w:tc>
          <w:tcPr>
            <w:tcW w:w="9350" w:type="dxa"/>
            <w:gridSpan w:val="5"/>
            <w:tcBorders>
              <w:bottom w:val="single" w:sz="4" w:space="0" w:color="auto"/>
            </w:tcBorders>
            <w:shd w:val="clear" w:color="auto" w:fill="F2F2F2" w:themeFill="background1" w:themeFillShade="F2"/>
          </w:tcPr>
          <w:p w14:paraId="7C754A42" w14:textId="77777777" w:rsidR="00734A23" w:rsidRDefault="00734A23" w:rsidP="004B3C5C">
            <w:pPr>
              <w:spacing w:line="360" w:lineRule="auto"/>
            </w:pPr>
            <w:r>
              <w:t xml:space="preserve">Table 3.1. </w:t>
            </w:r>
            <w:r w:rsidRPr="006A2818">
              <w:rPr>
                <w:i/>
                <w:iCs/>
              </w:rPr>
              <w:t>Summary of 2018 &amp; 2022 Ontario Provincial Electoral Results</w:t>
            </w:r>
            <w:r>
              <w:t xml:space="preserve"> </w:t>
            </w:r>
          </w:p>
        </w:tc>
      </w:tr>
      <w:tr w:rsidR="00734A23" w14:paraId="25FFE6C1" w14:textId="77777777" w:rsidTr="004B3C5C">
        <w:tc>
          <w:tcPr>
            <w:tcW w:w="1870" w:type="dxa"/>
            <w:tcBorders>
              <w:right w:val="nil"/>
            </w:tcBorders>
            <w:shd w:val="clear" w:color="auto" w:fill="F2F2F2" w:themeFill="background1" w:themeFillShade="F2"/>
          </w:tcPr>
          <w:p w14:paraId="5BB6BE52" w14:textId="77777777" w:rsidR="00734A23" w:rsidRDefault="00734A23" w:rsidP="004B3C5C">
            <w:pPr>
              <w:spacing w:line="360" w:lineRule="auto"/>
              <w:jc w:val="center"/>
            </w:pPr>
            <w:r>
              <w:t>Party</w:t>
            </w:r>
          </w:p>
        </w:tc>
        <w:tc>
          <w:tcPr>
            <w:tcW w:w="1870" w:type="dxa"/>
            <w:tcBorders>
              <w:left w:val="nil"/>
              <w:bottom w:val="single" w:sz="4" w:space="0" w:color="auto"/>
              <w:right w:val="nil"/>
            </w:tcBorders>
            <w:shd w:val="clear" w:color="auto" w:fill="F2F2F2" w:themeFill="background1" w:themeFillShade="F2"/>
          </w:tcPr>
          <w:p w14:paraId="0CB042BC" w14:textId="77777777" w:rsidR="00734A23" w:rsidRDefault="00734A23" w:rsidP="004B3C5C">
            <w:pPr>
              <w:spacing w:line="360" w:lineRule="auto"/>
              <w:jc w:val="center"/>
            </w:pPr>
            <w:r>
              <w:t>2018 Election</w:t>
            </w:r>
          </w:p>
        </w:tc>
        <w:tc>
          <w:tcPr>
            <w:tcW w:w="1870" w:type="dxa"/>
            <w:tcBorders>
              <w:left w:val="nil"/>
              <w:bottom w:val="single" w:sz="4" w:space="0" w:color="auto"/>
              <w:right w:val="nil"/>
            </w:tcBorders>
            <w:shd w:val="clear" w:color="auto" w:fill="F2F2F2" w:themeFill="background1" w:themeFillShade="F2"/>
          </w:tcPr>
          <w:p w14:paraId="60FCCBD6" w14:textId="77777777" w:rsidR="00734A23" w:rsidRDefault="00734A23" w:rsidP="004B3C5C">
            <w:pPr>
              <w:spacing w:line="360" w:lineRule="auto"/>
              <w:jc w:val="center"/>
            </w:pPr>
            <w:r>
              <w:t>2022 Election</w:t>
            </w:r>
          </w:p>
        </w:tc>
        <w:tc>
          <w:tcPr>
            <w:tcW w:w="1870" w:type="dxa"/>
            <w:tcBorders>
              <w:left w:val="nil"/>
              <w:bottom w:val="single" w:sz="4" w:space="0" w:color="auto"/>
              <w:right w:val="nil"/>
            </w:tcBorders>
            <w:shd w:val="clear" w:color="auto" w:fill="F2F2F2" w:themeFill="background1" w:themeFillShade="F2"/>
          </w:tcPr>
          <w:p w14:paraId="5D24AAA8" w14:textId="77777777" w:rsidR="00734A23" w:rsidRDefault="00734A23" w:rsidP="004B3C5C">
            <w:pPr>
              <w:spacing w:line="360" w:lineRule="auto"/>
              <w:jc w:val="center"/>
            </w:pPr>
            <w:r>
              <w:t>Vote Change</w:t>
            </w:r>
          </w:p>
        </w:tc>
        <w:tc>
          <w:tcPr>
            <w:tcW w:w="1870" w:type="dxa"/>
            <w:tcBorders>
              <w:left w:val="nil"/>
              <w:bottom w:val="single" w:sz="4" w:space="0" w:color="auto"/>
            </w:tcBorders>
            <w:shd w:val="clear" w:color="auto" w:fill="F2F2F2" w:themeFill="background1" w:themeFillShade="F2"/>
          </w:tcPr>
          <w:p w14:paraId="62B3C7AB" w14:textId="77777777" w:rsidR="00734A23" w:rsidRDefault="00734A23" w:rsidP="004B3C5C">
            <w:pPr>
              <w:spacing w:line="360" w:lineRule="auto"/>
              <w:jc w:val="center"/>
            </w:pPr>
            <w:r>
              <w:t>Percentage Change</w:t>
            </w:r>
          </w:p>
        </w:tc>
      </w:tr>
      <w:tr w:rsidR="00734A23" w14:paraId="6331A9ED" w14:textId="77777777" w:rsidTr="004B3C5C">
        <w:tc>
          <w:tcPr>
            <w:tcW w:w="1870" w:type="dxa"/>
          </w:tcPr>
          <w:p w14:paraId="654448B6" w14:textId="77777777" w:rsidR="00734A23" w:rsidRPr="00CB1998" w:rsidRDefault="00734A23" w:rsidP="004B3C5C">
            <w:pPr>
              <w:spacing w:line="360" w:lineRule="auto"/>
              <w:rPr>
                <w:i/>
                <w:iCs/>
              </w:rPr>
            </w:pPr>
            <w:r w:rsidRPr="00CB1998">
              <w:rPr>
                <w:i/>
                <w:iCs/>
              </w:rPr>
              <w:t>PCPO</w:t>
            </w:r>
          </w:p>
        </w:tc>
        <w:tc>
          <w:tcPr>
            <w:tcW w:w="1870" w:type="dxa"/>
            <w:tcBorders>
              <w:right w:val="nil"/>
            </w:tcBorders>
          </w:tcPr>
          <w:p w14:paraId="07A65CB7" w14:textId="77777777" w:rsidR="00734A23" w:rsidRDefault="00734A23" w:rsidP="004B3C5C">
            <w:pPr>
              <w:spacing w:line="360" w:lineRule="auto"/>
              <w:jc w:val="center"/>
            </w:pPr>
            <w:r w:rsidRPr="002D7428">
              <w:t>2</w:t>
            </w:r>
            <w:r>
              <w:t>,</w:t>
            </w:r>
            <w:r w:rsidRPr="002D7428">
              <w:t>326</w:t>
            </w:r>
            <w:r>
              <w:t>,</w:t>
            </w:r>
            <w:r w:rsidRPr="002D7428">
              <w:t>523</w:t>
            </w:r>
          </w:p>
        </w:tc>
        <w:tc>
          <w:tcPr>
            <w:tcW w:w="1870" w:type="dxa"/>
            <w:tcBorders>
              <w:left w:val="nil"/>
              <w:right w:val="nil"/>
            </w:tcBorders>
          </w:tcPr>
          <w:p w14:paraId="143F8FDB" w14:textId="77777777" w:rsidR="00734A23" w:rsidRDefault="00734A23" w:rsidP="004B3C5C">
            <w:pPr>
              <w:spacing w:line="360" w:lineRule="auto"/>
              <w:jc w:val="center"/>
            </w:pPr>
            <w:r w:rsidRPr="002D7428">
              <w:t>1,912,651</w:t>
            </w:r>
          </w:p>
        </w:tc>
        <w:tc>
          <w:tcPr>
            <w:tcW w:w="1870" w:type="dxa"/>
            <w:tcBorders>
              <w:left w:val="nil"/>
              <w:right w:val="nil"/>
            </w:tcBorders>
          </w:tcPr>
          <w:p w14:paraId="657E80F3" w14:textId="77777777" w:rsidR="00734A23" w:rsidRDefault="00734A23" w:rsidP="004B3C5C">
            <w:pPr>
              <w:spacing w:line="360" w:lineRule="auto"/>
              <w:jc w:val="center"/>
            </w:pPr>
            <w:r w:rsidRPr="002D7428">
              <w:t>-413,872</w:t>
            </w:r>
          </w:p>
        </w:tc>
        <w:tc>
          <w:tcPr>
            <w:tcW w:w="1870" w:type="dxa"/>
            <w:tcBorders>
              <w:left w:val="nil"/>
            </w:tcBorders>
          </w:tcPr>
          <w:p w14:paraId="4125D38D" w14:textId="77777777" w:rsidR="00734A23" w:rsidRDefault="00734A23" w:rsidP="004B3C5C">
            <w:pPr>
              <w:spacing w:line="360" w:lineRule="auto"/>
              <w:jc w:val="center"/>
            </w:pPr>
            <w:r>
              <w:t>-17.79%</w:t>
            </w:r>
          </w:p>
        </w:tc>
      </w:tr>
      <w:tr w:rsidR="00734A23" w14:paraId="5B9CA875" w14:textId="77777777" w:rsidTr="004B3C5C">
        <w:tc>
          <w:tcPr>
            <w:tcW w:w="1870" w:type="dxa"/>
          </w:tcPr>
          <w:p w14:paraId="0350E3E9" w14:textId="77777777" w:rsidR="00734A23" w:rsidRPr="00CB1998" w:rsidRDefault="00734A23" w:rsidP="004B3C5C">
            <w:pPr>
              <w:spacing w:line="360" w:lineRule="auto"/>
              <w:rPr>
                <w:i/>
                <w:iCs/>
              </w:rPr>
            </w:pPr>
            <w:r w:rsidRPr="00CB1998">
              <w:rPr>
                <w:i/>
                <w:iCs/>
              </w:rPr>
              <w:t>ONDP</w:t>
            </w:r>
          </w:p>
        </w:tc>
        <w:tc>
          <w:tcPr>
            <w:tcW w:w="1870" w:type="dxa"/>
            <w:tcBorders>
              <w:right w:val="nil"/>
            </w:tcBorders>
          </w:tcPr>
          <w:p w14:paraId="514409F5" w14:textId="77777777" w:rsidR="00734A23" w:rsidRDefault="00734A23" w:rsidP="004B3C5C">
            <w:pPr>
              <w:spacing w:line="360" w:lineRule="auto"/>
              <w:jc w:val="center"/>
            </w:pPr>
            <w:r>
              <w:t>1,929,966</w:t>
            </w:r>
          </w:p>
        </w:tc>
        <w:tc>
          <w:tcPr>
            <w:tcW w:w="1870" w:type="dxa"/>
            <w:tcBorders>
              <w:left w:val="nil"/>
              <w:right w:val="nil"/>
            </w:tcBorders>
          </w:tcPr>
          <w:p w14:paraId="3A3ECB35" w14:textId="77777777" w:rsidR="00734A23" w:rsidRDefault="00734A23" w:rsidP="004B3C5C">
            <w:pPr>
              <w:spacing w:line="360" w:lineRule="auto"/>
              <w:jc w:val="center"/>
            </w:pPr>
            <w:r>
              <w:t>1,111,318</w:t>
            </w:r>
          </w:p>
        </w:tc>
        <w:tc>
          <w:tcPr>
            <w:tcW w:w="1870" w:type="dxa"/>
            <w:tcBorders>
              <w:left w:val="nil"/>
              <w:right w:val="nil"/>
            </w:tcBorders>
          </w:tcPr>
          <w:p w14:paraId="16067A83" w14:textId="77777777" w:rsidR="00734A23" w:rsidRDefault="00734A23" w:rsidP="004B3C5C">
            <w:pPr>
              <w:spacing w:line="360" w:lineRule="auto"/>
              <w:jc w:val="center"/>
            </w:pPr>
            <w:r>
              <w:t>-818,648</w:t>
            </w:r>
          </w:p>
        </w:tc>
        <w:tc>
          <w:tcPr>
            <w:tcW w:w="1870" w:type="dxa"/>
            <w:tcBorders>
              <w:left w:val="nil"/>
            </w:tcBorders>
          </w:tcPr>
          <w:p w14:paraId="1196A74B" w14:textId="77777777" w:rsidR="00734A23" w:rsidRDefault="00734A23" w:rsidP="004B3C5C">
            <w:pPr>
              <w:spacing w:line="360" w:lineRule="auto"/>
              <w:jc w:val="center"/>
            </w:pPr>
            <w:r>
              <w:t>-42.42%</w:t>
            </w:r>
          </w:p>
        </w:tc>
      </w:tr>
      <w:tr w:rsidR="00734A23" w14:paraId="6B892792" w14:textId="77777777" w:rsidTr="004B3C5C">
        <w:tc>
          <w:tcPr>
            <w:tcW w:w="1870" w:type="dxa"/>
          </w:tcPr>
          <w:p w14:paraId="23F783E5" w14:textId="77777777" w:rsidR="00734A23" w:rsidRPr="00CB1998" w:rsidRDefault="00734A23" w:rsidP="004B3C5C">
            <w:pPr>
              <w:spacing w:line="360" w:lineRule="auto"/>
              <w:rPr>
                <w:i/>
                <w:iCs/>
              </w:rPr>
            </w:pPr>
            <w:r w:rsidRPr="00CB1998">
              <w:rPr>
                <w:i/>
                <w:iCs/>
              </w:rPr>
              <w:t>OLP</w:t>
            </w:r>
          </w:p>
        </w:tc>
        <w:tc>
          <w:tcPr>
            <w:tcW w:w="1870" w:type="dxa"/>
            <w:tcBorders>
              <w:bottom w:val="single" w:sz="4" w:space="0" w:color="auto"/>
              <w:right w:val="nil"/>
            </w:tcBorders>
          </w:tcPr>
          <w:p w14:paraId="698BB78A" w14:textId="77777777" w:rsidR="00734A23" w:rsidRDefault="00734A23" w:rsidP="004B3C5C">
            <w:pPr>
              <w:spacing w:line="360" w:lineRule="auto"/>
              <w:jc w:val="center"/>
            </w:pPr>
            <w:r>
              <w:t>1,214,346</w:t>
            </w:r>
          </w:p>
        </w:tc>
        <w:tc>
          <w:tcPr>
            <w:tcW w:w="1870" w:type="dxa"/>
            <w:tcBorders>
              <w:left w:val="nil"/>
              <w:bottom w:val="single" w:sz="4" w:space="0" w:color="auto"/>
              <w:right w:val="nil"/>
            </w:tcBorders>
          </w:tcPr>
          <w:p w14:paraId="300D10AF" w14:textId="77777777" w:rsidR="00734A23" w:rsidRDefault="00734A23" w:rsidP="004B3C5C">
            <w:pPr>
              <w:spacing w:line="360" w:lineRule="auto"/>
              <w:jc w:val="center"/>
            </w:pPr>
            <w:r>
              <w:t>1,117,051</w:t>
            </w:r>
          </w:p>
        </w:tc>
        <w:tc>
          <w:tcPr>
            <w:tcW w:w="1870" w:type="dxa"/>
            <w:tcBorders>
              <w:left w:val="nil"/>
              <w:bottom w:val="single" w:sz="4" w:space="0" w:color="auto"/>
              <w:right w:val="nil"/>
            </w:tcBorders>
          </w:tcPr>
          <w:p w14:paraId="0045E477" w14:textId="77777777" w:rsidR="00734A23" w:rsidRDefault="00734A23" w:rsidP="004B3C5C">
            <w:pPr>
              <w:spacing w:line="360" w:lineRule="auto"/>
              <w:jc w:val="center"/>
            </w:pPr>
            <w:r>
              <w:t>-7,295</w:t>
            </w:r>
          </w:p>
        </w:tc>
        <w:tc>
          <w:tcPr>
            <w:tcW w:w="1870" w:type="dxa"/>
            <w:tcBorders>
              <w:left w:val="nil"/>
              <w:bottom w:val="single" w:sz="4" w:space="0" w:color="auto"/>
            </w:tcBorders>
          </w:tcPr>
          <w:p w14:paraId="145A695F" w14:textId="77777777" w:rsidR="00734A23" w:rsidRDefault="00734A23" w:rsidP="004B3C5C">
            <w:pPr>
              <w:spacing w:line="360" w:lineRule="auto"/>
              <w:jc w:val="center"/>
            </w:pPr>
            <w:r>
              <w:t>-0.65%</w:t>
            </w:r>
          </w:p>
        </w:tc>
      </w:tr>
      <w:tr w:rsidR="00734A23" w14:paraId="0FB355A7" w14:textId="77777777" w:rsidTr="004B3C5C">
        <w:tc>
          <w:tcPr>
            <w:tcW w:w="1870" w:type="dxa"/>
          </w:tcPr>
          <w:p w14:paraId="07BFEDE1" w14:textId="77777777" w:rsidR="00734A23" w:rsidRPr="00CB1998" w:rsidRDefault="00734A23" w:rsidP="004B3C5C">
            <w:pPr>
              <w:spacing w:line="360" w:lineRule="auto"/>
              <w:rPr>
                <w:i/>
                <w:iCs/>
              </w:rPr>
            </w:pPr>
            <w:r w:rsidRPr="00CB1998">
              <w:rPr>
                <w:i/>
                <w:iCs/>
              </w:rPr>
              <w:t>Other</w:t>
            </w:r>
          </w:p>
        </w:tc>
        <w:tc>
          <w:tcPr>
            <w:tcW w:w="1870" w:type="dxa"/>
            <w:tcBorders>
              <w:right w:val="nil"/>
            </w:tcBorders>
          </w:tcPr>
          <w:p w14:paraId="691594B2" w14:textId="77777777" w:rsidR="00734A23" w:rsidRDefault="00734A23" w:rsidP="004B3C5C">
            <w:pPr>
              <w:spacing w:line="360" w:lineRule="auto"/>
              <w:jc w:val="center"/>
            </w:pPr>
            <w:r>
              <w:t>364,025</w:t>
            </w:r>
          </w:p>
        </w:tc>
        <w:tc>
          <w:tcPr>
            <w:tcW w:w="1870" w:type="dxa"/>
            <w:tcBorders>
              <w:left w:val="nil"/>
              <w:right w:val="nil"/>
            </w:tcBorders>
          </w:tcPr>
          <w:p w14:paraId="7BF66733" w14:textId="77777777" w:rsidR="00734A23" w:rsidRDefault="00734A23" w:rsidP="004B3C5C">
            <w:pPr>
              <w:spacing w:line="360" w:lineRule="auto"/>
              <w:jc w:val="center"/>
            </w:pPr>
            <w:r>
              <w:t>304,308</w:t>
            </w:r>
          </w:p>
        </w:tc>
        <w:tc>
          <w:tcPr>
            <w:tcW w:w="1870" w:type="dxa"/>
            <w:tcBorders>
              <w:left w:val="nil"/>
              <w:right w:val="nil"/>
            </w:tcBorders>
          </w:tcPr>
          <w:p w14:paraId="36E1F701" w14:textId="77777777" w:rsidR="00734A23" w:rsidRDefault="00734A23" w:rsidP="004B3C5C">
            <w:pPr>
              <w:spacing w:line="360" w:lineRule="auto"/>
              <w:jc w:val="center"/>
            </w:pPr>
            <w:r>
              <w:t>-59,717</w:t>
            </w:r>
          </w:p>
        </w:tc>
        <w:tc>
          <w:tcPr>
            <w:tcW w:w="1870" w:type="dxa"/>
            <w:tcBorders>
              <w:left w:val="nil"/>
            </w:tcBorders>
          </w:tcPr>
          <w:p w14:paraId="15CDB55C" w14:textId="77777777" w:rsidR="00734A23" w:rsidRDefault="00734A23" w:rsidP="004B3C5C">
            <w:pPr>
              <w:spacing w:line="360" w:lineRule="auto"/>
              <w:jc w:val="center"/>
            </w:pPr>
            <w:r>
              <w:t>-19.62%</w:t>
            </w:r>
          </w:p>
        </w:tc>
      </w:tr>
      <w:tr w:rsidR="00734A23" w14:paraId="36678513" w14:textId="77777777" w:rsidTr="004B3C5C">
        <w:tc>
          <w:tcPr>
            <w:tcW w:w="1870" w:type="dxa"/>
            <w:shd w:val="clear" w:color="auto" w:fill="F2F2F2" w:themeFill="background1" w:themeFillShade="F2"/>
          </w:tcPr>
          <w:p w14:paraId="6DE9A93A" w14:textId="77777777" w:rsidR="00734A23" w:rsidRDefault="00734A23" w:rsidP="004B3C5C">
            <w:pPr>
              <w:spacing w:line="360" w:lineRule="auto"/>
            </w:pPr>
            <w:r>
              <w:t>Total</w:t>
            </w:r>
          </w:p>
        </w:tc>
        <w:tc>
          <w:tcPr>
            <w:tcW w:w="1870" w:type="dxa"/>
            <w:tcBorders>
              <w:right w:val="nil"/>
            </w:tcBorders>
            <w:shd w:val="clear" w:color="auto" w:fill="F2F2F2" w:themeFill="background1" w:themeFillShade="F2"/>
          </w:tcPr>
          <w:p w14:paraId="380E13CD" w14:textId="77777777" w:rsidR="00734A23" w:rsidRDefault="00734A23" w:rsidP="004B3C5C">
            <w:pPr>
              <w:spacing w:line="360" w:lineRule="auto"/>
              <w:jc w:val="center"/>
            </w:pPr>
            <w:r>
              <w:t>5,744,860</w:t>
            </w:r>
          </w:p>
        </w:tc>
        <w:tc>
          <w:tcPr>
            <w:tcW w:w="1870" w:type="dxa"/>
            <w:tcBorders>
              <w:left w:val="nil"/>
              <w:right w:val="nil"/>
            </w:tcBorders>
            <w:shd w:val="clear" w:color="auto" w:fill="F2F2F2" w:themeFill="background1" w:themeFillShade="F2"/>
          </w:tcPr>
          <w:p w14:paraId="0F1A7186" w14:textId="77777777" w:rsidR="00734A23" w:rsidRDefault="00734A23" w:rsidP="004B3C5C">
            <w:pPr>
              <w:spacing w:line="360" w:lineRule="auto"/>
              <w:jc w:val="center"/>
            </w:pPr>
            <w:r>
              <w:t>4,445,328</w:t>
            </w:r>
          </w:p>
        </w:tc>
        <w:tc>
          <w:tcPr>
            <w:tcW w:w="1870" w:type="dxa"/>
            <w:tcBorders>
              <w:left w:val="nil"/>
              <w:right w:val="nil"/>
            </w:tcBorders>
            <w:shd w:val="clear" w:color="auto" w:fill="F2F2F2" w:themeFill="background1" w:themeFillShade="F2"/>
          </w:tcPr>
          <w:p w14:paraId="0481D130" w14:textId="77777777" w:rsidR="00734A23" w:rsidRDefault="00734A23" w:rsidP="004B3C5C">
            <w:pPr>
              <w:spacing w:line="360" w:lineRule="auto"/>
              <w:jc w:val="center"/>
            </w:pPr>
            <w:r>
              <w:t>-1,299,532</w:t>
            </w:r>
          </w:p>
        </w:tc>
        <w:tc>
          <w:tcPr>
            <w:tcW w:w="1870" w:type="dxa"/>
            <w:tcBorders>
              <w:left w:val="nil"/>
            </w:tcBorders>
            <w:shd w:val="clear" w:color="auto" w:fill="F2F2F2" w:themeFill="background1" w:themeFillShade="F2"/>
          </w:tcPr>
          <w:p w14:paraId="0342D810" w14:textId="77777777" w:rsidR="00734A23" w:rsidRDefault="00734A23" w:rsidP="004B3C5C">
            <w:pPr>
              <w:spacing w:line="360" w:lineRule="auto"/>
              <w:jc w:val="center"/>
            </w:pPr>
            <w:r>
              <w:t>-22.62%</w:t>
            </w:r>
          </w:p>
        </w:tc>
      </w:tr>
    </w:tbl>
    <w:p w14:paraId="3C690AA3" w14:textId="77777777" w:rsidR="00734A23" w:rsidRDefault="00734A23" w:rsidP="00734A23">
      <w:pPr>
        <w:spacing w:line="480" w:lineRule="auto"/>
        <w:ind w:firstLine="720"/>
      </w:pPr>
    </w:p>
    <w:p w14:paraId="24C9ECCD" w14:textId="77777777" w:rsidR="00734A23" w:rsidRDefault="00734A23" w:rsidP="00734A23">
      <w:pPr>
        <w:spacing w:line="480" w:lineRule="auto"/>
        <w:ind w:firstLine="720"/>
      </w:pPr>
      <w:r>
        <w:t>Unlike the benefit of name recognition effects highlighted by H</w:t>
      </w:r>
      <w:r w:rsidRPr="00FD2831">
        <w:rPr>
          <w:vertAlign w:val="subscript"/>
        </w:rPr>
        <w:t>1</w:t>
      </w:r>
      <w:r>
        <w:rPr>
          <w:vertAlign w:val="subscript"/>
        </w:rPr>
        <w:t>a</w:t>
      </w:r>
      <w:r w:rsidRPr="00DB16F3">
        <w:t xml:space="preserve"> </w:t>
      </w:r>
      <w:r>
        <w:t>&amp; H</w:t>
      </w:r>
      <w:r w:rsidRPr="00FD2831">
        <w:rPr>
          <w:vertAlign w:val="subscript"/>
        </w:rPr>
        <w:t>1</w:t>
      </w:r>
      <w:r>
        <w:rPr>
          <w:vertAlign w:val="subscript"/>
        </w:rPr>
        <w:t>b</w:t>
      </w:r>
      <w:r>
        <w:t xml:space="preserve">, the attributing of broadcast effects to Twitter behaviour is less conclusive. Model 3 *** attributes the greatest vote increase per one unit increase in retweets to the ONDP (45 votes), followed by the PCPO (30 </w:t>
      </w:r>
      <w:r>
        <w:lastRenderedPageBreak/>
        <w:t xml:space="preserve">votes) and OLP (36 votes). This finding conflicts with that of the academic literature, which postulates broadcast effects are more significant for parties with increased shares of popular support. The theory holds that if party X’s policies are more broadly supported by the electorate than that of party Y, broadcasting party Xs’ messaging will result in a larger vote divided for a candidate running under Party X, than would be expended for a candidate running under the banner of Party Y, broadcasting Party Ys’ less popular messaging. Using this logic, based off the raw popular vote, PCPO candidates should have benefited the most from broadcast messaging, followed by the Liberals and ONDP respectfully. This was not the case. However, when controlling for incumbency, as done in model 4 ****, the results better align with academic consensus. </w:t>
      </w:r>
    </w:p>
    <w:p w14:paraId="718E494A" w14:textId="77777777" w:rsidR="00734A23" w:rsidRDefault="00734A23" w:rsidP="00734A23">
      <w:pPr>
        <w:spacing w:line="480" w:lineRule="auto"/>
        <w:ind w:firstLine="720"/>
      </w:pPr>
      <w:r>
        <w:t xml:space="preserve">Take for example Table 3.1, which highlights voter turnout and electoral support for each party during the 2018 and 2022 Ontario provincial election. Nearly 23% fewer voters turned out in 2022 than in 2018, which translates to nearly 1.3 million votes. Across the board, the three major parties all lost support from the previous election cycle. The Ontario NDP were the most disadvantaged by decreased turnout – shedding 42% of their popular support from the previous election. Notwithstanding the inability of their leader to win his own seat, the Ontario Liberal Party’s vote share is rather unchanged between 2018 and 2022. Using the framing provided by the analysis of model 4 ****, it could be argued that the benefit of broadcast messaging resulted in less of an overall decline in electoral support. OLP candidates yielded a vote dividend of 27 votes per retweet and lost less than a percent of popular support; PCPO candidates received a vote dividend of 26 votes per retweet and lost 17% of the popular vote; and ONDP candidate only yielded a vote dividend of 19 votes per retweet while losing more than 40% of their popular support. However, this interpretation is not without its flaws – specifically, the variation of </w:t>
      </w:r>
      <w:r>
        <w:lastRenderedPageBreak/>
        <w:t>observations in the sample should be noted. Nevertheless, adopting this analytical lens aligns the findings for H</w:t>
      </w:r>
      <w:r w:rsidRPr="00AE184F">
        <w:rPr>
          <w:vertAlign w:val="subscript"/>
        </w:rPr>
        <w:t>2</w:t>
      </w:r>
      <w:r>
        <w:t xml:space="preserve"> **** with the academic literature pertaining to broadcast effects.</w:t>
      </w:r>
    </w:p>
    <w:p w14:paraId="7A9E8D65" w14:textId="77777777" w:rsidR="00734A23" w:rsidRDefault="00734A23" w:rsidP="00734A23">
      <w:pPr>
        <w:spacing w:line="480" w:lineRule="auto"/>
        <w:rPr>
          <w:u w:val="single"/>
        </w:rPr>
      </w:pPr>
      <w:r w:rsidRPr="004A24EB">
        <w:rPr>
          <w:u w:val="single"/>
        </w:rPr>
        <w:t>Conclusion</w:t>
      </w:r>
    </w:p>
    <w:p w14:paraId="2FA36317" w14:textId="77777777" w:rsidR="00734A23" w:rsidRDefault="00734A23" w:rsidP="00734A23">
      <w:pPr>
        <w:spacing w:line="480" w:lineRule="auto"/>
      </w:pPr>
      <w:r>
        <w:tab/>
        <w:t xml:space="preserve">To conclude, the cultural influence of social media on elections can no longer be ignored. Unlike most other methods of campaign message broadcasting, Twitter is essentially free. In theory, this makes it an excellent tool for small, grassroot campaigns who may lack the funding to traditional political advertising. The findings of this paper largely support the consensus amongst the academic literature pertaining to social media and electoral outcomes. Specifically, this paper confirms the impact of name recognition effects yielded from Twitter usages as found by Bright, et. al (2020); Broockman &amp; Green (2014); and Kobayashi &amp; Ichifuji (2015). In a First-Past-the-Post system, such as Ontario, small changes in vote share can lead to massive electoral changes. Therefore, the non-insignificant vote dividend as a result of name recognition effects is of particular interest on FPTP systems. The impact of broadcast effects was less pronounced in the sample. Nevertheless, as outlined in the previous section, the impact of broadcast effects was not non-existent. As the societal influence of Twitter increases, the finding of this paper will increase in importance with each passing election. </w:t>
      </w:r>
    </w:p>
    <w:p w14:paraId="2A1D2586" w14:textId="77777777" w:rsidR="00734A23" w:rsidRDefault="00734A23" w:rsidP="00734A23">
      <w:pPr>
        <w:spacing w:line="480" w:lineRule="auto"/>
      </w:pPr>
    </w:p>
    <w:p w14:paraId="3B355A0D" w14:textId="77777777" w:rsidR="00734A23" w:rsidRDefault="00734A23" w:rsidP="00734A23">
      <w:pPr>
        <w:spacing w:line="480" w:lineRule="auto"/>
      </w:pPr>
    </w:p>
    <w:p w14:paraId="08CC6C6F" w14:textId="77777777" w:rsidR="00734A23" w:rsidRDefault="00734A23" w:rsidP="00734A23">
      <w:pPr>
        <w:spacing w:line="480" w:lineRule="auto"/>
      </w:pPr>
    </w:p>
    <w:p w14:paraId="25688B48" w14:textId="77777777" w:rsidR="00734A23" w:rsidRDefault="00734A23" w:rsidP="00734A23">
      <w:pPr>
        <w:spacing w:line="480" w:lineRule="auto"/>
      </w:pPr>
    </w:p>
    <w:p w14:paraId="36B42266" w14:textId="77777777" w:rsidR="00734A23" w:rsidRDefault="00734A23" w:rsidP="00734A23">
      <w:pPr>
        <w:spacing w:line="480" w:lineRule="auto"/>
      </w:pPr>
    </w:p>
    <w:p w14:paraId="37986358" w14:textId="77777777" w:rsidR="00734A23" w:rsidRDefault="00734A23" w:rsidP="00734A23">
      <w:pPr>
        <w:spacing w:line="480" w:lineRule="auto"/>
      </w:pPr>
    </w:p>
    <w:p w14:paraId="6C27FAF6" w14:textId="77777777" w:rsidR="00734A23" w:rsidRDefault="00734A23" w:rsidP="00734A23">
      <w:pPr>
        <w:spacing w:line="480" w:lineRule="auto"/>
      </w:pPr>
    </w:p>
    <w:p w14:paraId="54D3A0F5" w14:textId="77777777" w:rsidR="00734A23" w:rsidRPr="00D8530C" w:rsidRDefault="00734A23" w:rsidP="00734A23">
      <w:pPr>
        <w:spacing w:line="480" w:lineRule="auto"/>
        <w:jc w:val="center"/>
      </w:pPr>
      <w:r w:rsidRPr="00D8530C">
        <w:rPr>
          <w:u w:val="single"/>
        </w:rPr>
        <w:lastRenderedPageBreak/>
        <w:t>Bibliography</w:t>
      </w:r>
    </w:p>
    <w:p w14:paraId="55D2BEEE" w14:textId="77777777" w:rsidR="00734A23" w:rsidRDefault="00734A23" w:rsidP="00734A23">
      <w:pPr>
        <w:spacing w:line="480" w:lineRule="auto"/>
        <w:ind w:left="720" w:hanging="720"/>
      </w:pPr>
      <w:r>
        <w:rPr>
          <w:color w:val="000000" w:themeColor="text1"/>
          <w:lang w:val="en-US"/>
        </w:rPr>
        <w:t xml:space="preserve">Boulianne, S. &amp; Larsson, A. (2021). “Engagement with candidate posts on Twitter, Instagram, and Facebook during the 2019 election”. </w:t>
      </w:r>
      <w:r w:rsidRPr="00B73C3A">
        <w:rPr>
          <w:i/>
          <w:iCs/>
          <w:color w:val="000000" w:themeColor="text1"/>
          <w:lang w:val="en-US"/>
        </w:rPr>
        <w:t>MacEwan University</w:t>
      </w:r>
      <w:r>
        <w:rPr>
          <w:color w:val="000000" w:themeColor="text1"/>
          <w:lang w:val="en-US"/>
        </w:rPr>
        <w:t xml:space="preserve">, Edmonton Alberta: </w:t>
      </w:r>
      <w:hyperlink r:id="rId7" w:history="1">
        <w:r w:rsidRPr="00905450">
          <w:rPr>
            <w:rStyle w:val="Hyperlink"/>
            <w:lang w:val="en-US"/>
          </w:rPr>
          <w:t>https://doi.org/10.1177/14614448211009504</w:t>
        </w:r>
      </w:hyperlink>
      <w:r>
        <w:rPr>
          <w:color w:val="000000" w:themeColor="text1"/>
          <w:lang w:val="en-US"/>
        </w:rPr>
        <w:t xml:space="preserve">  </w:t>
      </w:r>
    </w:p>
    <w:p w14:paraId="10F387D5" w14:textId="77777777" w:rsidR="00734A23" w:rsidRDefault="00734A23" w:rsidP="00734A23">
      <w:pPr>
        <w:spacing w:line="480" w:lineRule="auto"/>
        <w:ind w:left="720" w:hanging="720"/>
        <w:rPr>
          <w:color w:val="000000" w:themeColor="text1"/>
          <w:lang w:val="en-US"/>
        </w:rPr>
      </w:pPr>
      <w:r>
        <w:t xml:space="preserve">Bright, J., Hale, S., Ganesh, B., </w:t>
      </w:r>
      <w:proofErr w:type="spellStart"/>
      <w:r>
        <w:t>Bulovskye</w:t>
      </w:r>
      <w:proofErr w:type="spellEnd"/>
      <w:r>
        <w:t xml:space="preserve">, A., Margetts, H., &amp; Howard, P. (2020). “Does Campaigning on Social Media Make a Difference? Evidence of Twitter Use During the 2015 and 2017 U.K. Elections”. </w:t>
      </w:r>
      <w:r>
        <w:rPr>
          <w:i/>
          <w:iCs/>
        </w:rPr>
        <w:t>Oxford Internet Institute</w:t>
      </w:r>
      <w:r>
        <w:t xml:space="preserve">, Oxford United Kingdom: </w:t>
      </w:r>
      <w:hyperlink r:id="rId8" w:history="1">
        <w:r w:rsidRPr="00905450">
          <w:rPr>
            <w:rStyle w:val="Hyperlink"/>
            <w:lang w:val="en-US"/>
          </w:rPr>
          <w:t>https://doi.org/10.1177/0093650219872394</w:t>
        </w:r>
      </w:hyperlink>
      <w:r>
        <w:rPr>
          <w:color w:val="000000" w:themeColor="text1"/>
          <w:lang w:val="en-US"/>
        </w:rPr>
        <w:t xml:space="preserve"> </w:t>
      </w:r>
    </w:p>
    <w:p w14:paraId="69AEA1E9" w14:textId="77777777" w:rsidR="00734A23" w:rsidRDefault="00734A23" w:rsidP="00734A23">
      <w:pPr>
        <w:spacing w:line="480" w:lineRule="auto"/>
        <w:ind w:left="720" w:hanging="720"/>
      </w:pPr>
      <w:r>
        <w:t xml:space="preserve">Christensen, C. (2013). “Wave-Ridding and Hashtag-Jumping: Twitter, minority ‘third parties’ and the 2012 US elections”. </w:t>
      </w:r>
      <w:r w:rsidRPr="00B73C3A">
        <w:rPr>
          <w:i/>
          <w:iCs/>
        </w:rPr>
        <w:t>Information, Communication, &amp; Society</w:t>
      </w:r>
      <w:r>
        <w:t xml:space="preserve">, 16 (5): </w:t>
      </w:r>
      <w:hyperlink r:id="rId9" w:history="1">
        <w:r w:rsidRPr="00905450">
          <w:rPr>
            <w:rStyle w:val="Hyperlink"/>
          </w:rPr>
          <w:t>http://dx.doi.org/10.1080/1369118X.2013.783609</w:t>
        </w:r>
      </w:hyperlink>
      <w:r>
        <w:t xml:space="preserve"> </w:t>
      </w:r>
    </w:p>
    <w:p w14:paraId="6B8655F0" w14:textId="77777777" w:rsidR="00734A23" w:rsidRDefault="00734A23" w:rsidP="00734A23">
      <w:pPr>
        <w:spacing w:line="480" w:lineRule="auto"/>
        <w:ind w:left="720" w:hanging="720"/>
        <w:rPr>
          <w:lang w:val="en-US"/>
        </w:rPr>
      </w:pPr>
      <w:r>
        <w:t>DiGrazia, J.</w:t>
      </w:r>
      <w:r>
        <w:rPr>
          <w:lang w:val="en-US"/>
        </w:rPr>
        <w:t xml:space="preserve">, McKelvey, K., </w:t>
      </w:r>
      <w:proofErr w:type="spellStart"/>
      <w:r>
        <w:rPr>
          <w:lang w:val="en-US"/>
        </w:rPr>
        <w:t>Bollen</w:t>
      </w:r>
      <w:proofErr w:type="spellEnd"/>
      <w:r>
        <w:rPr>
          <w:lang w:val="en-US"/>
        </w:rPr>
        <w:t>, J., &amp; Rojas, F. (2013). “</w:t>
      </w:r>
      <w:r w:rsidRPr="003B0204">
        <w:rPr>
          <w:lang w:val="en-US"/>
        </w:rPr>
        <w:t>More Tweets, More Votes: Social Media as a Quantitative</w:t>
      </w:r>
      <w:r>
        <w:rPr>
          <w:lang w:val="en-US"/>
        </w:rPr>
        <w:t xml:space="preserve"> </w:t>
      </w:r>
      <w:r w:rsidRPr="003B0204">
        <w:rPr>
          <w:lang w:val="en-US"/>
        </w:rPr>
        <w:t>Indicator of Political Behavior</w:t>
      </w:r>
      <w:r>
        <w:rPr>
          <w:lang w:val="en-US"/>
        </w:rPr>
        <w:t xml:space="preserve">”. </w:t>
      </w:r>
      <w:proofErr w:type="spellStart"/>
      <w:r w:rsidRPr="00F721B1">
        <w:rPr>
          <w:lang w:val="en-US"/>
        </w:rPr>
        <w:t>PLoS</w:t>
      </w:r>
      <w:proofErr w:type="spellEnd"/>
      <w:r w:rsidRPr="00F721B1">
        <w:rPr>
          <w:lang w:val="en-US"/>
        </w:rPr>
        <w:t xml:space="preserve"> ONE 8</w:t>
      </w:r>
      <w:r>
        <w:rPr>
          <w:lang w:val="en-US"/>
        </w:rPr>
        <w:t xml:space="preserve"> </w:t>
      </w:r>
      <w:r w:rsidRPr="00F721B1">
        <w:rPr>
          <w:lang w:val="en-US"/>
        </w:rPr>
        <w:t>(11)</w:t>
      </w:r>
      <w:r>
        <w:rPr>
          <w:lang w:val="en-US"/>
        </w:rPr>
        <w:t xml:space="preserve">: </w:t>
      </w:r>
      <w:hyperlink r:id="rId10" w:history="1">
        <w:r w:rsidRPr="00905450">
          <w:rPr>
            <w:rStyle w:val="Hyperlink"/>
            <w:lang w:val="en-US"/>
          </w:rPr>
          <w:t>https://www.ncbi.nlm.nih.gov/pmc/articles/PMC3842288/</w:t>
        </w:r>
      </w:hyperlink>
      <w:r>
        <w:rPr>
          <w:lang w:val="en-US"/>
        </w:rPr>
        <w:t xml:space="preserve"> </w:t>
      </w:r>
    </w:p>
    <w:p w14:paraId="1B9BC06A" w14:textId="77777777" w:rsidR="00734A23" w:rsidRDefault="00734A23" w:rsidP="00734A23">
      <w:pPr>
        <w:spacing w:line="480" w:lineRule="auto"/>
        <w:ind w:left="720" w:hanging="720"/>
        <w:rPr>
          <w:lang w:val="en-US"/>
        </w:rPr>
      </w:pPr>
      <w:r>
        <w:rPr>
          <w:lang w:val="en-US"/>
        </w:rPr>
        <w:t xml:space="preserve">Graham, T., Jackson, D., &amp; Broersma, M. (2014). “New Platform, old habits? Candidates’ use of Twitter during the 2010 British and Dutch general election campaigns”. New Media &amp; Society, </w:t>
      </w:r>
      <w:r w:rsidRPr="00592E6F">
        <w:rPr>
          <w:lang w:val="en-US"/>
        </w:rPr>
        <w:t>DOI: 10.1177/1461444814546728</w:t>
      </w:r>
      <w:r>
        <w:rPr>
          <w:lang w:val="en-US"/>
        </w:rPr>
        <w:t xml:space="preserve"> </w:t>
      </w:r>
    </w:p>
    <w:p w14:paraId="41316F76" w14:textId="77777777" w:rsidR="00734A23" w:rsidRDefault="00734A23" w:rsidP="00734A23">
      <w:pPr>
        <w:spacing w:line="480" w:lineRule="auto"/>
        <w:ind w:left="720" w:hanging="720"/>
        <w:rPr>
          <w:lang w:val="en-US"/>
        </w:rPr>
      </w:pPr>
      <w:r>
        <w:rPr>
          <w:lang w:val="en-US"/>
        </w:rPr>
        <w:t xml:space="preserve">Fujiwara, T., Müller, K., &amp; Schwarz, C (2022). “The Effect of Social Media on Elections: Evidence from the United States”. </w:t>
      </w:r>
      <w:r w:rsidRPr="00B006B1">
        <w:rPr>
          <w:i/>
          <w:iCs/>
          <w:lang w:val="en-US"/>
        </w:rPr>
        <w:t>NBER</w:t>
      </w:r>
      <w:r>
        <w:rPr>
          <w:lang w:val="en-US"/>
        </w:rPr>
        <w:t xml:space="preserve">: </w:t>
      </w:r>
      <w:hyperlink r:id="rId11" w:history="1">
        <w:r w:rsidRPr="00905450">
          <w:rPr>
            <w:rStyle w:val="Hyperlink"/>
            <w:lang w:val="en-US"/>
          </w:rPr>
          <w:t>https://www.nber.org/papers/w28849</w:t>
        </w:r>
      </w:hyperlink>
      <w:r>
        <w:rPr>
          <w:lang w:val="en-US"/>
        </w:rPr>
        <w:t xml:space="preserve"> </w:t>
      </w:r>
    </w:p>
    <w:p w14:paraId="208DCA40" w14:textId="77777777" w:rsidR="00734A23" w:rsidRDefault="00734A23" w:rsidP="00734A23">
      <w:pPr>
        <w:spacing w:line="480" w:lineRule="auto"/>
        <w:ind w:left="720" w:hanging="720"/>
        <w:rPr>
          <w:lang w:val="en-US"/>
        </w:rPr>
      </w:pPr>
      <w:r>
        <w:rPr>
          <w:lang w:val="en-US"/>
        </w:rPr>
        <w:t>Kobayashi T. &amp; Ichifuji, Y. (2015). “</w:t>
      </w:r>
      <w:r w:rsidRPr="003B778D">
        <w:rPr>
          <w:lang w:val="en-US"/>
        </w:rPr>
        <w:t xml:space="preserve">Tweets That Matter: Evidence </w:t>
      </w:r>
      <w:r>
        <w:rPr>
          <w:lang w:val="en-US"/>
        </w:rPr>
        <w:t>f</w:t>
      </w:r>
      <w:r w:rsidRPr="003B778D">
        <w:rPr>
          <w:lang w:val="en-US"/>
        </w:rPr>
        <w:t>rom a</w:t>
      </w:r>
      <w:r>
        <w:rPr>
          <w:lang w:val="en-US"/>
        </w:rPr>
        <w:t xml:space="preserve"> </w:t>
      </w:r>
      <w:r w:rsidRPr="003B778D">
        <w:rPr>
          <w:lang w:val="en-US"/>
        </w:rPr>
        <w:t>Randomized Field Experiment in Japan</w:t>
      </w:r>
      <w:r>
        <w:rPr>
          <w:lang w:val="en-US"/>
        </w:rPr>
        <w:t xml:space="preserve">”. </w:t>
      </w:r>
      <w:r>
        <w:rPr>
          <w:i/>
          <w:iCs/>
          <w:lang w:val="en-US"/>
        </w:rPr>
        <w:t>Political Communication</w:t>
      </w:r>
      <w:r>
        <w:rPr>
          <w:lang w:val="en-US"/>
        </w:rPr>
        <w:t xml:space="preserve">: </w:t>
      </w:r>
      <w:hyperlink r:id="rId12" w:history="1">
        <w:r w:rsidRPr="00905450">
          <w:rPr>
            <w:rStyle w:val="Hyperlink"/>
            <w:lang w:val="en-US"/>
          </w:rPr>
          <w:t>http://dx.doi.org/10.1080/10584609.2014.986696</w:t>
        </w:r>
      </w:hyperlink>
      <w:r>
        <w:rPr>
          <w:lang w:val="en-US"/>
        </w:rPr>
        <w:t xml:space="preserve"> </w:t>
      </w:r>
    </w:p>
    <w:p w14:paraId="7A94BE8E" w14:textId="77777777" w:rsidR="00734A23" w:rsidRDefault="00734A23" w:rsidP="00734A23">
      <w:pPr>
        <w:spacing w:line="480" w:lineRule="auto"/>
        <w:ind w:left="720" w:hanging="720"/>
        <w:rPr>
          <w:lang w:val="en-US"/>
        </w:rPr>
      </w:pPr>
      <w:r>
        <w:rPr>
          <w:lang w:val="en-US"/>
        </w:rPr>
        <w:lastRenderedPageBreak/>
        <w:t>Kruikemeier, S. (2014). “</w:t>
      </w:r>
      <w:r w:rsidRPr="00FF2F99">
        <w:rPr>
          <w:lang w:val="en-US"/>
        </w:rPr>
        <w:t>How political candidates use Twitter and the impact on votes</w:t>
      </w:r>
      <w:r>
        <w:rPr>
          <w:lang w:val="en-US"/>
        </w:rPr>
        <w:t xml:space="preserve">”. </w:t>
      </w:r>
      <w:r>
        <w:rPr>
          <w:i/>
          <w:iCs/>
          <w:lang w:val="en-US"/>
        </w:rPr>
        <w:t>Computers in Human Behavior</w:t>
      </w:r>
      <w:r>
        <w:rPr>
          <w:lang w:val="en-US"/>
        </w:rPr>
        <w:t xml:space="preserve">, 34 (1), pp. 121-139: </w:t>
      </w:r>
      <w:hyperlink r:id="rId13" w:history="1">
        <w:r w:rsidRPr="00905450">
          <w:rPr>
            <w:rStyle w:val="Hyperlink"/>
            <w:lang w:val="en-US"/>
          </w:rPr>
          <w:t>http://dx.doi.org/10.1016/j.chb.2014.01.025</w:t>
        </w:r>
      </w:hyperlink>
      <w:r>
        <w:rPr>
          <w:lang w:val="en-US"/>
        </w:rPr>
        <w:t xml:space="preserve"> </w:t>
      </w:r>
    </w:p>
    <w:p w14:paraId="375F4E77" w14:textId="77777777" w:rsidR="00734A23" w:rsidRPr="00AA2A59" w:rsidRDefault="00734A23" w:rsidP="00734A23">
      <w:pPr>
        <w:spacing w:line="480" w:lineRule="auto"/>
        <w:ind w:left="720" w:hanging="720"/>
      </w:pPr>
      <w:r>
        <w:rPr>
          <w:lang w:val="en-US"/>
        </w:rPr>
        <w:t>Larsson, A. &amp; Kalsnes, B. (2014). “‘</w:t>
      </w:r>
      <w:proofErr w:type="gramStart"/>
      <w:r>
        <w:rPr>
          <w:lang w:val="en-US"/>
        </w:rPr>
        <w:t>Of course</w:t>
      </w:r>
      <w:proofErr w:type="gramEnd"/>
      <w:r>
        <w:rPr>
          <w:lang w:val="en-US"/>
        </w:rPr>
        <w:t xml:space="preserve"> we are on Facebook’: Use and non-use of social media among Swedish and Norwegian politicians”. </w:t>
      </w:r>
      <w:r>
        <w:rPr>
          <w:i/>
          <w:iCs/>
          <w:lang w:val="en-US"/>
        </w:rPr>
        <w:t xml:space="preserve">European Journal of Communications, </w:t>
      </w:r>
      <w:r>
        <w:rPr>
          <w:lang w:val="en-US"/>
        </w:rPr>
        <w:t xml:space="preserve">29 (6), pp. 653-667: </w:t>
      </w:r>
      <w:hyperlink r:id="rId14" w:history="1">
        <w:r w:rsidRPr="00905450">
          <w:rPr>
            <w:rStyle w:val="Hyperlink"/>
            <w:lang w:val="en-US"/>
          </w:rPr>
          <w:t>https://doi.org/10.1177%2F0267323114531383</w:t>
        </w:r>
      </w:hyperlink>
      <w:r>
        <w:rPr>
          <w:lang w:val="en-US"/>
        </w:rPr>
        <w:t xml:space="preserve"> </w:t>
      </w:r>
    </w:p>
    <w:p w14:paraId="5E51EEE4" w14:textId="77777777" w:rsidR="00734A23" w:rsidRDefault="00734A23" w:rsidP="00734A23">
      <w:pPr>
        <w:spacing w:line="480" w:lineRule="auto"/>
        <w:ind w:left="720" w:hanging="720"/>
        <w:rPr>
          <w:lang w:val="en-US"/>
        </w:rPr>
      </w:pPr>
      <w:r>
        <w:rPr>
          <w:lang w:val="en-US"/>
        </w:rPr>
        <w:t xml:space="preserve">Nickerson, D. &amp; Rogers, T. (2014). “Political Campaigns and Big Data”. </w:t>
      </w:r>
      <w:r>
        <w:rPr>
          <w:i/>
          <w:iCs/>
          <w:lang w:val="en-US"/>
        </w:rPr>
        <w:t>Journal of Economic Perspectives</w:t>
      </w:r>
      <w:r>
        <w:rPr>
          <w:lang w:val="en-US"/>
        </w:rPr>
        <w:t xml:space="preserve"> 28 (2), pp. 51-74.</w:t>
      </w:r>
    </w:p>
    <w:p w14:paraId="08467B7F" w14:textId="77777777" w:rsidR="00734A23" w:rsidRDefault="00734A23" w:rsidP="00734A23">
      <w:pPr>
        <w:spacing w:line="480" w:lineRule="auto"/>
        <w:ind w:left="720" w:hanging="720"/>
        <w:rPr>
          <w:lang w:val="en-US"/>
        </w:rPr>
      </w:pPr>
      <w:r>
        <w:rPr>
          <w:lang w:val="en-US"/>
        </w:rPr>
        <w:t>Petrova M., Sen, A., &amp; Yildirim, P. (2021). “</w:t>
      </w:r>
      <w:r w:rsidRPr="00633128">
        <w:rPr>
          <w:lang w:val="en-US"/>
        </w:rPr>
        <w:t>Social Media and Political Contributions:</w:t>
      </w:r>
      <w:r>
        <w:rPr>
          <w:lang w:val="en-US"/>
        </w:rPr>
        <w:t xml:space="preserve"> </w:t>
      </w:r>
      <w:r w:rsidRPr="00633128">
        <w:rPr>
          <w:lang w:val="en-US"/>
        </w:rPr>
        <w:t>The Impact of New Technology on Political Competition</w:t>
      </w:r>
      <w:r>
        <w:rPr>
          <w:lang w:val="en-US"/>
        </w:rPr>
        <w:t xml:space="preserve">”. </w:t>
      </w:r>
      <w:r w:rsidRPr="00633128">
        <w:rPr>
          <w:i/>
          <w:iCs/>
          <w:lang w:val="en-US"/>
        </w:rPr>
        <w:t>Management Science</w:t>
      </w:r>
      <w:r>
        <w:rPr>
          <w:lang w:val="en-US"/>
        </w:rPr>
        <w:t xml:space="preserve">: </w:t>
      </w:r>
      <w:hyperlink r:id="rId15" w:history="1">
        <w:r w:rsidRPr="00905450">
          <w:rPr>
            <w:rStyle w:val="Hyperlink"/>
            <w:lang w:val="en-US"/>
          </w:rPr>
          <w:t>http://dx.doi.org/10.2139/ssrn.2836323</w:t>
        </w:r>
      </w:hyperlink>
      <w:r>
        <w:rPr>
          <w:lang w:val="en-US"/>
        </w:rPr>
        <w:t xml:space="preserve"> </w:t>
      </w:r>
    </w:p>
    <w:p w14:paraId="5200457F" w14:textId="12FC6260" w:rsidR="00135F56" w:rsidRDefault="00734A23" w:rsidP="00A4539E">
      <w:pPr>
        <w:spacing w:line="480" w:lineRule="auto"/>
        <w:ind w:left="720" w:hanging="720"/>
      </w:pPr>
      <w:r>
        <w:rPr>
          <w:lang w:val="en-US"/>
        </w:rPr>
        <w:t xml:space="preserve">Slater, M. (2018). “By the Numbers: Twitter Canada at Dx3 2018”. </w:t>
      </w:r>
      <w:r w:rsidRPr="00AF03C6">
        <w:rPr>
          <w:i/>
          <w:iCs/>
          <w:lang w:val="en-US"/>
        </w:rPr>
        <w:t>Twitter Blog</w:t>
      </w:r>
      <w:r>
        <w:rPr>
          <w:lang w:val="en-US"/>
        </w:rPr>
        <w:t xml:space="preserve">: </w:t>
      </w:r>
      <w:hyperlink r:id="rId16" w:history="1">
        <w:r w:rsidRPr="00905450">
          <w:rPr>
            <w:rStyle w:val="Hyperlink"/>
            <w:lang w:val="en-US"/>
          </w:rPr>
          <w:t>https://blog.twitter.com/en_ca/topics/insights/2018/TwitterCanada_at_Dx3</w:t>
        </w:r>
      </w:hyperlink>
    </w:p>
    <w:sectPr w:rsidR="00135F56" w:rsidSect="005F5726">
      <w:headerReference w:type="default" r:id="rId17"/>
      <w:footerReference w:type="even"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736F" w14:textId="77777777" w:rsidR="00B518F5" w:rsidRDefault="00B518F5" w:rsidP="005F5726">
      <w:r>
        <w:separator/>
      </w:r>
    </w:p>
  </w:endnote>
  <w:endnote w:type="continuationSeparator" w:id="0">
    <w:p w14:paraId="013156F7" w14:textId="77777777" w:rsidR="00B518F5" w:rsidRDefault="00B518F5" w:rsidP="005F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2056357"/>
      <w:docPartObj>
        <w:docPartGallery w:val="Page Numbers (Bottom of Page)"/>
        <w:docPartUnique/>
      </w:docPartObj>
    </w:sdtPr>
    <w:sdtContent>
      <w:p w14:paraId="373A35B4" w14:textId="6377FF94" w:rsidR="005F5726" w:rsidRDefault="005F5726" w:rsidP="009054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05A04" w14:textId="77777777" w:rsidR="005F5726" w:rsidRDefault="005F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26441"/>
      <w:docPartObj>
        <w:docPartGallery w:val="Page Numbers (Bottom of Page)"/>
        <w:docPartUnique/>
      </w:docPartObj>
    </w:sdtPr>
    <w:sdtContent>
      <w:p w14:paraId="24F2796A" w14:textId="67058968" w:rsidR="005F5726" w:rsidRDefault="005F5726" w:rsidP="009054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0A808C" w14:textId="77777777" w:rsidR="005F5726" w:rsidRDefault="005F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1CE2" w14:textId="77777777" w:rsidR="00B518F5" w:rsidRDefault="00B518F5" w:rsidP="005F5726">
      <w:r>
        <w:separator/>
      </w:r>
    </w:p>
  </w:footnote>
  <w:footnote w:type="continuationSeparator" w:id="0">
    <w:p w14:paraId="237F3BA3" w14:textId="77777777" w:rsidR="00B518F5" w:rsidRDefault="00B518F5" w:rsidP="005F5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318E" w14:textId="7DFB7553" w:rsidR="005F5726" w:rsidRDefault="005F5726">
    <w:pPr>
      <w:pStyle w:val="Header"/>
    </w:pPr>
    <w:r>
      <w:t>YOUNG</w:t>
    </w:r>
    <w:r>
      <w:ptab w:relativeTo="margin" w:alignment="center" w:leader="none"/>
    </w:r>
    <w:r>
      <w:ptab w:relativeTo="margin" w:alignment="right" w:leader="none"/>
    </w:r>
    <w:r>
      <w:t>300005681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0C9F"/>
    <w:multiLevelType w:val="hybridMultilevel"/>
    <w:tmpl w:val="8A94BDE6"/>
    <w:lvl w:ilvl="0" w:tplc="50F2BF0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08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23"/>
    <w:rsid w:val="00135F56"/>
    <w:rsid w:val="002E4971"/>
    <w:rsid w:val="005F5726"/>
    <w:rsid w:val="00734A23"/>
    <w:rsid w:val="00A4539E"/>
    <w:rsid w:val="00AB2E0C"/>
    <w:rsid w:val="00B518F5"/>
    <w:rsid w:val="00E44298"/>
    <w:rsid w:val="00F37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64EF30"/>
  <w15:chartTrackingRefBased/>
  <w15:docId w15:val="{CBDFC506-FCAD-1F48-861A-C0ED524B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34A23"/>
  </w:style>
  <w:style w:type="paragraph" w:styleId="Footer">
    <w:name w:val="footer"/>
    <w:basedOn w:val="Normal"/>
    <w:link w:val="FooterChar"/>
    <w:uiPriority w:val="99"/>
    <w:unhideWhenUsed/>
    <w:rsid w:val="00734A23"/>
    <w:pPr>
      <w:tabs>
        <w:tab w:val="center" w:pos="4680"/>
        <w:tab w:val="right" w:pos="9360"/>
      </w:tabs>
    </w:pPr>
  </w:style>
  <w:style w:type="character" w:customStyle="1" w:styleId="FooterChar">
    <w:name w:val="Footer Char"/>
    <w:basedOn w:val="DefaultParagraphFont"/>
    <w:link w:val="Footer"/>
    <w:uiPriority w:val="99"/>
    <w:rsid w:val="00734A23"/>
  </w:style>
  <w:style w:type="character" w:styleId="PageNumber">
    <w:name w:val="page number"/>
    <w:basedOn w:val="DefaultParagraphFont"/>
    <w:uiPriority w:val="99"/>
    <w:semiHidden/>
    <w:unhideWhenUsed/>
    <w:rsid w:val="00734A23"/>
  </w:style>
  <w:style w:type="paragraph" w:styleId="ListParagraph">
    <w:name w:val="List Paragraph"/>
    <w:basedOn w:val="Normal"/>
    <w:uiPriority w:val="34"/>
    <w:qFormat/>
    <w:rsid w:val="00734A23"/>
    <w:pPr>
      <w:ind w:left="720"/>
      <w:contextualSpacing/>
    </w:pPr>
  </w:style>
  <w:style w:type="table" w:styleId="TableGrid">
    <w:name w:val="Table Grid"/>
    <w:basedOn w:val="TableNormal"/>
    <w:uiPriority w:val="39"/>
    <w:rsid w:val="00734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4A23"/>
    <w:rPr>
      <w:color w:val="0563C1" w:themeColor="hyperlink"/>
      <w:u w:val="single"/>
    </w:rPr>
  </w:style>
  <w:style w:type="character" w:styleId="UnresolvedMention">
    <w:name w:val="Unresolved Mention"/>
    <w:basedOn w:val="DefaultParagraphFont"/>
    <w:uiPriority w:val="99"/>
    <w:semiHidden/>
    <w:unhideWhenUsed/>
    <w:rsid w:val="00734A23"/>
    <w:rPr>
      <w:color w:val="605E5C"/>
      <w:shd w:val="clear" w:color="auto" w:fill="E1DFDD"/>
    </w:rPr>
  </w:style>
  <w:style w:type="paragraph" w:styleId="Header">
    <w:name w:val="header"/>
    <w:basedOn w:val="Normal"/>
    <w:link w:val="HeaderChar"/>
    <w:uiPriority w:val="99"/>
    <w:unhideWhenUsed/>
    <w:rsid w:val="00734A23"/>
    <w:pPr>
      <w:tabs>
        <w:tab w:val="center" w:pos="4680"/>
        <w:tab w:val="right" w:pos="9360"/>
      </w:tabs>
    </w:pPr>
  </w:style>
  <w:style w:type="character" w:customStyle="1" w:styleId="HeaderChar">
    <w:name w:val="Header Char"/>
    <w:basedOn w:val="DefaultParagraphFont"/>
    <w:link w:val="Header"/>
    <w:uiPriority w:val="99"/>
    <w:rsid w:val="00734A23"/>
  </w:style>
  <w:style w:type="character" w:styleId="FollowedHyperlink">
    <w:name w:val="FollowedHyperlink"/>
    <w:basedOn w:val="DefaultParagraphFont"/>
    <w:uiPriority w:val="99"/>
    <w:semiHidden/>
    <w:unhideWhenUsed/>
    <w:rsid w:val="00734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93650219872394" TargetMode="External"/><Relationship Id="rId13" Type="http://schemas.openxmlformats.org/officeDocument/2006/relationships/hyperlink" Target="http://dx.doi.org/10.1016/j.chb.2014.01.0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77/14614448211009504" TargetMode="External"/><Relationship Id="rId12" Type="http://schemas.openxmlformats.org/officeDocument/2006/relationships/hyperlink" Target="http://dx.doi.org/10.1080/10584609.2014.98669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log.twitter.com/en_ca/topics/insights/2018/TwitterCanada_at_Dx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er.org/papers/w28849" TargetMode="External"/><Relationship Id="rId5" Type="http://schemas.openxmlformats.org/officeDocument/2006/relationships/footnotes" Target="footnotes.xml"/><Relationship Id="rId15" Type="http://schemas.openxmlformats.org/officeDocument/2006/relationships/hyperlink" Target="http://dx.doi.org/10.2139/ssrn.2836323" TargetMode="External"/><Relationship Id="rId10" Type="http://schemas.openxmlformats.org/officeDocument/2006/relationships/hyperlink" Target="https://www.ncbi.nlm.nih.gov/pmc/articles/PMC384228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dx.doi.org/10.1080/1369118X.2013.783609" TargetMode="External"/><Relationship Id="rId14" Type="http://schemas.openxmlformats.org/officeDocument/2006/relationships/hyperlink" Target="https://doi.org/10.1177%2F0267323114531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3880</Words>
  <Characters>22122</Characters>
  <Application>Microsoft Office Word</Application>
  <DocSecurity>0</DocSecurity>
  <Lines>184</Lines>
  <Paragraphs>51</Paragraphs>
  <ScaleCrop>false</ScaleCrop>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Rielly Young</dc:creator>
  <cp:keywords/>
  <dc:description/>
  <cp:lastModifiedBy>Rielly Young</cp:lastModifiedBy>
  <cp:revision>5</cp:revision>
  <dcterms:created xsi:type="dcterms:W3CDTF">2022-06-13T11:00:00Z</dcterms:created>
  <dcterms:modified xsi:type="dcterms:W3CDTF">2022-06-13T11:06:00Z</dcterms:modified>
</cp:coreProperties>
</file>