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DATE: 2022-03-24</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TOPIC: PROGRESS REPORTS</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Today we went into breakout rooms and watched one of the most popular TED Talk videos. We had to observe how the speaker delivered his presentation. We also did a similar activity last week when we watched a Youtube video of a woman delivering her speech. We had to take note of her body language, manner of delivery, and tone.</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I found those two activities very interesting. I used to be an active member of Toastmasters International, an organization for those who want to practice and hone their public speaking skills. We had to write and deliver speeches, and we would be evaluated. Those two activities reminded me of when I was still an active member. I realized I missed the thrill of evaluating and being evaluated.</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In the programming industry, most people will spend their hours working in front of their computers. I am slightly worried that I will lose the skills I have worked so hard for. Although I would be happy to spend most of my time working alone, I don’t want to fall under the stereotype of programmers who are bad at public speaking and interpersonal communication.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