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287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608B4E"/>
          <w:sz w:val="18"/>
          <w:szCs w:val="18"/>
          <w:lang w:eastAsia="ru-RU"/>
        </w:rPr>
        <w:t>// SPDX-License-Identifier: MIT</w:t>
      </w:r>
    </w:p>
    <w:p w14:paraId="3F9011C1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pragma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solidity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^</w:t>
      </w:r>
      <w:r w:rsidRPr="00C35F3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0.8.2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1505FFB1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222EF654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"@openzeppelin/contracts/token/ERC721/ERC721.sol"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7EACC3DC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"@openzeppelin/contracts/token/ERC721/extensions/ERC721URIStorage.sol"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44E2DCD6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"@openzeppelin/contracts/access/Ownable.sol"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4E3ED8C8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"@openzeppelin/contracts/utils/Counters.sol"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5C0F3EBB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"@imtbl/imx-contracts/contracts/Mintable.sol"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4FE6701D" w14:textId="77777777" w:rsidR="00C35F32" w:rsidRPr="00C35F32" w:rsidRDefault="00C35F32" w:rsidP="00C35F32">
      <w:pPr>
        <w:shd w:val="clear" w:color="auto" w:fill="222336"/>
        <w:spacing w:after="240"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5667DCC1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contract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MyNFT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ERC721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ERC721URIStorage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Ownable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Mintable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698CB83E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using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Counters </w:t>
      </w:r>
      <w:r w:rsidRPr="00C35F32">
        <w:rPr>
          <w:rFonts w:ascii="Menlo" w:eastAsia="Times New Roman" w:hAnsi="Menlo" w:cs="Menlo"/>
          <w:color w:val="C97539"/>
          <w:sz w:val="18"/>
          <w:szCs w:val="18"/>
          <w:lang w:eastAsia="ru-RU"/>
        </w:rPr>
        <w:t>for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Counters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Counter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5685247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Counters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Counter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private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_tokenIdCounter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4CD42844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0219A667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F38ABB"/>
          <w:sz w:val="18"/>
          <w:szCs w:val="18"/>
          <w:lang w:eastAsia="ru-RU"/>
        </w:rPr>
        <w:t>constructor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_imx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Mintable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_imx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{}</w:t>
      </w:r>
    </w:p>
    <w:p w14:paraId="2D116DE6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F38ABB"/>
          <w:sz w:val="18"/>
          <w:szCs w:val="18"/>
          <w:lang w:eastAsia="ru-RU"/>
        </w:rPr>
        <w:t>constructor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ERC721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"MyNFT"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"MNFT"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{}</w:t>
      </w:r>
    </w:p>
    <w:p w14:paraId="10B1D80B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11B9CD0E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_baseURI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internal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pure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868E96"/>
          <w:sz w:val="18"/>
          <w:szCs w:val="18"/>
          <w:lang w:eastAsia="ru-RU"/>
        </w:rPr>
        <w:t>override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219451"/>
          <w:sz w:val="18"/>
          <w:szCs w:val="18"/>
          <w:lang w:eastAsia="ru-RU"/>
        </w:rPr>
        <w:t>returns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string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9E7E08"/>
          <w:sz w:val="18"/>
          <w:szCs w:val="18"/>
          <w:lang w:eastAsia="ru-RU"/>
        </w:rPr>
        <w:t>memory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1FFC484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219451"/>
          <w:sz w:val="18"/>
          <w:szCs w:val="18"/>
          <w:lang w:eastAsia="ru-RU"/>
        </w:rPr>
        <w:t>return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"https://i.ibb.co/kQCYnPS/photo-2021-11-29-18-44-36.jpg"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;</w:t>
      </w:r>
    </w:p>
    <w:p w14:paraId="2C6CF25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6A995EFF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18DE5EB7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safeMint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string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9E7E08"/>
          <w:sz w:val="18"/>
          <w:szCs w:val="18"/>
          <w:lang w:eastAsia="ru-RU"/>
        </w:rPr>
        <w:t>memory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public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onlyOwner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25E4528C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uint256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=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_tokenIdCounter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current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();</w:t>
      </w:r>
    </w:p>
    <w:p w14:paraId="433F83F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_tokenIdCounter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increment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();</w:t>
      </w:r>
    </w:p>
    <w:p w14:paraId="76B5D8DE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_safeMint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394DA37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_setTokenURI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728454B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59B28D1A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31DC074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_mintFor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uint256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007AA6"/>
          <w:sz w:val="18"/>
          <w:szCs w:val="18"/>
          <w:lang w:eastAsia="ru-RU"/>
        </w:rPr>
        <w:t>bytes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9E7E08"/>
          <w:sz w:val="18"/>
          <w:szCs w:val="18"/>
          <w:lang w:eastAsia="ru-RU"/>
        </w:rPr>
        <w:t>memory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internal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868E96"/>
          <w:sz w:val="18"/>
          <w:szCs w:val="18"/>
          <w:lang w:eastAsia="ru-RU"/>
        </w:rPr>
        <w:t>override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610FC05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007AA6"/>
          <w:sz w:val="18"/>
          <w:szCs w:val="18"/>
          <w:lang w:eastAsia="ru-RU"/>
        </w:rPr>
        <w:t>require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to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!=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"ERC721: mint to the zero address"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34521D53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007AA6"/>
          <w:sz w:val="18"/>
          <w:szCs w:val="18"/>
          <w:lang w:eastAsia="ru-RU"/>
        </w:rPr>
        <w:t>require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(!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_exists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"ERC721: token already minted"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4D3BC594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_beforeTokenTransfer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0917A319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emit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Transfer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6AD8B1DF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162CB64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4C592B17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mint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address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public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219451"/>
          <w:sz w:val="18"/>
          <w:szCs w:val="18"/>
          <w:lang w:eastAsia="ru-RU"/>
        </w:rPr>
        <w:t>returns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uint256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13D6E9C6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007AA6"/>
          <w:sz w:val="18"/>
          <w:szCs w:val="18"/>
          <w:lang w:eastAsia="ru-RU"/>
        </w:rPr>
        <w:t>require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_tokenIdCounter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current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</w:p>
    <w:p w14:paraId="36D3114B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5A4B4535" w14:textId="77777777" w:rsidR="00C35F32" w:rsidRPr="00C35F32" w:rsidRDefault="00C35F32" w:rsidP="00C35F32">
      <w:pPr>
        <w:shd w:val="clear" w:color="auto" w:fill="222336"/>
        <w:spacing w:after="240"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14AAEFBA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608B4E"/>
          <w:sz w:val="18"/>
          <w:szCs w:val="18"/>
          <w:lang w:eastAsia="ru-RU"/>
        </w:rPr>
        <w:t>// The following functions are overrides required by Solidity.</w:t>
      </w:r>
    </w:p>
    <w:p w14:paraId="7CBB7481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3E717312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_burn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uint256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internal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868E96"/>
          <w:sz w:val="18"/>
          <w:szCs w:val="18"/>
          <w:lang w:eastAsia="ru-RU"/>
        </w:rPr>
        <w:t>override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ERC721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ERC721URIStorage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21585D45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086CB5"/>
          <w:sz w:val="18"/>
          <w:szCs w:val="18"/>
          <w:lang w:eastAsia="ru-RU"/>
        </w:rPr>
        <w:t>super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_burn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55FEF0D7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306A3A9A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</w:p>
    <w:p w14:paraId="7656FF42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function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uint256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</w:p>
    <w:p w14:paraId="028B749A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public</w:t>
      </w:r>
    </w:p>
    <w:p w14:paraId="3B04E188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32BA89"/>
          <w:sz w:val="18"/>
          <w:szCs w:val="18"/>
          <w:lang w:eastAsia="ru-RU"/>
        </w:rPr>
        <w:t>view</w:t>
      </w:r>
    </w:p>
    <w:p w14:paraId="454CF0FB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868E96"/>
          <w:sz w:val="18"/>
          <w:szCs w:val="18"/>
          <w:lang w:eastAsia="ru-RU"/>
        </w:rPr>
        <w:t>override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ERC721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,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ERC721URIStorage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</w:p>
    <w:p w14:paraId="33C59E1B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219451"/>
          <w:sz w:val="18"/>
          <w:szCs w:val="18"/>
          <w:lang w:eastAsia="ru-RU"/>
        </w:rPr>
        <w:t>returns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string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9E7E08"/>
          <w:sz w:val="18"/>
          <w:szCs w:val="18"/>
          <w:lang w:eastAsia="ru-RU"/>
        </w:rPr>
        <w:t>memory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</w:t>
      </w:r>
    </w:p>
    <w:p w14:paraId="3F4F523E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lastRenderedPageBreak/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{</w:t>
      </w:r>
    </w:p>
    <w:p w14:paraId="6112E598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    </w:t>
      </w:r>
      <w:r w:rsidRPr="00C35F32">
        <w:rPr>
          <w:rFonts w:ascii="Menlo" w:eastAsia="Times New Roman" w:hAnsi="Menlo" w:cs="Menlo"/>
          <w:color w:val="219451"/>
          <w:sz w:val="18"/>
          <w:szCs w:val="18"/>
          <w:lang w:eastAsia="ru-RU"/>
        </w:rPr>
        <w:t>return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</w:t>
      </w:r>
      <w:r w:rsidRPr="00C35F32">
        <w:rPr>
          <w:rFonts w:ascii="Menlo" w:eastAsia="Times New Roman" w:hAnsi="Menlo" w:cs="Menlo"/>
          <w:color w:val="086CB5"/>
          <w:sz w:val="18"/>
          <w:szCs w:val="18"/>
          <w:lang w:eastAsia="ru-RU"/>
        </w:rPr>
        <w:t>super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.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tokenURI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(</w:t>
      </w: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>tokenId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);</w:t>
      </w:r>
    </w:p>
    <w:p w14:paraId="2CFEE697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BABBCC"/>
          <w:sz w:val="18"/>
          <w:szCs w:val="18"/>
          <w:lang w:eastAsia="ru-RU"/>
        </w:rPr>
        <w:t xml:space="preserve">    </w:t>
      </w: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49E0F7AF" w14:textId="77777777" w:rsidR="00C35F32" w:rsidRPr="00C35F32" w:rsidRDefault="00C35F32" w:rsidP="00C35F32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  <w:lang w:eastAsia="ru-RU"/>
        </w:rPr>
      </w:pPr>
      <w:r w:rsidRPr="00C35F32">
        <w:rPr>
          <w:rFonts w:ascii="Menlo" w:eastAsia="Times New Roman" w:hAnsi="Menlo" w:cs="Menlo"/>
          <w:color w:val="DCDCDC"/>
          <w:sz w:val="18"/>
          <w:szCs w:val="18"/>
          <w:lang w:eastAsia="ru-RU"/>
        </w:rPr>
        <w:t>}</w:t>
      </w:r>
    </w:p>
    <w:p w14:paraId="19D1D27D" w14:textId="77777777" w:rsidR="00C35F32" w:rsidRDefault="00C35F32"/>
    <w:sectPr w:rsidR="00C3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32"/>
    <w:rsid w:val="00C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A390E"/>
  <w15:chartTrackingRefBased/>
  <w15:docId w15:val="{C4824793-78A5-1348-B618-B0E47A34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Адыл Адыл</dc:creator>
  <cp:keywords/>
  <dc:description/>
  <cp:lastModifiedBy>Адыл Адыл</cp:lastModifiedBy>
  <cp:revision>1</cp:revision>
  <dcterms:created xsi:type="dcterms:W3CDTF">2021-12-06T07:08:00Z</dcterms:created>
  <dcterms:modified xsi:type="dcterms:W3CDTF">2021-12-06T07:08:00Z</dcterms:modified>
</cp:coreProperties>
</file>