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Security, Compliance &amp; Guardrail Policy (MVP V1)</w:t>
      </w:r>
    </w:p>
    <w:p>
      <w:pPr>
        <w:pStyle w:val="Heading2"/>
      </w:pPr>
      <w:r>
        <w:t>1. Purpose</w:t>
      </w:r>
    </w:p>
    <w:p>
      <w:r>
        <w:t>This policy defines the mandatory security controls, operational safeguards, compliance standards, and engineering guardrails for the DEEVUH e-commerce platform.</w:t>
      </w:r>
    </w:p>
    <w:p>
      <w:pPr>
        <w:pStyle w:val="Heading2"/>
      </w:pPr>
      <w:r>
        <w:t>2. Security Philosophy</w:t>
      </w:r>
    </w:p>
    <w:p>
      <w:r>
        <w:t>DEEVUH follows a lean but strict security-first operational philosophy prioritizing payment integrity, operational reliability, and backend-controlled validation.</w:t>
      </w:r>
    </w:p>
    <w:p>
      <w:pPr>
        <w:pStyle w:val="Heading2"/>
      </w:pPr>
      <w:r>
        <w:t>3. Authentication &amp; Authorization</w:t>
      </w:r>
    </w:p>
    <w:p>
      <w:r>
        <w:t>Admin authentication uses JWT tokens, password hashing, role-based access control, secure session handling, and protected admin APIs.</w:t>
      </w:r>
    </w:p>
    <w:p>
      <w:pPr>
        <w:pStyle w:val="Heading2"/>
      </w:pPr>
      <w:r>
        <w:t>4. API Security</w:t>
      </w:r>
    </w:p>
    <w:p>
      <w:r>
        <w:t>All APIs must enforce validation middleware, authentication, authorization, rate limiting, secure CORS policies, and standardized error handling.</w:t>
      </w:r>
    </w:p>
    <w:p>
      <w:pPr>
        <w:pStyle w:val="Heading2"/>
      </w:pPr>
      <w:r>
        <w:t>5. Payment Security</w:t>
      </w:r>
    </w:p>
    <w:p>
      <w:r>
        <w:t>Orders may only be created after verified PayU payment confirmation. Webhooks must be validated, idempotent, and replay-safe.</w:t>
      </w:r>
    </w:p>
    <w:p>
      <w:pPr>
        <w:pStyle w:val="Heading2"/>
      </w:pPr>
      <w:r>
        <w:t>6. Database Security</w:t>
      </w:r>
    </w:p>
    <w:p>
      <w:r>
        <w:t>PostgreSQL access must follow least privilege principles with transactional integrity for checkout, inventory, and order flows.</w:t>
      </w:r>
    </w:p>
    <w:p>
      <w:pPr>
        <w:pStyle w:val="Heading2"/>
      </w:pPr>
      <w:r>
        <w:t>7. Frontend Security</w:t>
      </w:r>
    </w:p>
    <w:p>
      <w:r>
        <w:t>The React frontend must avoid client-side trust assumptions, prevent XSS risks, and securely manage dependencies.</w:t>
      </w:r>
    </w:p>
    <w:p>
      <w:pPr>
        <w:pStyle w:val="Heading2"/>
      </w:pPr>
      <w:r>
        <w:t>8. File Upload &amp; Cloudinary Security</w:t>
      </w:r>
    </w:p>
    <w:p>
      <w:r>
        <w:t>Uploads must validate MIME type, extension, file size, and restrict executable or dangerous files.</w:t>
      </w:r>
    </w:p>
    <w:p>
      <w:pPr>
        <w:pStyle w:val="Heading2"/>
      </w:pPr>
      <w:r>
        <w:t>9. Compliance &amp; Privacy</w:t>
      </w:r>
    </w:p>
    <w:p>
      <w:r>
        <w:t>DEEVUH follows minimal-data retention practices, HTTPS-only communication, and PCI-conscious payment architecture.</w:t>
      </w:r>
    </w:p>
    <w:p>
      <w:pPr>
        <w:pStyle w:val="Heading2"/>
      </w:pPr>
      <w:r>
        <w:t>10. Operational Guardrails</w:t>
      </w:r>
    </w:p>
    <w:p>
      <w:r>
        <w:t>Environment variables, deployment pipelines, monitoring, backups, and rollback strategies are mandatory operational controls.</w:t>
      </w:r>
    </w:p>
    <w:p>
      <w:pPr>
        <w:pStyle w:val="Heading2"/>
      </w:pPr>
      <w:r>
        <w:t>11. State Machine Guardrails</w:t>
      </w:r>
    </w:p>
    <w:p>
      <w:r>
        <w:t>Invalid lifecycle transitions such as DELIVERED → PROCESSING or FAILED_PAYMENT → ORDER_CREATED must be blocked at backend level.</w:t>
      </w:r>
    </w:p>
    <w:p>
      <w:pPr>
        <w:pStyle w:val="Heading2"/>
      </w:pPr>
      <w:r>
        <w:t>12. Engineering Guardrails</w:t>
      </w:r>
    </w:p>
    <w:p>
      <w:r>
        <w:t>The platform intentionally avoids premature complexity such as microservices, Kubernetes, or distributed systems.</w:t>
      </w:r>
    </w:p>
    <w:p>
      <w:pPr>
        <w:pStyle w:val="Heading2"/>
      </w:pPr>
      <w:r>
        <w:t>13. Incident Response</w:t>
      </w:r>
    </w:p>
    <w:p>
      <w:r>
        <w:t>Payment inconsistencies, checkout outages, and operational failures must follow defined escalation and recovery procedures.</w:t>
      </w:r>
    </w:p>
    <w:p>
      <w:pPr>
        <w:pStyle w:val="Heading2"/>
      </w:pPr>
      <w:r>
        <w:t>14. Final Security Direction</w:t>
      </w:r>
    </w:p>
    <w:p>
      <w:r>
        <w:t>The platform prioritizes simplicity, reliability, operational discipline, and payment consistency over unnecessary infrastructure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