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D924B" w14:textId="77777777" w:rsidR="00376AC1" w:rsidRDefault="00376AC1" w:rsidP="00376AC1">
      <w:pPr>
        <w:pStyle w:val="Heading4"/>
        <w:shd w:val="clear" w:color="auto" w:fill="FFFFFF"/>
        <w:spacing w:before="216" w:after="96"/>
        <w:rPr>
          <w:rFonts w:ascii="Segoe UI" w:hAnsi="Segoe UI" w:cs="Segoe UI"/>
        </w:rPr>
      </w:pPr>
      <w:r>
        <w:rPr>
          <w:rFonts w:ascii="Segoe UI" w:hAnsi="Segoe UI" w:cs="Segoe UI"/>
        </w:rPr>
        <w:t>Genie Spaces</w:t>
      </w:r>
    </w:p>
    <w:p w14:paraId="485207C2" w14:textId="77777777" w:rsidR="00376AC1" w:rsidRDefault="00376AC1" w:rsidP="00376AC1">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Genie Spaces take the opposite approach. Instead of pre-building answers, a Genie Space lets business users </w:t>
      </w:r>
      <w:r>
        <w:rPr>
          <w:rStyle w:val="Strong"/>
          <w:rFonts w:ascii="Segoe UI" w:hAnsi="Segoe UI" w:cs="Segoe UI"/>
          <w:sz w:val="21"/>
          <w:szCs w:val="21"/>
        </w:rPr>
        <w:t>ask their own questions</w:t>
      </w:r>
      <w:r>
        <w:rPr>
          <w:rFonts w:ascii="Segoe UI" w:hAnsi="Segoe UI" w:cs="Segoe UI"/>
          <w:sz w:val="21"/>
          <w:szCs w:val="21"/>
        </w:rPr>
        <w:t xml:space="preserve"> in plain English. The Space interprets the question, generates SQL, runs it against your Unity </w:t>
      </w:r>
      <w:proofErr w:type="spellStart"/>
      <w:r>
        <w:rPr>
          <w:rFonts w:ascii="Segoe UI" w:hAnsi="Segoe UI" w:cs="Segoe UI"/>
          <w:sz w:val="21"/>
          <w:szCs w:val="21"/>
        </w:rPr>
        <w:t>Catalog</w:t>
      </w:r>
      <w:proofErr w:type="spellEnd"/>
      <w:r>
        <w:rPr>
          <w:rFonts w:ascii="Segoe UI" w:hAnsi="Segoe UI" w:cs="Segoe UI"/>
          <w:sz w:val="21"/>
          <w:szCs w:val="21"/>
        </w:rPr>
        <w:t xml:space="preserve"> tables, and returns the result.</w:t>
      </w:r>
    </w:p>
    <w:p w14:paraId="0E008661" w14:textId="77777777" w:rsidR="00376AC1" w:rsidRDefault="00376AC1" w:rsidP="00376AC1">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All without the user needing to know SQL.</w:t>
      </w:r>
    </w:p>
    <w:p w14:paraId="058735E9" w14:textId="77777777" w:rsidR="00376AC1" w:rsidRDefault="00376AC1" w:rsidP="00376AC1">
      <w:pPr>
        <w:pStyle w:val="NormalWeb"/>
        <w:shd w:val="clear" w:color="auto" w:fill="FFFFFF"/>
        <w:spacing w:before="0" w:beforeAutospacing="0" w:after="240" w:afterAutospacing="0"/>
      </w:pPr>
    </w:p>
    <w:p w14:paraId="437CDE84" w14:textId="77777777" w:rsidR="00376AC1" w:rsidRDefault="00376AC1" w:rsidP="00376AC1">
      <w:pPr>
        <w:pStyle w:val="NormalWeb"/>
        <w:shd w:val="clear" w:color="auto" w:fill="FFFFFF"/>
        <w:spacing w:before="0" w:beforeAutospacing="0" w:after="240" w:afterAutospacing="0"/>
      </w:pPr>
    </w:p>
    <w:p w14:paraId="1E183A32" w14:textId="77777777" w:rsidR="00376AC1" w:rsidRDefault="00376AC1" w:rsidP="00376AC1">
      <w:pPr>
        <w:pStyle w:val="NormalWeb"/>
        <w:shd w:val="clear" w:color="auto" w:fill="FFFFFF"/>
        <w:spacing w:before="0" w:beforeAutospacing="0" w:after="240" w:afterAutospacing="0"/>
      </w:pPr>
    </w:p>
    <w:p w14:paraId="3B95B0DF" w14:textId="77777777" w:rsidR="00376AC1" w:rsidRDefault="00376AC1" w:rsidP="00376AC1">
      <w:pPr>
        <w:pStyle w:val="NormalWeb"/>
        <w:shd w:val="clear" w:color="auto" w:fill="FFFFFF"/>
        <w:spacing w:before="0" w:beforeAutospacing="0" w:after="240" w:afterAutospacing="0"/>
      </w:pPr>
    </w:p>
    <w:p w14:paraId="71DF3FA5" w14:textId="77777777" w:rsidR="00376AC1" w:rsidRDefault="00376AC1" w:rsidP="00376AC1">
      <w:pPr>
        <w:pStyle w:val="NormalWeb"/>
        <w:shd w:val="clear" w:color="auto" w:fill="FFFFFF"/>
        <w:spacing w:before="0" w:beforeAutospacing="0" w:after="240" w:afterAutospacing="0"/>
      </w:pPr>
    </w:p>
    <w:p w14:paraId="499F03AD" w14:textId="77777777" w:rsidR="00376AC1" w:rsidRDefault="00376AC1" w:rsidP="00376AC1">
      <w:pPr>
        <w:pStyle w:val="NormalWeb"/>
        <w:shd w:val="clear" w:color="auto" w:fill="FFFFFF"/>
        <w:spacing w:before="0" w:beforeAutospacing="0" w:after="240" w:afterAutospacing="0"/>
      </w:pPr>
    </w:p>
    <w:p w14:paraId="3EF8EACC" w14:textId="1C998C10" w:rsidR="00376AC1" w:rsidRPr="00376AC1" w:rsidRDefault="00376AC1" w:rsidP="00376AC1">
      <w:pPr>
        <w:pStyle w:val="NormalWeb"/>
        <w:shd w:val="clear" w:color="auto" w:fill="FFFFFF"/>
        <w:spacing w:before="0" w:beforeAutospacing="0" w:after="240" w:afterAutospacing="0"/>
        <w:rPr>
          <w:rFonts w:ascii="Segoe UI" w:hAnsi="Segoe UI" w:cs="Segoe UI"/>
          <w:sz w:val="21"/>
          <w:szCs w:val="21"/>
        </w:rPr>
      </w:pPr>
      <w:r w:rsidRPr="00376AC1">
        <w:drawing>
          <wp:inline distT="0" distB="0" distL="0" distR="0" wp14:anchorId="5B9674A3" wp14:editId="46D793F3">
            <wp:extent cx="5731510" cy="885190"/>
            <wp:effectExtent l="0" t="0" r="0" b="3810"/>
            <wp:docPr id="38211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19435" name=""/>
                    <pic:cNvPicPr/>
                  </pic:nvPicPr>
                  <pic:blipFill>
                    <a:blip r:embed="rId5"/>
                    <a:stretch>
                      <a:fillRect/>
                    </a:stretch>
                  </pic:blipFill>
                  <pic:spPr>
                    <a:xfrm>
                      <a:off x="0" y="0"/>
                      <a:ext cx="5731510" cy="885190"/>
                    </a:xfrm>
                    <a:prstGeom prst="rect">
                      <a:avLst/>
                    </a:prstGeom>
                  </pic:spPr>
                </pic:pic>
              </a:graphicData>
            </a:graphic>
          </wp:inline>
        </w:drawing>
      </w:r>
      <w:r>
        <w:br/>
      </w:r>
      <w:r>
        <w:br/>
      </w:r>
      <w:r>
        <w:rPr>
          <w:rFonts w:ascii="Segoe UI" w:hAnsi="Segoe UI" w:cs="Segoe UI"/>
          <w:b/>
          <w:bCs/>
          <w:color w:val="B83A24"/>
          <w:sz w:val="28"/>
          <w:szCs w:val="28"/>
        </w:rPr>
        <w:t>Key idea:</w:t>
      </w:r>
      <w:r>
        <w:rPr>
          <w:rFonts w:ascii="Segoe UI" w:hAnsi="Segoe UI" w:cs="Segoe UI"/>
          <w:sz w:val="28"/>
          <w:szCs w:val="28"/>
          <w:shd w:val="clear" w:color="auto" w:fill="FFF6F4"/>
        </w:rPr>
        <w:t> The loop never really ends. Every real user question is a chance to improve the Space, and small, frequent passes beat large rewrites.</w:t>
      </w:r>
      <w:r>
        <w:rPr>
          <w:rFonts w:ascii="Segoe UI" w:hAnsi="Segoe UI" w:cs="Segoe UI"/>
          <w:sz w:val="28"/>
          <w:szCs w:val="28"/>
          <w:shd w:val="clear" w:color="auto" w:fill="FFF6F4"/>
        </w:rPr>
        <w:br/>
      </w:r>
      <w:r>
        <w:rPr>
          <w:rFonts w:ascii="Segoe UI" w:hAnsi="Segoe UI" w:cs="Segoe UI"/>
          <w:sz w:val="28"/>
          <w:szCs w:val="28"/>
          <w:shd w:val="clear" w:color="auto" w:fill="FFF6F4"/>
        </w:rPr>
        <w:br/>
      </w:r>
      <w:r>
        <w:rPr>
          <w:rFonts w:ascii="Segoe UI" w:hAnsi="Segoe UI" w:cs="Segoe UI"/>
          <w:sz w:val="28"/>
          <w:szCs w:val="28"/>
          <w:shd w:val="clear" w:color="auto" w:fill="FFF6F4"/>
        </w:rPr>
        <w:br/>
      </w:r>
      <w:r w:rsidRPr="00376AC1">
        <w:rPr>
          <w:rFonts w:ascii="Segoe UI" w:hAnsi="Segoe UI" w:cs="Segoe UI"/>
          <w:sz w:val="21"/>
          <w:szCs w:val="21"/>
        </w:rPr>
        <w:t>order matters. Each layer builds on the previous one.</w:t>
      </w:r>
    </w:p>
    <w:p w14:paraId="6E547C7B" w14:textId="77777777" w:rsidR="00376AC1" w:rsidRPr="00376AC1" w:rsidRDefault="00376AC1" w:rsidP="00376AC1">
      <w:pPr>
        <w:shd w:val="clear" w:color="auto" w:fill="FFFFFF"/>
        <w:spacing w:before="216" w:after="96" w:line="240" w:lineRule="auto"/>
        <w:outlineLvl w:val="3"/>
        <w:rPr>
          <w:rFonts w:ascii="Segoe UI" w:eastAsia="Times New Roman" w:hAnsi="Segoe UI" w:cs="Segoe UI"/>
          <w:b/>
          <w:bCs/>
          <w:kern w:val="0"/>
          <w:lang w:eastAsia="en-GB"/>
          <w14:ligatures w14:val="none"/>
        </w:rPr>
      </w:pPr>
      <w:r w:rsidRPr="00376AC1">
        <w:rPr>
          <w:rFonts w:ascii="Segoe UI" w:eastAsia="Times New Roman" w:hAnsi="Segoe UI" w:cs="Segoe UI"/>
          <w:b/>
          <w:bCs/>
          <w:kern w:val="0"/>
          <w:lang w:eastAsia="en-GB"/>
          <w14:ligatures w14:val="none"/>
        </w:rPr>
        <w:t>1. Define Purpose and Scope</w:t>
      </w:r>
    </w:p>
    <w:p w14:paraId="3A387BDC"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Start by deciding what the Genie Space is for.</w:t>
      </w:r>
    </w:p>
    <w:p w14:paraId="23F48675" w14:textId="77777777" w:rsidR="00376AC1" w:rsidRPr="00376AC1" w:rsidRDefault="00376AC1" w:rsidP="00376AC1">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Define the audience and business topic</w:t>
      </w:r>
    </w:p>
    <w:p w14:paraId="76D700AE" w14:textId="77777777" w:rsidR="00376AC1" w:rsidRPr="00376AC1" w:rsidRDefault="00376AC1" w:rsidP="00376AC1">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Identify the key questions the space should answer</w:t>
      </w:r>
    </w:p>
    <w:p w14:paraId="31420CAC" w14:textId="77777777" w:rsidR="00376AC1" w:rsidRPr="00376AC1" w:rsidRDefault="00376AC1" w:rsidP="00376AC1">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Keep the scope narrow and focused</w:t>
      </w:r>
    </w:p>
    <w:p w14:paraId="4DECE6E5"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A Genie Space should support a specific use case, not every possible question across the business.</w:t>
      </w:r>
    </w:p>
    <w:p w14:paraId="1462B2D0" w14:textId="77777777" w:rsidR="00376AC1" w:rsidRPr="00376AC1" w:rsidRDefault="00376AC1" w:rsidP="00376AC1">
      <w:pPr>
        <w:shd w:val="clear" w:color="auto" w:fill="FFFFFF"/>
        <w:spacing w:before="216" w:after="96" w:line="240" w:lineRule="auto"/>
        <w:outlineLvl w:val="3"/>
        <w:rPr>
          <w:rFonts w:ascii="Segoe UI" w:eastAsia="Times New Roman" w:hAnsi="Segoe UI" w:cs="Segoe UI"/>
          <w:b/>
          <w:bCs/>
          <w:kern w:val="0"/>
          <w:lang w:eastAsia="en-GB"/>
          <w14:ligatures w14:val="none"/>
        </w:rPr>
      </w:pPr>
      <w:r w:rsidRPr="00376AC1">
        <w:rPr>
          <w:rFonts w:ascii="Segoe UI" w:eastAsia="Times New Roman" w:hAnsi="Segoe UI" w:cs="Segoe UI"/>
          <w:b/>
          <w:bCs/>
          <w:kern w:val="0"/>
          <w:lang w:eastAsia="en-GB"/>
          <w14:ligatures w14:val="none"/>
        </w:rPr>
        <w:t xml:space="preserve">2. Add Focused Unity </w:t>
      </w:r>
      <w:proofErr w:type="spellStart"/>
      <w:r w:rsidRPr="00376AC1">
        <w:rPr>
          <w:rFonts w:ascii="Segoe UI" w:eastAsia="Times New Roman" w:hAnsi="Segoe UI" w:cs="Segoe UI"/>
          <w:b/>
          <w:bCs/>
          <w:kern w:val="0"/>
          <w:lang w:eastAsia="en-GB"/>
          <w14:ligatures w14:val="none"/>
        </w:rPr>
        <w:t>Catalog</w:t>
      </w:r>
      <w:proofErr w:type="spellEnd"/>
      <w:r w:rsidRPr="00376AC1">
        <w:rPr>
          <w:rFonts w:ascii="Segoe UI" w:eastAsia="Times New Roman" w:hAnsi="Segoe UI" w:cs="Segoe UI"/>
          <w:b/>
          <w:bCs/>
          <w:kern w:val="0"/>
          <w:lang w:eastAsia="en-GB"/>
          <w14:ligatures w14:val="none"/>
        </w:rPr>
        <w:t xml:space="preserve"> Tables and Relationships</w:t>
      </w:r>
    </w:p>
    <w:p w14:paraId="2972A450"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Once the purpose is clear, select the data that supports it.</w:t>
      </w:r>
    </w:p>
    <w:p w14:paraId="2E16673B" w14:textId="77777777" w:rsidR="00376AC1" w:rsidRPr="00376AC1" w:rsidRDefault="00376AC1" w:rsidP="00376AC1">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 xml:space="preserve">Use a small, focused set of Unity </w:t>
      </w:r>
      <w:proofErr w:type="spellStart"/>
      <w:r w:rsidRPr="00376AC1">
        <w:rPr>
          <w:rFonts w:ascii="Segoe UI" w:eastAsia="Times New Roman" w:hAnsi="Segoe UI" w:cs="Segoe UI"/>
          <w:kern w:val="0"/>
          <w:sz w:val="21"/>
          <w:szCs w:val="21"/>
          <w:lang w:eastAsia="en-GB"/>
          <w14:ligatures w14:val="none"/>
        </w:rPr>
        <w:t>Catalog</w:t>
      </w:r>
      <w:proofErr w:type="spellEnd"/>
      <w:r w:rsidRPr="00376AC1">
        <w:rPr>
          <w:rFonts w:ascii="Segoe UI" w:eastAsia="Times New Roman" w:hAnsi="Segoe UI" w:cs="Segoe UI"/>
          <w:kern w:val="0"/>
          <w:sz w:val="21"/>
          <w:szCs w:val="21"/>
          <w:lang w:eastAsia="en-GB"/>
          <w14:ligatures w14:val="none"/>
        </w:rPr>
        <w:t xml:space="preserve"> tables or views</w:t>
      </w:r>
    </w:p>
    <w:p w14:paraId="2C8317EE" w14:textId="77777777" w:rsidR="00376AC1" w:rsidRPr="00376AC1" w:rsidRDefault="00376AC1" w:rsidP="00376AC1">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Ensure </w:t>
      </w:r>
      <w:r w:rsidRPr="00376AC1">
        <w:rPr>
          <w:rFonts w:ascii="Segoe UI" w:eastAsia="Times New Roman" w:hAnsi="Segoe UI" w:cs="Segoe UI"/>
          <w:b/>
          <w:bCs/>
          <w:kern w:val="0"/>
          <w:sz w:val="21"/>
          <w:szCs w:val="21"/>
          <w:lang w:eastAsia="en-GB"/>
          <w14:ligatures w14:val="none"/>
        </w:rPr>
        <w:t>relationships (joins)</w:t>
      </w:r>
      <w:r w:rsidRPr="00376AC1">
        <w:rPr>
          <w:rFonts w:ascii="Segoe UI" w:eastAsia="Times New Roman" w:hAnsi="Segoe UI" w:cs="Segoe UI"/>
          <w:kern w:val="0"/>
          <w:sz w:val="21"/>
          <w:szCs w:val="21"/>
          <w:lang w:eastAsia="en-GB"/>
          <w14:ligatures w14:val="none"/>
        </w:rPr>
        <w:t> are defined (PK/FK, views, or Knowledge Store)</w:t>
      </w:r>
    </w:p>
    <w:p w14:paraId="3C39C29A" w14:textId="77777777" w:rsidR="00376AC1" w:rsidRPr="00376AC1" w:rsidRDefault="00376AC1" w:rsidP="00376AC1">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Prefer well-documented, analytics-ready tables</w:t>
      </w:r>
    </w:p>
    <w:p w14:paraId="0EEB702E" w14:textId="77777777" w:rsidR="00376AC1" w:rsidRPr="00376AC1" w:rsidRDefault="00376AC1" w:rsidP="00376AC1">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lastRenderedPageBreak/>
        <w:t>Aim for about </w:t>
      </w:r>
      <w:r w:rsidRPr="00376AC1">
        <w:rPr>
          <w:rFonts w:ascii="Segoe UI" w:eastAsia="Times New Roman" w:hAnsi="Segoe UI" w:cs="Segoe UI"/>
          <w:b/>
          <w:bCs/>
          <w:kern w:val="0"/>
          <w:sz w:val="21"/>
          <w:szCs w:val="21"/>
          <w:lang w:eastAsia="en-GB"/>
          <w14:ligatures w14:val="none"/>
        </w:rPr>
        <w:t>5 tables or fewer</w:t>
      </w:r>
      <w:r w:rsidRPr="00376AC1">
        <w:rPr>
          <w:rFonts w:ascii="Segoe UI" w:eastAsia="Times New Roman" w:hAnsi="Segoe UI" w:cs="Segoe UI"/>
          <w:kern w:val="0"/>
          <w:sz w:val="21"/>
          <w:szCs w:val="21"/>
          <w:lang w:eastAsia="en-GB"/>
          <w14:ligatures w14:val="none"/>
        </w:rPr>
        <w:t> when possible</w:t>
      </w:r>
    </w:p>
    <w:p w14:paraId="793B4D34" w14:textId="77777777" w:rsidR="00376AC1" w:rsidRPr="00376AC1" w:rsidRDefault="00376AC1" w:rsidP="00376AC1">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Pre-join or simplify data with views or metric views if needed</w:t>
      </w:r>
    </w:p>
    <w:p w14:paraId="730DC271"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Without clean data and clear relationships, the rest of the curation work is much harder.</w:t>
      </w:r>
    </w:p>
    <w:p w14:paraId="71E9614F" w14:textId="77777777" w:rsidR="00376AC1" w:rsidRPr="00376AC1" w:rsidRDefault="00376AC1" w:rsidP="00376AC1">
      <w:pPr>
        <w:shd w:val="clear" w:color="auto" w:fill="FFFFFF"/>
        <w:spacing w:before="216" w:after="96" w:line="240" w:lineRule="auto"/>
        <w:outlineLvl w:val="3"/>
        <w:rPr>
          <w:rFonts w:ascii="Segoe UI" w:eastAsia="Times New Roman" w:hAnsi="Segoe UI" w:cs="Segoe UI"/>
          <w:b/>
          <w:bCs/>
          <w:kern w:val="0"/>
          <w:lang w:eastAsia="en-GB"/>
          <w14:ligatures w14:val="none"/>
        </w:rPr>
      </w:pPr>
      <w:r w:rsidRPr="00376AC1">
        <w:rPr>
          <w:rFonts w:ascii="Segoe UI" w:eastAsia="Times New Roman" w:hAnsi="Segoe UI" w:cs="Segoe UI"/>
          <w:b/>
          <w:bCs/>
          <w:kern w:val="0"/>
          <w:lang w:eastAsia="en-GB"/>
          <w14:ligatures w14:val="none"/>
        </w:rPr>
        <w:t>3. Add Metadata and Prompt Matching</w:t>
      </w:r>
    </w:p>
    <w:p w14:paraId="21470212"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Metadata is the </w:t>
      </w:r>
      <w:r w:rsidRPr="00376AC1">
        <w:rPr>
          <w:rFonts w:ascii="Segoe UI" w:eastAsia="Times New Roman" w:hAnsi="Segoe UI" w:cs="Segoe UI"/>
          <w:b/>
          <w:bCs/>
          <w:kern w:val="0"/>
          <w:sz w:val="21"/>
          <w:szCs w:val="21"/>
          <w:lang w:eastAsia="en-GB"/>
          <w14:ligatures w14:val="none"/>
        </w:rPr>
        <w:t>strongest early accuracy lever</w:t>
      </w:r>
      <w:r w:rsidRPr="00376AC1">
        <w:rPr>
          <w:rFonts w:ascii="Segoe UI" w:eastAsia="Times New Roman" w:hAnsi="Segoe UI" w:cs="Segoe UI"/>
          <w:kern w:val="0"/>
          <w:sz w:val="21"/>
          <w:szCs w:val="21"/>
          <w:lang w:eastAsia="en-GB"/>
          <w14:ligatures w14:val="none"/>
        </w:rPr>
        <w:t> and often the easiest win.</w:t>
      </w:r>
    </w:p>
    <w:p w14:paraId="3C273572" w14:textId="77777777" w:rsidR="00376AC1" w:rsidRPr="00376AC1" w:rsidRDefault="00376AC1" w:rsidP="00376AC1">
      <w:pPr>
        <w:numPr>
          <w:ilvl w:val="0"/>
          <w:numId w:val="3"/>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Add </w:t>
      </w:r>
      <w:r w:rsidRPr="00376AC1">
        <w:rPr>
          <w:rFonts w:ascii="Segoe UI" w:eastAsia="Times New Roman" w:hAnsi="Segoe UI" w:cs="Segoe UI"/>
          <w:b/>
          <w:bCs/>
          <w:kern w:val="0"/>
          <w:sz w:val="21"/>
          <w:szCs w:val="21"/>
          <w:lang w:eastAsia="en-GB"/>
          <w14:ligatures w14:val="none"/>
        </w:rPr>
        <w:t>descriptions and synonyms</w:t>
      </w:r>
      <w:r w:rsidRPr="00376AC1">
        <w:rPr>
          <w:rFonts w:ascii="Segoe UI" w:eastAsia="Times New Roman" w:hAnsi="Segoe UI" w:cs="Segoe UI"/>
          <w:kern w:val="0"/>
          <w:sz w:val="21"/>
          <w:szCs w:val="21"/>
          <w:lang w:eastAsia="en-GB"/>
          <w14:ligatures w14:val="none"/>
        </w:rPr>
        <w:t> to clarify what columns mean</w:t>
      </w:r>
    </w:p>
    <w:p w14:paraId="473A2623" w14:textId="77777777" w:rsidR="00376AC1" w:rsidRPr="00376AC1" w:rsidRDefault="00376AC1" w:rsidP="00376AC1">
      <w:pPr>
        <w:numPr>
          <w:ilvl w:val="0"/>
          <w:numId w:val="3"/>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Resolve ambiguity across similar fields</w:t>
      </w:r>
    </w:p>
    <w:p w14:paraId="1CD5F0BF" w14:textId="77777777" w:rsidR="00376AC1" w:rsidRPr="00376AC1" w:rsidRDefault="00376AC1" w:rsidP="00376AC1">
      <w:pPr>
        <w:numPr>
          <w:ilvl w:val="0"/>
          <w:numId w:val="3"/>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Help Genie select the right columns when questions are vague</w:t>
      </w:r>
    </w:p>
    <w:p w14:paraId="568195AB"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Also enable </w:t>
      </w:r>
      <w:r w:rsidRPr="00376AC1">
        <w:rPr>
          <w:rFonts w:ascii="Segoe UI" w:eastAsia="Times New Roman" w:hAnsi="Segoe UI" w:cs="Segoe UI"/>
          <w:b/>
          <w:bCs/>
          <w:kern w:val="0"/>
          <w:sz w:val="21"/>
          <w:szCs w:val="21"/>
          <w:lang w:eastAsia="en-GB"/>
          <w14:ligatures w14:val="none"/>
        </w:rPr>
        <w:t>prompt matching</w:t>
      </w:r>
      <w:r w:rsidRPr="00376AC1">
        <w:rPr>
          <w:rFonts w:ascii="Segoe UI" w:eastAsia="Times New Roman" w:hAnsi="Segoe UI" w:cs="Segoe UI"/>
          <w:kern w:val="0"/>
          <w:sz w:val="21"/>
          <w:szCs w:val="21"/>
          <w:lang w:eastAsia="en-GB"/>
          <w14:ligatures w14:val="none"/>
        </w:rPr>
        <w:t>:</w:t>
      </w:r>
    </w:p>
    <w:p w14:paraId="4457A97F" w14:textId="77777777" w:rsidR="00376AC1" w:rsidRPr="00376AC1" w:rsidRDefault="00376AC1" w:rsidP="00376AC1">
      <w:pPr>
        <w:numPr>
          <w:ilvl w:val="0"/>
          <w:numId w:val="4"/>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b/>
          <w:bCs/>
          <w:kern w:val="0"/>
          <w:sz w:val="21"/>
          <w:szCs w:val="21"/>
          <w:lang w:eastAsia="en-GB"/>
          <w14:ligatures w14:val="none"/>
        </w:rPr>
        <w:t>Format assistance</w:t>
      </w:r>
      <w:r w:rsidRPr="00376AC1">
        <w:rPr>
          <w:rFonts w:ascii="Segoe UI" w:eastAsia="Times New Roman" w:hAnsi="Segoe UI" w:cs="Segoe UI"/>
          <w:kern w:val="0"/>
          <w:sz w:val="21"/>
          <w:szCs w:val="21"/>
          <w:lang w:eastAsia="en-GB"/>
          <w14:ligatures w14:val="none"/>
        </w:rPr>
        <w:t> helps Genie understand data formats and value patterns</w:t>
      </w:r>
    </w:p>
    <w:p w14:paraId="720E47F2" w14:textId="77777777" w:rsidR="00376AC1" w:rsidRPr="00376AC1" w:rsidRDefault="00376AC1" w:rsidP="00376AC1">
      <w:pPr>
        <w:numPr>
          <w:ilvl w:val="0"/>
          <w:numId w:val="4"/>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b/>
          <w:bCs/>
          <w:kern w:val="0"/>
          <w:sz w:val="21"/>
          <w:szCs w:val="21"/>
          <w:lang w:eastAsia="en-GB"/>
          <w14:ligatures w14:val="none"/>
        </w:rPr>
        <w:t>Entity matching</w:t>
      </w:r>
      <w:r w:rsidRPr="00376AC1">
        <w:rPr>
          <w:rFonts w:ascii="Segoe UI" w:eastAsia="Times New Roman" w:hAnsi="Segoe UI" w:cs="Segoe UI"/>
          <w:kern w:val="0"/>
          <w:sz w:val="21"/>
          <w:szCs w:val="21"/>
          <w:lang w:eastAsia="en-GB"/>
          <w14:ligatures w14:val="none"/>
        </w:rPr>
        <w:t> maps user language, including misspellings, to real data values</w:t>
      </w:r>
    </w:p>
    <w:p w14:paraId="28EB14D0"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Many spaces improve significantly at this stage before any SQL is added.</w:t>
      </w:r>
    </w:p>
    <w:p w14:paraId="5D8A39D1" w14:textId="77777777" w:rsidR="00376AC1" w:rsidRPr="00376AC1" w:rsidRDefault="00376AC1" w:rsidP="00376AC1">
      <w:pPr>
        <w:shd w:val="clear" w:color="auto" w:fill="FFFFFF"/>
        <w:spacing w:before="216" w:after="96" w:line="240" w:lineRule="auto"/>
        <w:outlineLvl w:val="3"/>
        <w:rPr>
          <w:rFonts w:ascii="Segoe UI" w:eastAsia="Times New Roman" w:hAnsi="Segoe UI" w:cs="Segoe UI"/>
          <w:b/>
          <w:bCs/>
          <w:kern w:val="0"/>
          <w:lang w:eastAsia="en-GB"/>
          <w14:ligatures w14:val="none"/>
        </w:rPr>
      </w:pPr>
      <w:r w:rsidRPr="00376AC1">
        <w:rPr>
          <w:rFonts w:ascii="Segoe UI" w:eastAsia="Times New Roman" w:hAnsi="Segoe UI" w:cs="Segoe UI"/>
          <w:b/>
          <w:bCs/>
          <w:kern w:val="0"/>
          <w:lang w:eastAsia="en-GB"/>
          <w14:ligatures w14:val="none"/>
        </w:rPr>
        <w:t>4. Add SQL Expressions</w:t>
      </w:r>
    </w:p>
    <w:p w14:paraId="1AD8E0FE"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SQL expressions define your reusable business logic.</w:t>
      </w:r>
    </w:p>
    <w:p w14:paraId="0D3C307E" w14:textId="77777777" w:rsidR="00376AC1" w:rsidRPr="00376AC1" w:rsidRDefault="00376AC1" w:rsidP="00376AC1">
      <w:pPr>
        <w:numPr>
          <w:ilvl w:val="0"/>
          <w:numId w:val="5"/>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Define metrics and KPIs</w:t>
      </w:r>
    </w:p>
    <w:p w14:paraId="591CF86F" w14:textId="77777777" w:rsidR="00376AC1" w:rsidRPr="00376AC1" w:rsidRDefault="00376AC1" w:rsidP="00376AC1">
      <w:pPr>
        <w:numPr>
          <w:ilvl w:val="0"/>
          <w:numId w:val="5"/>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Create reusable filters and dimensions</w:t>
      </w:r>
    </w:p>
    <w:p w14:paraId="4773B009" w14:textId="77777777" w:rsidR="00376AC1" w:rsidRPr="00376AC1" w:rsidRDefault="00376AC1" w:rsidP="00376AC1">
      <w:pPr>
        <w:numPr>
          <w:ilvl w:val="0"/>
          <w:numId w:val="5"/>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Standardize how business terms are calculated</w:t>
      </w:r>
    </w:p>
    <w:p w14:paraId="3C3530D2"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Recommended to use SQL expressions for </w:t>
      </w:r>
      <w:r w:rsidRPr="00376AC1">
        <w:rPr>
          <w:rFonts w:ascii="Segoe UI" w:eastAsia="Times New Roman" w:hAnsi="Segoe UI" w:cs="Segoe UI"/>
          <w:b/>
          <w:bCs/>
          <w:kern w:val="0"/>
          <w:sz w:val="21"/>
          <w:szCs w:val="21"/>
          <w:lang w:eastAsia="en-GB"/>
          <w14:ligatures w14:val="none"/>
        </w:rPr>
        <w:t>common, reusable definitions</w:t>
      </w:r>
      <w:r w:rsidRPr="00376AC1">
        <w:rPr>
          <w:rFonts w:ascii="Segoe UI" w:eastAsia="Times New Roman" w:hAnsi="Segoe UI" w:cs="Segoe UI"/>
          <w:kern w:val="0"/>
          <w:sz w:val="21"/>
          <w:szCs w:val="21"/>
          <w:lang w:eastAsia="en-GB"/>
          <w14:ligatures w14:val="none"/>
        </w:rPr>
        <w:t> instead of text.</w:t>
      </w:r>
    </w:p>
    <w:p w14:paraId="5F9EC32D" w14:textId="77777777" w:rsidR="00376AC1" w:rsidRPr="00376AC1" w:rsidRDefault="00376AC1" w:rsidP="00376AC1">
      <w:pPr>
        <w:shd w:val="clear" w:color="auto" w:fill="FFFFFF"/>
        <w:spacing w:before="216" w:after="96" w:line="240" w:lineRule="auto"/>
        <w:outlineLvl w:val="3"/>
        <w:rPr>
          <w:rFonts w:ascii="Segoe UI" w:eastAsia="Times New Roman" w:hAnsi="Segoe UI" w:cs="Segoe UI"/>
          <w:b/>
          <w:bCs/>
          <w:kern w:val="0"/>
          <w:lang w:eastAsia="en-GB"/>
          <w14:ligatures w14:val="none"/>
        </w:rPr>
      </w:pPr>
      <w:r w:rsidRPr="00376AC1">
        <w:rPr>
          <w:rFonts w:ascii="Segoe UI" w:eastAsia="Times New Roman" w:hAnsi="Segoe UI" w:cs="Segoe UI"/>
          <w:b/>
          <w:bCs/>
          <w:kern w:val="0"/>
          <w:lang w:eastAsia="en-GB"/>
          <w14:ligatures w14:val="none"/>
        </w:rPr>
        <w:t>5. Add Example SQL Queries</w:t>
      </w:r>
    </w:p>
    <w:p w14:paraId="68B27BD9"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Example SQL queries teach Genie how to answer common or complex questions.</w:t>
      </w:r>
    </w:p>
    <w:p w14:paraId="22462041" w14:textId="77777777" w:rsidR="00376AC1" w:rsidRPr="00376AC1" w:rsidRDefault="00376AC1" w:rsidP="00376AC1">
      <w:pPr>
        <w:numPr>
          <w:ilvl w:val="0"/>
          <w:numId w:val="6"/>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Pair natural language questions with verified SQL</w:t>
      </w:r>
    </w:p>
    <w:p w14:paraId="77503115" w14:textId="77777777" w:rsidR="00376AC1" w:rsidRPr="00376AC1" w:rsidRDefault="00376AC1" w:rsidP="00376AC1">
      <w:pPr>
        <w:numPr>
          <w:ilvl w:val="0"/>
          <w:numId w:val="6"/>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Use them for multi-step logic or ambiguous prompts</w:t>
      </w:r>
    </w:p>
    <w:p w14:paraId="5A77D9CE" w14:textId="77777777" w:rsidR="00376AC1" w:rsidRPr="00376AC1" w:rsidRDefault="00376AC1" w:rsidP="00376AC1">
      <w:pPr>
        <w:numPr>
          <w:ilvl w:val="0"/>
          <w:numId w:val="6"/>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Parameterized examples can be reused as patterns</w:t>
      </w:r>
    </w:p>
    <w:p w14:paraId="42EB9252"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Genie can use these examples directly or learn from them to answer similar questions.</w:t>
      </w:r>
    </w:p>
    <w:p w14:paraId="62592F80" w14:textId="77777777" w:rsidR="00376AC1" w:rsidRPr="00376AC1" w:rsidRDefault="00376AC1" w:rsidP="00376AC1">
      <w:pPr>
        <w:shd w:val="clear" w:color="auto" w:fill="FFFFFF"/>
        <w:spacing w:before="216" w:after="96" w:line="240" w:lineRule="auto"/>
        <w:outlineLvl w:val="3"/>
        <w:rPr>
          <w:rFonts w:ascii="Segoe UI" w:eastAsia="Times New Roman" w:hAnsi="Segoe UI" w:cs="Segoe UI"/>
          <w:b/>
          <w:bCs/>
          <w:kern w:val="0"/>
          <w:lang w:eastAsia="en-GB"/>
          <w14:ligatures w14:val="none"/>
        </w:rPr>
      </w:pPr>
      <w:r w:rsidRPr="00376AC1">
        <w:rPr>
          <w:rFonts w:ascii="Segoe UI" w:eastAsia="Times New Roman" w:hAnsi="Segoe UI" w:cs="Segoe UI"/>
          <w:b/>
          <w:bCs/>
          <w:kern w:val="0"/>
          <w:lang w:eastAsia="en-GB"/>
          <w14:ligatures w14:val="none"/>
        </w:rPr>
        <w:t>6. Add General Instructions</w:t>
      </w:r>
    </w:p>
    <w:p w14:paraId="128027EE"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Use text instructions only when something </w:t>
      </w:r>
      <w:r w:rsidRPr="00376AC1">
        <w:rPr>
          <w:rFonts w:ascii="Segoe UI" w:eastAsia="Times New Roman" w:hAnsi="Segoe UI" w:cs="Segoe UI"/>
          <w:b/>
          <w:bCs/>
          <w:kern w:val="0"/>
          <w:sz w:val="21"/>
          <w:szCs w:val="21"/>
          <w:lang w:eastAsia="en-GB"/>
          <w14:ligatures w14:val="none"/>
        </w:rPr>
        <w:t>cannot be expressed in SQL or metadata</w:t>
      </w:r>
      <w:r w:rsidRPr="00376AC1">
        <w:rPr>
          <w:rFonts w:ascii="Segoe UI" w:eastAsia="Times New Roman" w:hAnsi="Segoe UI" w:cs="Segoe UI"/>
          <w:kern w:val="0"/>
          <w:sz w:val="21"/>
          <w:szCs w:val="21"/>
          <w:lang w:eastAsia="en-GB"/>
          <w14:ligatures w14:val="none"/>
        </w:rPr>
        <w:t>.</w:t>
      </w:r>
    </w:p>
    <w:p w14:paraId="5988948D"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Good use cases include:</w:t>
      </w:r>
    </w:p>
    <w:p w14:paraId="67B7BCD0" w14:textId="77777777" w:rsidR="00376AC1" w:rsidRPr="00376AC1" w:rsidRDefault="00376AC1" w:rsidP="00376AC1">
      <w:pPr>
        <w:numPr>
          <w:ilvl w:val="0"/>
          <w:numId w:val="7"/>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Clarification rules</w:t>
      </w:r>
    </w:p>
    <w:p w14:paraId="0ED35E5E" w14:textId="77777777" w:rsidR="00376AC1" w:rsidRPr="00376AC1" w:rsidRDefault="00376AC1" w:rsidP="00376AC1">
      <w:pPr>
        <w:numPr>
          <w:ilvl w:val="0"/>
          <w:numId w:val="7"/>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 xml:space="preserve">Formatting and output </w:t>
      </w:r>
      <w:proofErr w:type="spellStart"/>
      <w:r w:rsidRPr="00376AC1">
        <w:rPr>
          <w:rFonts w:ascii="Segoe UI" w:eastAsia="Times New Roman" w:hAnsi="Segoe UI" w:cs="Segoe UI"/>
          <w:kern w:val="0"/>
          <w:sz w:val="21"/>
          <w:szCs w:val="21"/>
          <w:lang w:eastAsia="en-GB"/>
          <w14:ligatures w14:val="none"/>
        </w:rPr>
        <w:t>behavior</w:t>
      </w:r>
      <w:proofErr w:type="spellEnd"/>
    </w:p>
    <w:p w14:paraId="5DD7F7B7" w14:textId="77777777" w:rsidR="00376AC1" w:rsidRPr="00376AC1" w:rsidRDefault="00376AC1" w:rsidP="00376AC1">
      <w:pPr>
        <w:numPr>
          <w:ilvl w:val="0"/>
          <w:numId w:val="7"/>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Language or response preferences</w:t>
      </w:r>
    </w:p>
    <w:p w14:paraId="53C1FF25" w14:textId="77777777" w:rsidR="00376AC1" w:rsidRPr="00376AC1" w:rsidRDefault="00376AC1" w:rsidP="00376AC1">
      <w:pPr>
        <w:pStyle w:val="Heading4"/>
        <w:shd w:val="clear" w:color="auto" w:fill="FFFFFF"/>
        <w:spacing w:before="216" w:after="96"/>
        <w:rPr>
          <w:rFonts w:ascii="Segoe UI" w:eastAsia="Times New Roman" w:hAnsi="Segoe UI" w:cs="Segoe UI"/>
          <w:b/>
          <w:bCs/>
          <w:i w:val="0"/>
          <w:iCs w:val="0"/>
          <w:color w:val="auto"/>
          <w:kern w:val="0"/>
          <w:lang w:eastAsia="en-GB"/>
          <w14:ligatures w14:val="none"/>
        </w:rPr>
      </w:pPr>
      <w:r w:rsidRPr="00376AC1">
        <w:rPr>
          <w:rFonts w:ascii="Segoe UI" w:eastAsia="Times New Roman" w:hAnsi="Segoe UI" w:cs="Segoe UI"/>
          <w:b/>
          <w:bCs/>
          <w:kern w:val="0"/>
          <w:sz w:val="21"/>
          <w:szCs w:val="21"/>
          <w:lang w:eastAsia="en-GB"/>
          <w14:ligatures w14:val="none"/>
        </w:rPr>
        <w:lastRenderedPageBreak/>
        <w:t>Avoid using instructions to define metrics, joins, or logic.</w:t>
      </w:r>
      <w:r>
        <w:rPr>
          <w:rFonts w:ascii="Segoe UI" w:eastAsia="Times New Roman" w:hAnsi="Segoe UI" w:cs="Segoe UI"/>
          <w:b/>
          <w:bCs/>
          <w:kern w:val="0"/>
          <w:sz w:val="21"/>
          <w:szCs w:val="21"/>
          <w:lang w:eastAsia="en-GB"/>
          <w14:ligatures w14:val="none"/>
        </w:rPr>
        <w:br/>
      </w:r>
      <w:r>
        <w:rPr>
          <w:rFonts w:ascii="Segoe UI" w:eastAsia="Times New Roman" w:hAnsi="Segoe UI" w:cs="Segoe UI"/>
          <w:b/>
          <w:bCs/>
          <w:kern w:val="0"/>
          <w:sz w:val="21"/>
          <w:szCs w:val="21"/>
          <w:lang w:eastAsia="en-GB"/>
          <w14:ligatures w14:val="none"/>
        </w:rPr>
        <w:br/>
      </w:r>
      <w:r>
        <w:rPr>
          <w:rFonts w:ascii="Segoe UI" w:eastAsia="Times New Roman" w:hAnsi="Segoe UI" w:cs="Segoe UI"/>
          <w:b/>
          <w:bCs/>
          <w:kern w:val="0"/>
          <w:sz w:val="21"/>
          <w:szCs w:val="21"/>
          <w:lang w:eastAsia="en-GB"/>
          <w14:ligatures w14:val="none"/>
        </w:rPr>
        <w:br/>
      </w:r>
      <w:r>
        <w:rPr>
          <w:rFonts w:ascii="Segoe UI" w:eastAsia="Times New Roman" w:hAnsi="Segoe UI" w:cs="Segoe UI"/>
          <w:b/>
          <w:bCs/>
          <w:kern w:val="0"/>
          <w:sz w:val="21"/>
          <w:szCs w:val="21"/>
          <w:lang w:eastAsia="en-GB"/>
          <w14:ligatures w14:val="none"/>
        </w:rPr>
        <w:br/>
      </w:r>
      <w:r>
        <w:rPr>
          <w:rFonts w:ascii="Segoe UI" w:eastAsia="Times New Roman" w:hAnsi="Segoe UI" w:cs="Segoe UI"/>
          <w:b/>
          <w:bCs/>
          <w:kern w:val="0"/>
          <w:sz w:val="21"/>
          <w:szCs w:val="21"/>
          <w:lang w:eastAsia="en-GB"/>
          <w14:ligatures w14:val="none"/>
        </w:rPr>
        <w:br/>
      </w:r>
      <w:r w:rsidRPr="00376AC1">
        <w:rPr>
          <w:rFonts w:ascii="Segoe UI" w:eastAsia="Times New Roman" w:hAnsi="Segoe UI" w:cs="Segoe UI"/>
          <w:b/>
          <w:bCs/>
          <w:i w:val="0"/>
          <w:iCs w:val="0"/>
          <w:color w:val="auto"/>
          <w:kern w:val="0"/>
          <w:lang w:eastAsia="en-GB"/>
          <w14:ligatures w14:val="none"/>
        </w:rPr>
        <w:t>Why Table Quality Matters</w:t>
      </w:r>
    </w:p>
    <w:p w14:paraId="5465FEC3"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No amount of instructions can compensate for poorly structured input data. If your column names are cryptic, your data is inconsistent, or your tables require complex transformations to be useful, Genie will struggle regardless of how much guidance you provide.</w:t>
      </w:r>
    </w:p>
    <w:p w14:paraId="67EB7440" w14:textId="77777777" w:rsidR="00376AC1" w:rsidRPr="00376AC1" w:rsidRDefault="00376AC1" w:rsidP="00376AC1">
      <w:pPr>
        <w:shd w:val="clear" w:color="auto" w:fill="FFFFFF"/>
        <w:spacing w:before="216" w:after="96" w:line="240" w:lineRule="auto"/>
        <w:outlineLvl w:val="3"/>
        <w:rPr>
          <w:rFonts w:ascii="Segoe UI" w:eastAsia="Times New Roman" w:hAnsi="Segoe UI" w:cs="Segoe UI"/>
          <w:b/>
          <w:bCs/>
          <w:kern w:val="0"/>
          <w:lang w:eastAsia="en-GB"/>
          <w14:ligatures w14:val="none"/>
        </w:rPr>
      </w:pPr>
      <w:r w:rsidRPr="00376AC1">
        <w:rPr>
          <w:rFonts w:ascii="Segoe UI" w:eastAsia="Times New Roman" w:hAnsi="Segoe UI" w:cs="Segoe UI"/>
          <w:b/>
          <w:bCs/>
          <w:kern w:val="0"/>
          <w:lang w:eastAsia="en-GB"/>
          <w14:ligatures w14:val="none"/>
        </w:rPr>
        <w:t>Best Practices</w:t>
      </w:r>
    </w:p>
    <w:p w14:paraId="4ED7AD4A" w14:textId="77777777" w:rsidR="00376AC1" w:rsidRPr="00376AC1" w:rsidRDefault="00376AC1" w:rsidP="00376AC1">
      <w:pPr>
        <w:numPr>
          <w:ilvl w:val="0"/>
          <w:numId w:val="8"/>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b/>
          <w:bCs/>
          <w:kern w:val="0"/>
          <w:sz w:val="21"/>
          <w:szCs w:val="21"/>
          <w:lang w:eastAsia="en-GB"/>
          <w14:ligatures w14:val="none"/>
        </w:rPr>
        <w:t>Use gold tables</w:t>
      </w:r>
      <w:r w:rsidRPr="00376AC1">
        <w:rPr>
          <w:rFonts w:ascii="Segoe UI" w:eastAsia="Times New Roman" w:hAnsi="Segoe UI" w:cs="Segoe UI"/>
          <w:kern w:val="0"/>
          <w:sz w:val="21"/>
          <w:szCs w:val="21"/>
          <w:lang w:eastAsia="en-GB"/>
          <w14:ligatures w14:val="none"/>
        </w:rPr>
        <w:t> - curated, analytics-ready tables that represent the final layer of your data pipeline. This is what we did in the previous demo with the </w:t>
      </w:r>
      <w:r w:rsidRPr="00376AC1">
        <w:rPr>
          <w:rFonts w:ascii="Menlo" w:eastAsia="Times New Roman" w:hAnsi="Menlo" w:cs="Menlo"/>
          <w:kern w:val="0"/>
          <w:sz w:val="20"/>
          <w:szCs w:val="20"/>
          <w:bdr w:val="none" w:sz="0" w:space="0" w:color="auto" w:frame="1"/>
          <w:shd w:val="clear" w:color="auto" w:fill="EEEEEE"/>
          <w:lang w:eastAsia="en-GB"/>
          <w14:ligatures w14:val="none"/>
        </w:rPr>
        <w:t>_gold</w:t>
      </w:r>
      <w:r w:rsidRPr="00376AC1">
        <w:rPr>
          <w:rFonts w:ascii="Segoe UI" w:eastAsia="Times New Roman" w:hAnsi="Segoe UI" w:cs="Segoe UI"/>
          <w:kern w:val="0"/>
          <w:sz w:val="21"/>
          <w:szCs w:val="21"/>
          <w:lang w:eastAsia="en-GB"/>
          <w14:ligatures w14:val="none"/>
        </w:rPr>
        <w:t> suffix tables.</w:t>
      </w:r>
    </w:p>
    <w:p w14:paraId="431FDB41" w14:textId="77777777" w:rsidR="00376AC1" w:rsidRPr="00376AC1" w:rsidRDefault="00376AC1" w:rsidP="00376AC1">
      <w:pPr>
        <w:numPr>
          <w:ilvl w:val="0"/>
          <w:numId w:val="8"/>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b/>
          <w:bCs/>
          <w:kern w:val="0"/>
          <w:sz w:val="21"/>
          <w:szCs w:val="21"/>
          <w:lang w:eastAsia="en-GB"/>
          <w14:ligatures w14:val="none"/>
        </w:rPr>
        <w:t>Keep tables focused</w:t>
      </w:r>
      <w:r w:rsidRPr="00376AC1">
        <w:rPr>
          <w:rFonts w:ascii="Segoe UI" w:eastAsia="Times New Roman" w:hAnsi="Segoe UI" w:cs="Segoe UI"/>
          <w:kern w:val="0"/>
          <w:sz w:val="21"/>
          <w:szCs w:val="21"/>
          <w:lang w:eastAsia="en-GB"/>
          <w14:ligatures w14:val="none"/>
        </w:rPr>
        <w:t> - A space with 5 well-chosen tables will outperform a space with 20 loosely related ones. The more tables you add, the more likely Genie is to pick the wrong one.</w:t>
      </w:r>
    </w:p>
    <w:p w14:paraId="382B319E" w14:textId="77777777" w:rsidR="00376AC1" w:rsidRPr="00376AC1" w:rsidRDefault="00376AC1" w:rsidP="00376AC1">
      <w:pPr>
        <w:numPr>
          <w:ilvl w:val="0"/>
          <w:numId w:val="8"/>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b/>
          <w:bCs/>
          <w:kern w:val="0"/>
          <w:sz w:val="21"/>
          <w:szCs w:val="21"/>
          <w:lang w:eastAsia="en-GB"/>
          <w14:ligatures w14:val="none"/>
        </w:rPr>
        <w:t>Define relationships</w:t>
      </w:r>
      <w:r w:rsidRPr="00376AC1">
        <w:rPr>
          <w:rFonts w:ascii="Segoe UI" w:eastAsia="Times New Roman" w:hAnsi="Segoe UI" w:cs="Segoe UI"/>
          <w:kern w:val="0"/>
          <w:sz w:val="21"/>
          <w:szCs w:val="21"/>
          <w:lang w:eastAsia="en-GB"/>
          <w14:ligatures w14:val="none"/>
        </w:rPr>
        <w:t xml:space="preserve"> - If foreign key relationships are defined in Unity </w:t>
      </w:r>
      <w:proofErr w:type="spellStart"/>
      <w:r w:rsidRPr="00376AC1">
        <w:rPr>
          <w:rFonts w:ascii="Segoe UI" w:eastAsia="Times New Roman" w:hAnsi="Segoe UI" w:cs="Segoe UI"/>
          <w:kern w:val="0"/>
          <w:sz w:val="21"/>
          <w:szCs w:val="21"/>
          <w:lang w:eastAsia="en-GB"/>
          <w14:ligatures w14:val="none"/>
        </w:rPr>
        <w:t>Catalog</w:t>
      </w:r>
      <w:proofErr w:type="spellEnd"/>
      <w:r w:rsidRPr="00376AC1">
        <w:rPr>
          <w:rFonts w:ascii="Segoe UI" w:eastAsia="Times New Roman" w:hAnsi="Segoe UI" w:cs="Segoe UI"/>
          <w:kern w:val="0"/>
          <w:sz w:val="21"/>
          <w:szCs w:val="21"/>
          <w:lang w:eastAsia="en-GB"/>
          <w14:ligatures w14:val="none"/>
        </w:rPr>
        <w:t>, Genie can use them to determine how tables join together. If they are not defined, document the relationships in instructions.</w:t>
      </w:r>
    </w:p>
    <w:p w14:paraId="6C1B4E8A" w14:textId="77777777" w:rsidR="00376AC1" w:rsidRPr="00376AC1" w:rsidRDefault="00376AC1" w:rsidP="00376AC1">
      <w:pPr>
        <w:numPr>
          <w:ilvl w:val="0"/>
          <w:numId w:val="8"/>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b/>
          <w:bCs/>
          <w:kern w:val="0"/>
          <w:sz w:val="21"/>
          <w:szCs w:val="21"/>
          <w:lang w:eastAsia="en-GB"/>
          <w14:ligatures w14:val="none"/>
        </w:rPr>
        <w:t>Clear column names</w:t>
      </w:r>
      <w:r w:rsidRPr="00376AC1">
        <w:rPr>
          <w:rFonts w:ascii="Segoe UI" w:eastAsia="Times New Roman" w:hAnsi="Segoe UI" w:cs="Segoe UI"/>
          <w:kern w:val="0"/>
          <w:sz w:val="21"/>
          <w:szCs w:val="21"/>
          <w:lang w:eastAsia="en-GB"/>
          <w14:ligatures w14:val="none"/>
        </w:rPr>
        <w:t> - If a column is named </w:t>
      </w:r>
      <w:r w:rsidRPr="00376AC1">
        <w:rPr>
          <w:rFonts w:ascii="Menlo" w:eastAsia="Times New Roman" w:hAnsi="Menlo" w:cs="Menlo"/>
          <w:kern w:val="0"/>
          <w:sz w:val="20"/>
          <w:szCs w:val="20"/>
          <w:bdr w:val="none" w:sz="0" w:space="0" w:color="auto" w:frame="1"/>
          <w:shd w:val="clear" w:color="auto" w:fill="EEEEEE"/>
          <w:lang w:eastAsia="en-GB"/>
          <w14:ligatures w14:val="none"/>
        </w:rPr>
        <w:t>size</w:t>
      </w:r>
      <w:r w:rsidRPr="00376AC1">
        <w:rPr>
          <w:rFonts w:ascii="Segoe UI" w:eastAsia="Times New Roman" w:hAnsi="Segoe UI" w:cs="Segoe UI"/>
          <w:kern w:val="0"/>
          <w:sz w:val="21"/>
          <w:szCs w:val="21"/>
          <w:lang w:eastAsia="en-GB"/>
          <w14:ligatures w14:val="none"/>
        </w:rPr>
        <w:t>, that is ambiguous. A column named </w:t>
      </w:r>
      <w:proofErr w:type="spellStart"/>
      <w:r w:rsidRPr="00376AC1">
        <w:rPr>
          <w:rFonts w:ascii="Menlo" w:eastAsia="Times New Roman" w:hAnsi="Menlo" w:cs="Menlo"/>
          <w:kern w:val="0"/>
          <w:sz w:val="20"/>
          <w:szCs w:val="20"/>
          <w:bdr w:val="none" w:sz="0" w:space="0" w:color="auto" w:frame="1"/>
          <w:shd w:val="clear" w:color="auto" w:fill="EEEEEE"/>
          <w:lang w:eastAsia="en-GB"/>
          <w14:ligatures w14:val="none"/>
        </w:rPr>
        <w:t>franchise_size_category</w:t>
      </w:r>
      <w:proofErr w:type="spellEnd"/>
      <w:r w:rsidRPr="00376AC1">
        <w:rPr>
          <w:rFonts w:ascii="Segoe UI" w:eastAsia="Times New Roman" w:hAnsi="Segoe UI" w:cs="Segoe UI"/>
          <w:kern w:val="0"/>
          <w:sz w:val="21"/>
          <w:szCs w:val="21"/>
          <w:lang w:eastAsia="en-GB"/>
          <w14:ligatures w14:val="none"/>
        </w:rPr>
        <w:t> is self-documenting. When you cannot rename columns, add descriptions instead.</w:t>
      </w:r>
    </w:p>
    <w:p w14:paraId="6EA103A9" w14:textId="77777777" w:rsidR="00376AC1" w:rsidRPr="00376AC1" w:rsidRDefault="00376AC1" w:rsidP="00376AC1">
      <w:pPr>
        <w:numPr>
          <w:ilvl w:val="0"/>
          <w:numId w:val="8"/>
        </w:numPr>
        <w:shd w:val="clear" w:color="auto" w:fill="FFFFFF"/>
        <w:spacing w:before="100" w:beforeAutospacing="1" w:after="100" w:afterAutospacing="1"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b/>
          <w:bCs/>
          <w:kern w:val="0"/>
          <w:sz w:val="21"/>
          <w:szCs w:val="21"/>
          <w:lang w:eastAsia="en-GB"/>
          <w14:ligatures w14:val="none"/>
        </w:rPr>
        <w:t>Don't auto-generate descriptions</w:t>
      </w:r>
      <w:r w:rsidRPr="00376AC1">
        <w:rPr>
          <w:rFonts w:ascii="Segoe UI" w:eastAsia="Times New Roman" w:hAnsi="Segoe UI" w:cs="Segoe UI"/>
          <w:kern w:val="0"/>
          <w:sz w:val="21"/>
          <w:szCs w:val="21"/>
          <w:lang w:eastAsia="en-GB"/>
          <w14:ligatures w14:val="none"/>
        </w:rPr>
        <w:t> - AI-generated column comments can be generic or misleading. Only add descriptions that provide context Genie would not otherwise have.</w:t>
      </w:r>
    </w:p>
    <w:p w14:paraId="32164A14" w14:textId="77777777" w:rsidR="00376AC1" w:rsidRPr="00376AC1" w:rsidRDefault="00376AC1" w:rsidP="00376AC1">
      <w:pPr>
        <w:shd w:val="clear" w:color="auto" w:fill="FFFFFF"/>
        <w:spacing w:before="216" w:after="96" w:line="240" w:lineRule="auto"/>
        <w:outlineLvl w:val="3"/>
        <w:rPr>
          <w:rFonts w:ascii="Segoe UI" w:eastAsia="Times New Roman" w:hAnsi="Segoe UI" w:cs="Segoe UI"/>
          <w:b/>
          <w:bCs/>
          <w:kern w:val="0"/>
          <w:lang w:eastAsia="en-GB"/>
          <w14:ligatures w14:val="none"/>
        </w:rPr>
      </w:pPr>
      <w:r w:rsidRPr="00376AC1">
        <w:rPr>
          <w:rFonts w:ascii="Segoe UI" w:eastAsia="Times New Roman" w:hAnsi="Segoe UI" w:cs="Segoe UI"/>
          <w:b/>
          <w:bCs/>
          <w:kern w:val="0"/>
          <w:lang w:eastAsia="en-GB"/>
          <w14:ligatures w14:val="none"/>
        </w:rPr>
        <w:t>When to Use Views</w:t>
      </w:r>
    </w:p>
    <w:p w14:paraId="1C24B975"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kern w:val="0"/>
          <w:sz w:val="21"/>
          <w:szCs w:val="21"/>
          <w:lang w:eastAsia="en-GB"/>
          <w14:ligatures w14:val="none"/>
        </w:rPr>
        <w:t>If your data model is complex with many self-joins, complicated aggregations, or columns that need transformation consider creating a </w:t>
      </w:r>
      <w:r w:rsidRPr="00376AC1">
        <w:rPr>
          <w:rFonts w:ascii="Segoe UI" w:eastAsia="Times New Roman" w:hAnsi="Segoe UI" w:cs="Segoe UI"/>
          <w:b/>
          <w:bCs/>
          <w:kern w:val="0"/>
          <w:sz w:val="21"/>
          <w:szCs w:val="21"/>
          <w:lang w:eastAsia="en-GB"/>
          <w14:ligatures w14:val="none"/>
        </w:rPr>
        <w:t>view</w:t>
      </w:r>
      <w:r w:rsidRPr="00376AC1">
        <w:rPr>
          <w:rFonts w:ascii="Segoe UI" w:eastAsia="Times New Roman" w:hAnsi="Segoe UI" w:cs="Segoe UI"/>
          <w:kern w:val="0"/>
          <w:sz w:val="21"/>
          <w:szCs w:val="21"/>
          <w:lang w:eastAsia="en-GB"/>
          <w14:ligatures w14:val="none"/>
        </w:rPr>
        <w:t> that simplifies the data for Genie.</w:t>
      </w:r>
    </w:p>
    <w:p w14:paraId="47EB8F53" w14:textId="77777777"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r w:rsidRPr="00376AC1">
        <w:rPr>
          <w:rFonts w:ascii="Segoe UI" w:eastAsia="Times New Roman" w:hAnsi="Segoe UI" w:cs="Segoe UI"/>
          <w:b/>
          <w:bCs/>
          <w:kern w:val="0"/>
          <w:sz w:val="21"/>
          <w:szCs w:val="21"/>
          <w:lang w:eastAsia="en-GB"/>
          <w14:ligatures w14:val="none"/>
        </w:rPr>
        <w:t>A pre-joined, pre-aggregated view can dramatically reduce the complexity of the SQL Genie needs to generate.</w:t>
      </w:r>
    </w:p>
    <w:p w14:paraId="7F25B711" w14:textId="77777777" w:rsidR="00376AC1" w:rsidRDefault="00376AC1" w:rsidP="00376AC1">
      <w:pPr>
        <w:pStyle w:val="Heading2"/>
        <w:shd w:val="clear" w:color="auto" w:fill="FFFFFF"/>
        <w:spacing w:before="240" w:after="120"/>
        <w:rPr>
          <w:rFonts w:ascii="Segoe UI" w:hAnsi="Segoe UI" w:cs="Segoe UI"/>
        </w:rPr>
      </w:pPr>
      <w:r>
        <w:rPr>
          <w:rFonts w:ascii="Segoe UI" w:eastAsia="Times New Roman" w:hAnsi="Segoe UI" w:cs="Segoe UI"/>
          <w:kern w:val="0"/>
          <w:sz w:val="21"/>
          <w:szCs w:val="21"/>
          <w:lang w:eastAsia="en-GB"/>
          <w14:ligatures w14:val="none"/>
        </w:rPr>
        <w:br/>
      </w:r>
      <w:r>
        <w:rPr>
          <w:rFonts w:ascii="Segoe UI" w:eastAsia="Times New Roman" w:hAnsi="Segoe UI" w:cs="Segoe UI"/>
          <w:kern w:val="0"/>
          <w:sz w:val="21"/>
          <w:szCs w:val="21"/>
          <w:lang w:eastAsia="en-GB"/>
          <w14:ligatures w14:val="none"/>
        </w:rPr>
        <w:br/>
      </w:r>
      <w:r>
        <w:rPr>
          <w:rFonts w:ascii="Segoe UI" w:eastAsia="Times New Roman" w:hAnsi="Segoe UI" w:cs="Segoe UI"/>
          <w:kern w:val="0"/>
          <w:sz w:val="21"/>
          <w:szCs w:val="21"/>
          <w:lang w:eastAsia="en-GB"/>
          <w14:ligatures w14:val="none"/>
        </w:rPr>
        <w:br/>
      </w:r>
      <w:r>
        <w:rPr>
          <w:rFonts w:ascii="Segoe UI" w:hAnsi="Segoe UI" w:cs="Segoe UI"/>
        </w:rPr>
        <w:t>Where to Invest Time for the Biggest Impact</w:t>
      </w:r>
    </w:p>
    <w:p w14:paraId="64ED122A" w14:textId="77777777" w:rsidR="00376AC1" w:rsidRDefault="00376AC1" w:rsidP="00376AC1">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When building a Genie space, not all effort produces equal results.</w:t>
      </w:r>
    </w:p>
    <w:p w14:paraId="75DED35C" w14:textId="77777777" w:rsidR="00376AC1" w:rsidRDefault="00376AC1" w:rsidP="00376AC1">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Some improvements significantly increase accuracy and usability, while others add complexity without much benefit.</w:t>
      </w:r>
    </w:p>
    <w:p w14:paraId="005F652A" w14:textId="77777777" w:rsidR="00376AC1" w:rsidRDefault="00376AC1" w:rsidP="00376AC1">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Focus your time on the areas that have the </w:t>
      </w:r>
      <w:r>
        <w:rPr>
          <w:rStyle w:val="Strong"/>
          <w:rFonts w:ascii="Segoe UI" w:hAnsi="Segoe UI" w:cs="Segoe UI"/>
          <w:sz w:val="21"/>
          <w:szCs w:val="21"/>
        </w:rPr>
        <w:t>largest impact on how Genie understands and answers questions</w:t>
      </w:r>
      <w:r>
        <w:rPr>
          <w:rFonts w:ascii="Segoe UI" w:hAnsi="Segoe UI" w:cs="Segoe UI"/>
          <w:sz w:val="21"/>
          <w:szCs w:val="21"/>
        </w:rPr>
        <w:t>.</w:t>
      </w:r>
    </w:p>
    <w:p w14:paraId="66B8AF95" w14:textId="77777777" w:rsidR="00376AC1" w:rsidRDefault="00376AC1" w:rsidP="00376AC1">
      <w:pPr>
        <w:pStyle w:val="Heading3"/>
        <w:shd w:val="clear" w:color="auto" w:fill="FFFFFF"/>
        <w:spacing w:before="228" w:after="108"/>
        <w:rPr>
          <w:rFonts w:ascii="Segoe UI" w:hAnsi="Segoe UI" w:cs="Segoe UI"/>
          <w:sz w:val="27"/>
          <w:szCs w:val="27"/>
        </w:rPr>
      </w:pPr>
      <w:r>
        <w:rPr>
          <w:rFonts w:ascii="Segoe UI" w:hAnsi="Segoe UI" w:cs="Segoe UI"/>
        </w:rPr>
        <w:lastRenderedPageBreak/>
        <w:t>High-Impact Levers</w:t>
      </w:r>
    </w:p>
    <w:p w14:paraId="5634D13A" w14:textId="77777777" w:rsidR="00376AC1" w:rsidRDefault="00376AC1" w:rsidP="00376AC1">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These are the areas where your effort will most improve Genie performance:</w:t>
      </w:r>
    </w:p>
    <w:p w14:paraId="434B8E17" w14:textId="77777777" w:rsidR="00376AC1" w:rsidRDefault="00376AC1" w:rsidP="00376AC1">
      <w:pPr>
        <w:pStyle w:val="NormalWeb"/>
        <w:numPr>
          <w:ilvl w:val="0"/>
          <w:numId w:val="9"/>
        </w:numPr>
        <w:shd w:val="clear" w:color="auto" w:fill="FFFFFF"/>
        <w:spacing w:before="0" w:beforeAutospacing="0" w:after="240" w:afterAutospacing="0"/>
        <w:rPr>
          <w:rFonts w:ascii="Segoe UI" w:hAnsi="Segoe UI" w:cs="Segoe UI"/>
          <w:sz w:val="21"/>
          <w:szCs w:val="21"/>
        </w:rPr>
      </w:pPr>
      <w:r>
        <w:rPr>
          <w:rStyle w:val="Strong"/>
          <w:rFonts w:ascii="Segoe UI" w:hAnsi="Segoe UI" w:cs="Segoe UI"/>
          <w:sz w:val="21"/>
          <w:szCs w:val="21"/>
        </w:rPr>
        <w:t>Start with clear business questions and a focused scope</w:t>
      </w:r>
      <w:r>
        <w:rPr>
          <w:rFonts w:ascii="Segoe UI" w:hAnsi="Segoe UI" w:cs="Segoe UI"/>
          <w:sz w:val="21"/>
          <w:szCs w:val="21"/>
        </w:rPr>
        <w:t> - Define the key questions you want Genie to answer. Avoid trying to support everything at once.</w:t>
      </w:r>
    </w:p>
    <w:p w14:paraId="4496D109" w14:textId="77777777" w:rsidR="00376AC1" w:rsidRDefault="00376AC1" w:rsidP="00376AC1">
      <w:pPr>
        <w:pStyle w:val="NormalWeb"/>
        <w:numPr>
          <w:ilvl w:val="0"/>
          <w:numId w:val="9"/>
        </w:numPr>
        <w:shd w:val="clear" w:color="auto" w:fill="FFFFFF"/>
        <w:spacing w:before="0" w:beforeAutospacing="0" w:after="240" w:afterAutospacing="0"/>
        <w:rPr>
          <w:rFonts w:ascii="Segoe UI" w:hAnsi="Segoe UI" w:cs="Segoe UI"/>
          <w:sz w:val="21"/>
          <w:szCs w:val="21"/>
        </w:rPr>
      </w:pPr>
      <w:r>
        <w:rPr>
          <w:rStyle w:val="Strong"/>
          <w:rFonts w:ascii="Segoe UI" w:hAnsi="Segoe UI" w:cs="Segoe UI"/>
          <w:sz w:val="21"/>
          <w:szCs w:val="21"/>
        </w:rPr>
        <w:t>Well-described tables and columns using business language</w:t>
      </w:r>
      <w:r>
        <w:rPr>
          <w:rFonts w:ascii="Segoe UI" w:hAnsi="Segoe UI" w:cs="Segoe UI"/>
          <w:sz w:val="21"/>
          <w:szCs w:val="21"/>
        </w:rPr>
        <w:t> - Add clear, human-readable descriptions. Genie relies heavily on this context to interpret user questions correctly.</w:t>
      </w:r>
    </w:p>
    <w:p w14:paraId="68DE2773" w14:textId="77777777" w:rsidR="00376AC1" w:rsidRDefault="00376AC1" w:rsidP="00376AC1">
      <w:pPr>
        <w:pStyle w:val="NormalWeb"/>
        <w:numPr>
          <w:ilvl w:val="0"/>
          <w:numId w:val="9"/>
        </w:numPr>
        <w:shd w:val="clear" w:color="auto" w:fill="FFFFFF"/>
        <w:spacing w:before="0" w:beforeAutospacing="0" w:after="240" w:afterAutospacing="0"/>
        <w:rPr>
          <w:rFonts w:ascii="Segoe UI" w:hAnsi="Segoe UI" w:cs="Segoe UI"/>
          <w:sz w:val="21"/>
          <w:szCs w:val="21"/>
        </w:rPr>
      </w:pPr>
      <w:r>
        <w:rPr>
          <w:rStyle w:val="Strong"/>
          <w:rFonts w:ascii="Segoe UI" w:hAnsi="Segoe UI" w:cs="Segoe UI"/>
          <w:sz w:val="21"/>
          <w:szCs w:val="21"/>
        </w:rPr>
        <w:t>Example SQL aligned to real usage patterns</w:t>
      </w:r>
      <w:r>
        <w:rPr>
          <w:rFonts w:ascii="Segoe UI" w:hAnsi="Segoe UI" w:cs="Segoe UI"/>
          <w:sz w:val="21"/>
          <w:szCs w:val="21"/>
        </w:rPr>
        <w:t> - Provide sample queries that reflect how users actually ask questions. These act as patterns Genie can learn from.</w:t>
      </w:r>
    </w:p>
    <w:p w14:paraId="2D9C572C" w14:textId="77777777" w:rsidR="00376AC1" w:rsidRDefault="00376AC1" w:rsidP="00376AC1">
      <w:pPr>
        <w:pStyle w:val="NormalWeb"/>
        <w:numPr>
          <w:ilvl w:val="0"/>
          <w:numId w:val="9"/>
        </w:numPr>
        <w:shd w:val="clear" w:color="auto" w:fill="FFFFFF"/>
        <w:spacing w:before="0" w:beforeAutospacing="0" w:after="240" w:afterAutospacing="0"/>
        <w:rPr>
          <w:rFonts w:ascii="Segoe UI" w:hAnsi="Segoe UI" w:cs="Segoe UI"/>
          <w:sz w:val="21"/>
          <w:szCs w:val="21"/>
        </w:rPr>
      </w:pPr>
      <w:r>
        <w:rPr>
          <w:rStyle w:val="Strong"/>
          <w:rFonts w:ascii="Segoe UI" w:hAnsi="Segoe UI" w:cs="Segoe UI"/>
          <w:sz w:val="21"/>
          <w:szCs w:val="21"/>
        </w:rPr>
        <w:t>Simple, consistent joins with a clear row-level meaning</w:t>
      </w:r>
      <w:r>
        <w:rPr>
          <w:rFonts w:ascii="Segoe UI" w:hAnsi="Segoe UI" w:cs="Segoe UI"/>
          <w:sz w:val="21"/>
          <w:szCs w:val="21"/>
        </w:rPr>
        <w:t> - Make relationships between tables easy to follow, and ensure each table clearly represents one type of record. Avoid joins that unintentionally duplicate or distort results.</w:t>
      </w:r>
    </w:p>
    <w:p w14:paraId="61C8F824" w14:textId="77777777" w:rsidR="00376AC1" w:rsidRDefault="00376AC1" w:rsidP="00376AC1">
      <w:pPr>
        <w:pStyle w:val="Heading3"/>
        <w:shd w:val="clear" w:color="auto" w:fill="FFFFFF"/>
        <w:spacing w:before="228" w:after="108"/>
        <w:rPr>
          <w:rFonts w:ascii="Segoe UI" w:hAnsi="Segoe UI" w:cs="Segoe UI"/>
          <w:sz w:val="27"/>
          <w:szCs w:val="27"/>
        </w:rPr>
      </w:pPr>
      <w:r>
        <w:rPr>
          <w:rFonts w:ascii="Segoe UI" w:hAnsi="Segoe UI" w:cs="Segoe UI"/>
        </w:rPr>
        <w:t>Low-Impact (Common Traps)</w:t>
      </w:r>
    </w:p>
    <w:p w14:paraId="75E47004" w14:textId="77777777" w:rsidR="00376AC1" w:rsidRDefault="00376AC1" w:rsidP="00376AC1">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These are common areas where effort often does not translate into better outcomes:</w:t>
      </w:r>
    </w:p>
    <w:p w14:paraId="57AA3BB8" w14:textId="77777777" w:rsidR="00376AC1" w:rsidRDefault="00376AC1" w:rsidP="00376AC1">
      <w:pPr>
        <w:pStyle w:val="NormalWeb"/>
        <w:numPr>
          <w:ilvl w:val="0"/>
          <w:numId w:val="10"/>
        </w:numPr>
        <w:shd w:val="clear" w:color="auto" w:fill="FFFFFF"/>
        <w:spacing w:before="0" w:beforeAutospacing="0" w:after="240" w:afterAutospacing="0"/>
        <w:rPr>
          <w:rFonts w:ascii="Segoe UI" w:hAnsi="Segoe UI" w:cs="Segoe UI"/>
          <w:sz w:val="21"/>
          <w:szCs w:val="21"/>
        </w:rPr>
      </w:pPr>
      <w:r>
        <w:rPr>
          <w:rStyle w:val="Strong"/>
          <w:rFonts w:ascii="Segoe UI" w:hAnsi="Segoe UI" w:cs="Segoe UI"/>
          <w:sz w:val="21"/>
          <w:szCs w:val="21"/>
        </w:rPr>
        <w:t>Overly long or complex instructions</w:t>
      </w:r>
      <w:r>
        <w:rPr>
          <w:rFonts w:ascii="Segoe UI" w:hAnsi="Segoe UI" w:cs="Segoe UI"/>
          <w:sz w:val="21"/>
          <w:szCs w:val="21"/>
        </w:rPr>
        <w:t> - More text does not mean better results. Keep instructions concise and focused.</w:t>
      </w:r>
    </w:p>
    <w:p w14:paraId="38C1DBD5" w14:textId="77777777" w:rsidR="00376AC1" w:rsidRDefault="00376AC1" w:rsidP="00376AC1">
      <w:pPr>
        <w:pStyle w:val="NormalWeb"/>
        <w:numPr>
          <w:ilvl w:val="0"/>
          <w:numId w:val="10"/>
        </w:numPr>
        <w:shd w:val="clear" w:color="auto" w:fill="FFFFFF"/>
        <w:spacing w:before="0" w:beforeAutospacing="0" w:after="240" w:afterAutospacing="0"/>
        <w:rPr>
          <w:rFonts w:ascii="Segoe UI" w:hAnsi="Segoe UI" w:cs="Segoe UI"/>
          <w:sz w:val="21"/>
          <w:szCs w:val="21"/>
        </w:rPr>
      </w:pPr>
      <w:r>
        <w:rPr>
          <w:rStyle w:val="Strong"/>
          <w:rFonts w:ascii="Segoe UI" w:hAnsi="Segoe UI" w:cs="Segoe UI"/>
          <w:sz w:val="21"/>
          <w:szCs w:val="21"/>
        </w:rPr>
        <w:t>Adding too many tables upfront</w:t>
      </w:r>
      <w:r>
        <w:rPr>
          <w:rFonts w:ascii="Segoe UI" w:hAnsi="Segoe UI" w:cs="Segoe UI"/>
          <w:sz w:val="21"/>
          <w:szCs w:val="21"/>
        </w:rPr>
        <w:t> - A large, unfocused dataset makes it harder for Genie to choose the right data.</w:t>
      </w:r>
    </w:p>
    <w:p w14:paraId="001B59FE" w14:textId="77777777" w:rsidR="00376AC1" w:rsidRDefault="00376AC1" w:rsidP="00376AC1">
      <w:pPr>
        <w:pStyle w:val="NormalWeb"/>
        <w:numPr>
          <w:ilvl w:val="0"/>
          <w:numId w:val="10"/>
        </w:numPr>
        <w:shd w:val="clear" w:color="auto" w:fill="FFFFFF"/>
        <w:spacing w:before="0" w:beforeAutospacing="0" w:after="240" w:afterAutospacing="0"/>
        <w:rPr>
          <w:rFonts w:ascii="Segoe UI" w:hAnsi="Segoe UI" w:cs="Segoe UI"/>
          <w:sz w:val="21"/>
          <w:szCs w:val="21"/>
        </w:rPr>
      </w:pPr>
      <w:r>
        <w:rPr>
          <w:rStyle w:val="Strong"/>
          <w:rFonts w:ascii="Segoe UI" w:hAnsi="Segoe UI" w:cs="Segoe UI"/>
          <w:sz w:val="21"/>
          <w:szCs w:val="21"/>
        </w:rPr>
        <w:t>Over-optimizing edge cases early</w:t>
      </w:r>
      <w:r>
        <w:rPr>
          <w:rFonts w:ascii="Segoe UI" w:hAnsi="Segoe UI" w:cs="Segoe UI"/>
          <w:sz w:val="21"/>
          <w:szCs w:val="21"/>
        </w:rPr>
        <w:t> - Focus on the most common and important questions first. Handle edge cases later.</w:t>
      </w:r>
    </w:p>
    <w:p w14:paraId="3458100F" w14:textId="77777777" w:rsidR="00376AC1" w:rsidRDefault="00376AC1" w:rsidP="00376AC1">
      <w:pPr>
        <w:pStyle w:val="NormalWeb"/>
        <w:numPr>
          <w:ilvl w:val="0"/>
          <w:numId w:val="10"/>
        </w:numPr>
        <w:shd w:val="clear" w:color="auto" w:fill="FFFFFF"/>
        <w:spacing w:before="0" w:beforeAutospacing="0" w:after="240" w:afterAutospacing="0"/>
        <w:rPr>
          <w:rFonts w:ascii="Segoe UI" w:hAnsi="Segoe UI" w:cs="Segoe UI"/>
          <w:sz w:val="21"/>
          <w:szCs w:val="21"/>
        </w:rPr>
      </w:pPr>
      <w:r>
        <w:rPr>
          <w:rStyle w:val="Strong"/>
          <w:rFonts w:ascii="Segoe UI" w:hAnsi="Segoe UI" w:cs="Segoe UI"/>
          <w:sz w:val="21"/>
          <w:szCs w:val="21"/>
        </w:rPr>
        <w:t>Treating Genie as 'set and forget'</w:t>
      </w:r>
      <w:r>
        <w:rPr>
          <w:rFonts w:ascii="Segoe UI" w:hAnsi="Segoe UI" w:cs="Segoe UI"/>
          <w:sz w:val="21"/>
          <w:szCs w:val="21"/>
        </w:rPr>
        <w:t> - Genie improves through iteration. Regularly review results and refine your setup.</w:t>
      </w:r>
    </w:p>
    <w:p w14:paraId="414710D4" w14:textId="316CDE6D" w:rsidR="00376AC1" w:rsidRPr="00376AC1" w:rsidRDefault="00376AC1" w:rsidP="00376AC1">
      <w:pPr>
        <w:shd w:val="clear" w:color="auto" w:fill="FFFFFF"/>
        <w:spacing w:after="240" w:line="240" w:lineRule="auto"/>
        <w:rPr>
          <w:rFonts w:ascii="Segoe UI" w:eastAsia="Times New Roman" w:hAnsi="Segoe UI" w:cs="Segoe UI"/>
          <w:kern w:val="0"/>
          <w:sz w:val="21"/>
          <w:szCs w:val="21"/>
          <w:lang w:eastAsia="en-GB"/>
          <w14:ligatures w14:val="none"/>
        </w:rPr>
      </w:pPr>
    </w:p>
    <w:p w14:paraId="48E13394" w14:textId="5E5D7DB0" w:rsidR="00376AC1" w:rsidRDefault="00376AC1"/>
    <w:sectPr w:rsidR="00376A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A9205A"/>
    <w:multiLevelType w:val="multilevel"/>
    <w:tmpl w:val="B1D2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2A5A3F"/>
    <w:multiLevelType w:val="multilevel"/>
    <w:tmpl w:val="FA42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7B510F"/>
    <w:multiLevelType w:val="multilevel"/>
    <w:tmpl w:val="062E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B35E6A"/>
    <w:multiLevelType w:val="multilevel"/>
    <w:tmpl w:val="9F92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AB34BF"/>
    <w:multiLevelType w:val="multilevel"/>
    <w:tmpl w:val="6038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7B6FB4"/>
    <w:multiLevelType w:val="multilevel"/>
    <w:tmpl w:val="19A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B4405D"/>
    <w:multiLevelType w:val="multilevel"/>
    <w:tmpl w:val="EECA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2B7A25"/>
    <w:multiLevelType w:val="multilevel"/>
    <w:tmpl w:val="6C98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FC7CA3"/>
    <w:multiLevelType w:val="multilevel"/>
    <w:tmpl w:val="9D2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16259A"/>
    <w:multiLevelType w:val="multilevel"/>
    <w:tmpl w:val="53D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0568603">
    <w:abstractNumId w:val="9"/>
  </w:num>
  <w:num w:numId="2" w16cid:durableId="1939291065">
    <w:abstractNumId w:val="5"/>
  </w:num>
  <w:num w:numId="3" w16cid:durableId="298802996">
    <w:abstractNumId w:val="8"/>
  </w:num>
  <w:num w:numId="4" w16cid:durableId="693846194">
    <w:abstractNumId w:val="0"/>
  </w:num>
  <w:num w:numId="5" w16cid:durableId="947156223">
    <w:abstractNumId w:val="2"/>
  </w:num>
  <w:num w:numId="6" w16cid:durableId="838155289">
    <w:abstractNumId w:val="1"/>
  </w:num>
  <w:num w:numId="7" w16cid:durableId="578100342">
    <w:abstractNumId w:val="3"/>
  </w:num>
  <w:num w:numId="8" w16cid:durableId="1896238536">
    <w:abstractNumId w:val="7"/>
  </w:num>
  <w:num w:numId="9" w16cid:durableId="140078702">
    <w:abstractNumId w:val="6"/>
  </w:num>
  <w:num w:numId="10" w16cid:durableId="87026229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C1"/>
    <w:rsid w:val="00170C6D"/>
    <w:rsid w:val="00376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EB23C9B"/>
  <w15:chartTrackingRefBased/>
  <w15:docId w15:val="{D601DCE2-C52B-0B46-B31F-EA4117FB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76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76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AC1"/>
    <w:rPr>
      <w:rFonts w:eastAsiaTheme="majorEastAsia" w:cstheme="majorBidi"/>
      <w:color w:val="272727" w:themeColor="text1" w:themeTint="D8"/>
    </w:rPr>
  </w:style>
  <w:style w:type="paragraph" w:styleId="Title">
    <w:name w:val="Title"/>
    <w:basedOn w:val="Normal"/>
    <w:next w:val="Normal"/>
    <w:link w:val="TitleChar"/>
    <w:uiPriority w:val="10"/>
    <w:qFormat/>
    <w:rsid w:val="00376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AC1"/>
    <w:pPr>
      <w:spacing w:before="160"/>
      <w:jc w:val="center"/>
    </w:pPr>
    <w:rPr>
      <w:i/>
      <w:iCs/>
      <w:color w:val="404040" w:themeColor="text1" w:themeTint="BF"/>
    </w:rPr>
  </w:style>
  <w:style w:type="character" w:customStyle="1" w:styleId="QuoteChar">
    <w:name w:val="Quote Char"/>
    <w:basedOn w:val="DefaultParagraphFont"/>
    <w:link w:val="Quote"/>
    <w:uiPriority w:val="29"/>
    <w:rsid w:val="00376AC1"/>
    <w:rPr>
      <w:i/>
      <w:iCs/>
      <w:color w:val="404040" w:themeColor="text1" w:themeTint="BF"/>
    </w:rPr>
  </w:style>
  <w:style w:type="paragraph" w:styleId="ListParagraph">
    <w:name w:val="List Paragraph"/>
    <w:basedOn w:val="Normal"/>
    <w:uiPriority w:val="34"/>
    <w:qFormat/>
    <w:rsid w:val="00376AC1"/>
    <w:pPr>
      <w:ind w:left="720"/>
      <w:contextualSpacing/>
    </w:pPr>
  </w:style>
  <w:style w:type="character" w:styleId="IntenseEmphasis">
    <w:name w:val="Intense Emphasis"/>
    <w:basedOn w:val="DefaultParagraphFont"/>
    <w:uiPriority w:val="21"/>
    <w:qFormat/>
    <w:rsid w:val="00376AC1"/>
    <w:rPr>
      <w:i/>
      <w:iCs/>
      <w:color w:val="0F4761" w:themeColor="accent1" w:themeShade="BF"/>
    </w:rPr>
  </w:style>
  <w:style w:type="paragraph" w:styleId="IntenseQuote">
    <w:name w:val="Intense Quote"/>
    <w:basedOn w:val="Normal"/>
    <w:next w:val="Normal"/>
    <w:link w:val="IntenseQuoteChar"/>
    <w:uiPriority w:val="30"/>
    <w:qFormat/>
    <w:rsid w:val="00376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AC1"/>
    <w:rPr>
      <w:i/>
      <w:iCs/>
      <w:color w:val="0F4761" w:themeColor="accent1" w:themeShade="BF"/>
    </w:rPr>
  </w:style>
  <w:style w:type="character" w:styleId="IntenseReference">
    <w:name w:val="Intense Reference"/>
    <w:basedOn w:val="DefaultParagraphFont"/>
    <w:uiPriority w:val="32"/>
    <w:qFormat/>
    <w:rsid w:val="00376AC1"/>
    <w:rPr>
      <w:b/>
      <w:bCs/>
      <w:smallCaps/>
      <w:color w:val="0F4761" w:themeColor="accent1" w:themeShade="BF"/>
      <w:spacing w:val="5"/>
    </w:rPr>
  </w:style>
  <w:style w:type="paragraph" w:styleId="NormalWeb">
    <w:name w:val="Normal (Web)"/>
    <w:basedOn w:val="Normal"/>
    <w:uiPriority w:val="99"/>
    <w:semiHidden/>
    <w:unhideWhenUsed/>
    <w:rsid w:val="00376AC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76AC1"/>
    <w:rPr>
      <w:b/>
      <w:bCs/>
    </w:rPr>
  </w:style>
  <w:style w:type="character" w:styleId="HTMLCode">
    <w:name w:val="HTML Code"/>
    <w:basedOn w:val="DefaultParagraphFont"/>
    <w:uiPriority w:val="99"/>
    <w:semiHidden/>
    <w:unhideWhenUsed/>
    <w:rsid w:val="00376A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894</Words>
  <Characters>5098</Characters>
  <Application>Microsoft Office Word</Application>
  <DocSecurity>0</DocSecurity>
  <Lines>42</Lines>
  <Paragraphs>11</Paragraphs>
  <ScaleCrop>false</ScaleCrop>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Gandluri, Deekshith Reddy</dc:creator>
  <cp:keywords/>
  <dc:description/>
  <cp:lastModifiedBy>Gandluri, Deekshith Reddy</cp:lastModifiedBy>
  <cp:revision>1</cp:revision>
  <dcterms:created xsi:type="dcterms:W3CDTF">2026-07-30T06:49:00Z</dcterms:created>
  <dcterms:modified xsi:type="dcterms:W3CDTF">2026-07-30T06:54:00Z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0a8334-8d79-4e2a-acf9-d055bd383803_Enabled">
    <vt:lpwstr>true</vt:lpwstr>
  </property>
  <property fmtid="{D5CDD505-2E9C-101B-9397-08002B2CF9AE}" pid="3" name="MSIP_Label_380a8334-8d79-4e2a-acf9-d055bd383803_SetDate">
    <vt:lpwstr>2026-07-30T06:54:51Z</vt:lpwstr>
  </property>
  <property fmtid="{D5CDD505-2E9C-101B-9397-08002B2CF9AE}" pid="4" name="MSIP_Label_380a8334-8d79-4e2a-acf9-d055bd383803_Method">
    <vt:lpwstr>Privileged</vt:lpwstr>
  </property>
  <property fmtid="{D5CDD505-2E9C-101B-9397-08002B2CF9AE}" pid="5" name="MSIP_Label_380a8334-8d79-4e2a-acf9-d055bd383803_Name">
    <vt:lpwstr>Internal</vt:lpwstr>
  </property>
  <property fmtid="{D5CDD505-2E9C-101B-9397-08002B2CF9AE}" pid="6" name="MSIP_Label_380a8334-8d79-4e2a-acf9-d055bd383803_SiteId">
    <vt:lpwstr>791b26cb-3fdf-47c3-b85d-bd9f037e3e7f</vt:lpwstr>
  </property>
  <property fmtid="{D5CDD505-2E9C-101B-9397-08002B2CF9AE}" pid="7" name="MSIP_Label_380a8334-8d79-4e2a-acf9-d055bd383803_ActionId">
    <vt:lpwstr>30f3fbed-f411-4ec8-91a6-d2c203272877</vt:lpwstr>
  </property>
  <property fmtid="{D5CDD505-2E9C-101B-9397-08002B2CF9AE}" pid="8" name="MSIP_Label_380a8334-8d79-4e2a-acf9-d055bd383803_ContentBits">
    <vt:lpwstr>0</vt:lpwstr>
  </property>
  <property fmtid="{D5CDD505-2E9C-101B-9397-08002B2CF9AE}" pid="9" name="MSIP_Label_380a8334-8d79-4e2a-acf9-d055bd383803_Tag">
    <vt:lpwstr>50, 0, 1, 1</vt:lpwstr>
  </property>
</Properties>
</file>