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DocumentTitle"/>
      </w:pPr>
      <w:r>
        <w:t>Software Requirements Specification</w:t>
      </w:r>
    </w:p>
    <w:p>
      <w:pPr>
        <w:pStyle w:val="DocumentSubtitle"/>
      </w:pPr>
      <w:r>
        <w:t>Project: Ghost Protocol CLI</w:t>
      </w:r>
    </w:p>
    <w:p>
      <w:pPr>
        <w:pStyle w:val="DocumentSubtitle"/>
      </w:pPr>
      <w:r>
        <w:t>Version: 1.0</w:t>
        <w:br/>
        <w:t>Date: June 26, 2026</w:t>
      </w:r>
    </w:p>
    <w:p>
      <w:r>
        <w:br w:type="page"/>
      </w:r>
    </w:p>
    <w:p>
      <w:pPr>
        <w:pStyle w:val="Heading1"/>
      </w:pPr>
      <w:r>
        <w:t>1. Introduction</w:t>
      </w:r>
    </w:p>
    <w:p>
      <w:pPr>
        <w:pStyle w:val="Heading2"/>
      </w:pPr>
      <w:r>
        <w:t>1.1 Purpose</w:t>
      </w:r>
    </w:p>
    <w:p>
      <w:r>
        <w:t>The purpose of this Software Requirements Specification (SRS) is to provide a comprehensive architectural and functional blueprint for the "Ghost Protocol CLI". This document outlines the system’s behavior, performance criteria, and operational constraints to guide developers in building a robust, intelligent local reverse-proxy for Large Language Models (LLMs).</w:t>
      </w:r>
    </w:p>
    <w:p>
      <w:pPr>
        <w:pStyle w:val="Heading2"/>
      </w:pPr>
      <w:r>
        <w:t>1.2 Scope</w:t>
      </w:r>
    </w:p>
    <w:p>
      <w:r>
        <w:t>The Ghost Protocol CLI is a lightweight background daemon and CLI tool written in a fast, low-level language (such as Go or Rust). It serves as an intelligent middleman between an engineer's development environment (IDEs, terminals, apps) and LLM endpoints (both local instances like Ollama, and cloud providers like OpenAI/Claude). By intercepting API requests on localhost:8080, the proxy performs on-the-fly prompt optimization, semantic caching, complexity routing, and stringent data redaction.</w:t>
      </w:r>
    </w:p>
    <w:p>
      <w:r>
        <w:t>The primary goal of this tool is to drastically reduce cloud API compute costs, prevent strict enterprise rate-limits during "vibe coding", and enforce a strict local-only privacy boundary for sensitive code.</w:t>
      </w:r>
    </w:p>
    <w:p>
      <w:pPr>
        <w:pStyle w:val="Heading2"/>
      </w:pPr>
      <w:r>
        <w:t>1.3 Definitions and Acronyms</w:t>
      </w:r>
    </w:p>
    <w:tbl>
      <w:tblPr>
        <w:tblStyle w:val="LightShading-Accent1"/>
        <w:tblW w:type="auto" w:w="0"/>
        <w:tblLook w:firstColumn="1" w:firstRow="1" w:lastColumn="0" w:lastRow="0" w:noHBand="0" w:noVBand="1" w:val="04A0"/>
      </w:tblPr>
      <w:tblGrid>
        <w:gridCol w:w="4320"/>
        <w:gridCol w:w="4320"/>
      </w:tblGrid>
      <w:tr>
        <w:tc>
          <w:tcPr>
            <w:tcW w:type="dxa" w:w="4320"/>
          </w:tcPr>
          <w:p>
            <w:r>
              <w:t>Term</w:t>
            </w:r>
          </w:p>
        </w:tc>
        <w:tc>
          <w:tcPr>
            <w:tcW w:type="dxa" w:w="4320"/>
          </w:tcPr>
          <w:p>
            <w:r>
              <w:t>Definition</w:t>
            </w:r>
          </w:p>
        </w:tc>
      </w:tr>
      <w:tr>
        <w:tc>
          <w:tcPr>
            <w:tcW w:type="dxa" w:w="4320"/>
          </w:tcPr>
          <w:p>
            <w:r>
              <w:t>CLI</w:t>
            </w:r>
          </w:p>
        </w:tc>
        <w:tc>
          <w:tcPr>
            <w:tcW w:type="dxa" w:w="4320"/>
          </w:tcPr>
          <w:p>
            <w:r>
              <w:t>Command Line Interface</w:t>
            </w:r>
          </w:p>
        </w:tc>
      </w:tr>
      <w:tr>
        <w:tc>
          <w:tcPr>
            <w:tcW w:type="dxa" w:w="4320"/>
          </w:tcPr>
          <w:p>
            <w:r>
              <w:t>LLM</w:t>
            </w:r>
          </w:p>
        </w:tc>
        <w:tc>
          <w:tcPr>
            <w:tcW w:type="dxa" w:w="4320"/>
          </w:tcPr>
          <w:p>
            <w:r>
              <w:t>Large Language Model</w:t>
            </w:r>
          </w:p>
        </w:tc>
      </w:tr>
      <w:tr>
        <w:tc>
          <w:tcPr>
            <w:tcW w:type="dxa" w:w="4320"/>
          </w:tcPr>
          <w:p>
            <w:r>
              <w:t>RAG</w:t>
            </w:r>
          </w:p>
        </w:tc>
        <w:tc>
          <w:tcPr>
            <w:tcW w:type="dxa" w:w="4320"/>
          </w:tcPr>
          <w:p>
            <w:r>
              <w:t>Retrieval-Augmented Generation</w:t>
            </w:r>
          </w:p>
        </w:tc>
      </w:tr>
      <w:tr>
        <w:tc>
          <w:tcPr>
            <w:tcW w:type="dxa" w:w="4320"/>
          </w:tcPr>
          <w:p>
            <w:r>
              <w:t>TTFT</w:t>
            </w:r>
          </w:p>
        </w:tc>
        <w:tc>
          <w:tcPr>
            <w:tcW w:type="dxa" w:w="4320"/>
          </w:tcPr>
          <w:p>
            <w:r>
              <w:t>Time-to-First-Token</w:t>
            </w:r>
          </w:p>
        </w:tc>
      </w:tr>
      <w:tr>
        <w:tc>
          <w:tcPr>
            <w:tcW w:type="dxa" w:w="4320"/>
          </w:tcPr>
          <w:p>
            <w:r>
              <w:t>Daemon</w:t>
            </w:r>
          </w:p>
        </w:tc>
        <w:tc>
          <w:tcPr>
            <w:tcW w:type="dxa" w:w="4320"/>
          </w:tcPr>
          <w:p>
            <w:r>
              <w:t>A computer program that runs as a background process</w:t>
            </w:r>
          </w:p>
        </w:tc>
      </w:tr>
      <w:tr>
        <w:tc>
          <w:tcPr>
            <w:tcW w:type="dxa" w:w="4320"/>
          </w:tcPr>
          <w:p>
            <w:r>
              <w:t>Semantic Caching</w:t>
            </w:r>
          </w:p>
        </w:tc>
        <w:tc>
          <w:tcPr>
            <w:tcW w:type="dxa" w:w="4320"/>
          </w:tcPr>
          <w:p>
            <w:r>
              <w:t>Caching responses based on the meaning of the prompt rather than exact string matching.</w:t>
            </w:r>
          </w:p>
        </w:tc>
      </w:tr>
    </w:tbl>
    <w:p>
      <w:pPr>
        <w:pStyle w:val="Heading1"/>
      </w:pPr>
      <w:r>
        <w:t>2. Overall Description</w:t>
      </w:r>
    </w:p>
    <w:p>
      <w:pPr>
        <w:pStyle w:val="Heading2"/>
      </w:pPr>
      <w:r>
        <w:t>2.1 Product Perspective</w:t>
      </w:r>
    </w:p>
    <w:p>
      <w:r>
        <w:t>Ghost Protocol CLI operates independently as a local backend service. It is designed to replace standard API endpoints (e.g., api.anthropic.com or api.openai.com) in any standard client configuration. Instead of connecting to the cloud directly, user applications will point to localhost:8080. The proxy evaluates the incoming payload and dispatches it seamlessly.</w:t>
      </w:r>
    </w:p>
    <w:p>
      <w:pPr>
        <w:pStyle w:val="Heading2"/>
      </w:pPr>
      <w:r>
        <w:t>2.2 User Classes and Characteristics</w:t>
      </w:r>
    </w:p>
    <w:p>
      <w:pPr>
        <w:pStyle w:val="ListBullet"/>
      </w:pPr>
      <w:r>
        <w:rPr>
          <w:b/>
        </w:rPr>
        <w:t xml:space="preserve">Software Engineers: </w:t>
      </w:r>
      <w:r>
        <w:t>Heavy users of AI-assisted coding who frequently exhaust rate limits and need sub-second responses for trivial tasks.</w:t>
      </w:r>
    </w:p>
    <w:p>
      <w:pPr>
        <w:pStyle w:val="ListBullet"/>
      </w:pPr>
      <w:r>
        <w:rPr>
          <w:b/>
        </w:rPr>
        <w:t xml:space="preserve">Enterprise Developers: </w:t>
      </w:r>
      <w:r>
        <w:t>Users working within strict compliance, healthcare, or proprietary financial environments who cannot legally leak API keys or PII to the cloud.</w:t>
      </w:r>
    </w:p>
    <w:p>
      <w:pPr>
        <w:pStyle w:val="Heading2"/>
      </w:pPr>
      <w:r>
        <w:t>2.3 Operating Environment</w:t>
      </w:r>
    </w:p>
    <w:p>
      <w:r>
        <w:t>The CLI must be cross-platform, capable of running as a background daemon on macOS (Apple Silicon/Intel), Linux, and Windows. It requires access to a local SQLite database and standard file system storage for lightweight memory buffering and state.</w:t>
      </w:r>
    </w:p>
    <w:p>
      <w:pPr>
        <w:pStyle w:val="Heading1"/>
      </w:pPr>
      <w:r>
        <w:t>3. System Features</w:t>
      </w:r>
    </w:p>
    <w:p>
      <w:pPr>
        <w:pStyle w:val="Heading2"/>
      </w:pPr>
      <w:r>
        <w:t>3.1 Intelligent Semantic Caching Layer</w:t>
      </w:r>
    </w:p>
    <w:p>
      <w:r>
        <w:rPr>
          <w:b/>
        </w:rPr>
        <w:t>Description:</w:t>
      </w:r>
    </w:p>
    <w:p>
      <w:r>
        <w:t>The CLI intercepts outgoing prompts and checks a local vector database for semantic similarity. If the developer asks a slightly modified version of a previously answered prompt, the CLI returns the cached response instantly without hitting an external model.</w:t>
      </w:r>
    </w:p>
    <w:p>
      <w:r>
        <w:rPr>
          <w:b/>
        </w:rPr>
        <w:t>Requirements:</w:t>
      </w:r>
    </w:p>
    <w:p>
      <w:pPr>
        <w:pStyle w:val="ListNumber"/>
      </w:pPr>
      <w:r>
        <w:t>1. Implement a lightweight local vector library for rapid similarity search.</w:t>
      </w:r>
    </w:p>
    <w:p>
      <w:pPr>
        <w:pStyle w:val="ListNumber"/>
      </w:pPr>
      <w:r>
        <w:t>2. Cache hits must yield a response time of ~0ms (excluding network loopback).</w:t>
      </w:r>
    </w:p>
    <w:p>
      <w:pPr>
        <w:pStyle w:val="Heading2"/>
      </w:pPr>
      <w:r>
        <w:t>3.2 Smart Routing Engine (Speculative Decoding)</w:t>
      </w:r>
    </w:p>
    <w:p>
      <w:r>
        <w:rPr>
          <w:b/>
        </w:rPr>
        <w:t>Description:</w:t>
      </w:r>
    </w:p>
    <w:p>
      <w:r>
        <w:t>Dynamically assesses task complexity to optimize cost and speed. The system evaluates whether a task is "trivial" (syntax checking, simple boilerplate) or "complex" (deep refactoring, architecture planning).</w:t>
      </w:r>
    </w:p>
    <w:p>
      <w:r>
        <w:rPr>
          <w:b/>
        </w:rPr>
        <w:t>Requirements:</w:t>
      </w:r>
    </w:p>
    <w:p>
      <w:pPr>
        <w:pStyle w:val="ListNumber"/>
      </w:pPr>
      <w:r>
        <w:t>1. Integrate with a tiny local model (e.g., Qwen-0.5B or Phi-3) to run an initial, lightning-fast classification of the prompt.</w:t>
      </w:r>
    </w:p>
    <w:p>
      <w:pPr>
        <w:pStyle w:val="ListNumber"/>
      </w:pPr>
      <w:r>
        <w:t>2. Trivial tasks MUST be routed to local resources (Ollama instance).</w:t>
      </w:r>
    </w:p>
    <w:p>
      <w:pPr>
        <w:pStyle w:val="ListNumber"/>
      </w:pPr>
      <w:r>
        <w:t>3. Complex reasoning tasks MUST be seamlessly forwarded to the configured cloud provider (Claude/OpenAI).</w:t>
      </w:r>
    </w:p>
    <w:p>
      <w:pPr>
        <w:pStyle w:val="Heading2"/>
      </w:pPr>
      <w:r>
        <w:t>3.3 Privacy-First Redaction Boundary</w:t>
      </w:r>
    </w:p>
    <w:p>
      <w:r>
        <w:rPr>
          <w:b/>
        </w:rPr>
        <w:t>Description:</w:t>
      </w:r>
    </w:p>
    <w:p>
      <w:r>
        <w:t>Acts as an enterprise-grade firewall for LLM queries. Intercepts outgoing API calls and masks sensitive data before they reach the public internet.</w:t>
      </w:r>
    </w:p>
    <w:p>
      <w:r>
        <w:rPr>
          <w:b/>
        </w:rPr>
        <w:t>Requirements:</w:t>
      </w:r>
    </w:p>
    <w:p>
      <w:pPr>
        <w:pStyle w:val="ListNumber"/>
      </w:pPr>
      <w:r>
        <w:t>1. Utilize Regex and structured pattern matching to detect API keys, Social Security Numbers, internal domains, and proprietary keywords.</w:t>
      </w:r>
    </w:p>
    <w:p>
      <w:pPr>
        <w:pStyle w:val="ListNumber"/>
      </w:pPr>
      <w:r>
        <w:t>2. Redact matches into secure tokens (e.g., [REDACTED_TOKEN_1]).</w:t>
      </w:r>
    </w:p>
    <w:p>
      <w:pPr>
        <w:pStyle w:val="ListNumber"/>
      </w:pPr>
      <w:r>
        <w:t>3. When the cloud responds, the proxy MUST map the tokens back to their original local data formats seamlessly before returning the payload to the user application.</w:t>
      </w:r>
    </w:p>
    <w:p>
      <w:pPr>
        <w:pStyle w:val="Heading2"/>
      </w:pPr>
      <w:r>
        <w:t>3.4 Context Compression Middleware</w:t>
      </w:r>
    </w:p>
    <w:p>
      <w:r>
        <w:rPr>
          <w:b/>
        </w:rPr>
        <w:t>Description:</w:t>
      </w:r>
    </w:p>
    <w:p>
      <w:r>
        <w:t>Reduces the size of payloads sent over the wire by eliminating fluff or summarizing lengthy chat histories, saving on context windows and dramatically improving TTFT.</w:t>
      </w:r>
    </w:p>
    <w:p>
      <w:pPr>
        <w:pStyle w:val="Heading1"/>
      </w:pPr>
      <w:r>
        <w:t>4. Data &amp; Infrastructure Constraints</w:t>
      </w:r>
    </w:p>
    <w:p>
      <w:r>
        <w:t>To ensure the project remains viable for a one-week build sprint, complex multi-user databases and authentication systems are strictly excluded. The architecture must rely on:</w:t>
      </w:r>
    </w:p>
    <w:p>
      <w:pPr>
        <w:pStyle w:val="ListBullet"/>
      </w:pPr>
      <w:r>
        <w:t>Local SQLite for persistent tracking of prompt histories and routing logs.</w:t>
      </w:r>
    </w:p>
    <w:p>
      <w:pPr>
        <w:pStyle w:val="ListBullet"/>
      </w:pPr>
      <w:r>
        <w:t>Local Storage / Memory Buffers for high-speed cache retrieval.</w:t>
      </w:r>
    </w:p>
    <w:p>
      <w:pPr>
        <w:pStyle w:val="ListBullet"/>
      </w:pPr>
      <w:r>
        <w:t>Flat JSON configuration files for user rules (e.g., regex redaction patterns, model routing thresholds).</w:t>
      </w:r>
    </w:p>
    <w:p>
      <w:pPr>
        <w:pStyle w:val="Heading1"/>
      </w:pPr>
      <w:r>
        <w:t>5. Non-Functional Requirements</w:t>
      </w:r>
    </w:p>
    <w:p>
      <w:r>
        <w:rPr>
          <w:b/>
        </w:rPr>
        <w:t xml:space="preserve">Performance: </w:t>
      </w:r>
      <w:r>
        <w:t>The proxy overhead must add no more than 50ms latency to any outgoing request.</w:t>
      </w:r>
    </w:p>
    <w:p>
      <w:r>
        <w:rPr>
          <w:b/>
        </w:rPr>
        <w:t xml:space="preserve">Reliability: </w:t>
      </w:r>
      <w:r>
        <w:t>In the event of a cloud endpoint failure, the proxy should transparently failover to a local model if configured.</w:t>
      </w:r>
    </w:p>
    <w:p>
      <w:r>
        <w:rPr>
          <w:b/>
        </w:rPr>
        <w:t xml:space="preserve">Usability: </w:t>
      </w:r>
      <w:r>
        <w:t>Setup should require a single binary execution and an adjustment of the client's Base URL to localhost:8080.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0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outlineLvl w:val="0"/>
    </w:pPr>
    <w:rPr>
      <w:rFonts w:asciiTheme="majorHAnsi" w:eastAsiaTheme="majorEastAsia" w:hAnsiTheme="majorHAnsi" w:cstheme="majorBidi" w:ascii="Arial" w:hAnsi="Arial"/>
      <w:b/>
      <w:bCs/>
      <w:color w:val="2C3E50"/>
      <w:sz w:val="36"/>
      <w:szCs w:val="28"/>
    </w:rPr>
  </w:style>
  <w:style w:type="paragraph" w:styleId="Heading2">
    <w:name w:val="heading 2"/>
    <w:basedOn w:val="Normal"/>
    <w:next w:val="Normal"/>
    <w:link w:val="Heading2Char"/>
    <w:uiPriority w:val="9"/>
    <w:unhideWhenUsed/>
    <w:qFormat/>
    <w:rsid w:val="00FC693F"/>
    <w:pPr>
      <w:keepNext/>
      <w:keepLines/>
      <w:spacing w:before="360" w:after="120"/>
      <w:outlineLvl w:val="1"/>
    </w:pPr>
    <w:rPr>
      <w:rFonts w:asciiTheme="majorHAnsi" w:eastAsiaTheme="majorEastAsia" w:hAnsiTheme="majorHAnsi" w:cstheme="majorBidi" w:ascii="Arial" w:hAnsi="Arial"/>
      <w:b/>
      <w:bCs/>
      <w:color w:val="34495E"/>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ocumentTitle">
    <w:name w:val="DocumentTitle"/>
    <w:pPr>
      <w:spacing w:after="240"/>
      <w:jc w:val="center"/>
    </w:pPr>
    <w:rPr>
      <w:rFonts w:ascii="Arial" w:hAnsi="Arial"/>
      <w:b/>
      <w:color w:val="2980B9"/>
      <w:sz w:val="52"/>
    </w:rPr>
  </w:style>
  <w:style w:type="paragraph" w:customStyle="1" w:styleId="DocumentSubtitle">
    <w:name w:val="DocumentSubtitle"/>
    <w:pPr>
      <w:spacing w:after="480"/>
      <w:jc w:val="center"/>
    </w:pPr>
    <w:rPr>
      <w:rFonts w:ascii="Arial" w:hAnsi="Arial"/>
      <w:i/>
      <w:color w:val="7F8C8D"/>
      <w:sz w:val="2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