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eyond_the_shelf_the_chrystallum_8a6dbf"/>
      <w:r>
        <w:rPr>
          <w:b/>
          <w:sz w:val="56"/>
        </w:rPr>
        <w:t xml:space="preserve">Beyond the Shelf: The Chrystallum Classification System as a Federated Multidimensional Framework for Knowledge Organization</w:t>
      </w:r>
      <w:bookmarkEnd w:id="0"/>
    </w:p>
    <w:p>
      <w:pPr>
        <w:spacing w:after="210" w:lineRule="auto"/>
      </w:pPr>
      <w:r>
        <w:rPr>
          <w:b/>
        </w:rPr>
        <w:t xml:space="preserve">Tony DeFarlo</w:t>
      </w:r>
      <w:r>
        <w:rPr/>
        <w:br w:type="textWrapping"/>
      </w:r>
      <w:r>
        <w:rPr/>
        <w:t xml:space="preserve">Independent Scholar, Bennington, Vermont</w:t>
      </w:r>
    </w:p>
    <w:p>
      <w:pPr>
        <w:spacing w:after="210" w:lineRule="auto"/>
      </w:pPr>
      <w:r>
        <w:rPr>
          <w:b/>
        </w:rPr>
        <w:t xml:space="preserve">Date:</w:t>
      </w:r>
      <w:r>
        <w:rPr/>
        <w:t xml:space="preserve"> February 2026</w:t>
      </w:r>
    </w:p>
    <w:p>
      <w:pPr>
        <w:spacing w:line="271" w:before="240" w:lineRule="auto"/>
      </w:pPr>
      <w:bookmarkStart w:id="1" w:name="abstract"/>
      <w:r>
        <w:rPr>
          <w:b/>
          <w:sz w:val="42"/>
        </w:rPr>
        <w:t xml:space="preserve">Abstract</w:t>
      </w:r>
      <w:bookmarkEnd w:id="1"/>
    </w:p>
    <w:p>
      <w:pPr>
        <w:spacing w:after="210" w:lineRule="auto"/>
      </w:pPr>
      <w:r>
        <w:rPr>
          <w:rFonts w:eastAsia="Georgia" w:cs="Georgia" w:ascii="Georgia" w:hAnsi="Georgia"/>
        </w:rPr>
        <w:t xml:space="preserve">Traditional library classification systems—including the Library of Congress Classification (LCC), Library of Congress Subject Headings (LCSH), and Dewey Decimal Classification (DDC)—impose linear, hierarchical structures on knowledge to solve the practical problem of shelf arrangement. While this approach has served physical collections well for over a century, it fundamentally constrains knowledge representation by forcing multidimensional conceptual spaces into single classificatory sequences. This paper proposes the Chrystallum Classification System, a federated, multidimensional framework that maintains backward compatibility with shelf-based systems while transcending their structural limitations. Drawing on Ranganathan's faceted classification theory[1], contemporary knowledge graph architectures[2], and networked knowledge organization systems[3], Chrystallum employs 18 research-oriented facets, a federation registry connecting authoritative classification systems, and a graph-based representation layer that enables multidimensional subject characterization without abandoning the "tethering points" provided by traditional systems. We demonstrate how this approach resolves the normalization problem inherent in overlapping and duplicative classification codes, supports interpretive frameworks through distinct agent roles (Subject Concept Agents and Subject Framework Agents), and provides a computational substrate for cross-facet discovery and scholarly routing that shelf-based systems cannot achieve.</w:t>
      </w:r>
    </w:p>
    <w:p>
      <w:pPr>
        <w:spacing w:line="271" w:before="240" w:lineRule="auto"/>
      </w:pPr>
      <w:bookmarkStart w:id="2" w:name="bm_1_introduction"/>
      <w:r>
        <w:rPr>
          <w:b/>
          <w:sz w:val="42"/>
        </w:rPr>
        <w:t xml:space="preserve">1. Introduction</w:t>
      </w:r>
      <w:bookmarkEnd w:id="2"/>
    </w:p>
    <w:p>
      <w:pPr>
        <w:spacing w:line="271" w:before="240" w:lineRule="auto"/>
      </w:pPr>
      <w:bookmarkStart w:id="3" w:name="bm_1_1_the_shelf_constraint_and_i_69985c"/>
      <w:r>
        <w:rPr>
          <w:b/>
          <w:sz w:val="33"/>
        </w:rPr>
        <w:t xml:space="preserve">1.1 The Shelf Constraint and Its Consequences</w:t>
      </w:r>
      <w:bookmarkEnd w:id="3"/>
    </w:p>
    <w:p>
      <w:pPr>
        <w:spacing w:after="210" w:lineRule="auto"/>
      </w:pPr>
      <w:r>
        <w:rPr>
          <w:rFonts w:eastAsia="Georgia" w:cs="Georgia" w:ascii="Georgia" w:hAnsi="Georgia"/>
        </w:rPr>
        <w:t xml:space="preserve">Library classification systems exist primarily to solve a physical problem: every book occupies exactly one location on a shelf. This constraint has shaped over 150 years of bibliographic practice, producing classification schemes—LCC, DDC, Universal Decimal Classification (UDC)—that reduce N-dimensional subject space to linear sequences[1][4]. The intellectual cost of this reduction is substantial:</w:t>
      </w:r>
    </w:p>
    <w:p>
      <w:pPr>
        <w:numPr>
          <w:ilvl w:val="0"/>
          <w:numId w:val="1"/>
        </w:numPr>
        <w:spacing w:lineRule="auto"/>
      </w:pPr>
      <w:r>
        <w:rPr>
          <w:b/>
        </w:rPr>
        <w:t xml:space="preserve">Forced hierarchy</w:t>
      </w:r>
      <w:r>
        <w:rPr/>
        <w:t xml:space="preserve">: Complex subjects with multiple equally valid organizational principles must be assigned to a single primary dimension, privileging one aspect while subordinating others.</w:t>
      </w:r>
    </w:p>
    <w:p>
      <w:pPr>
        <w:numPr>
          <w:ilvl w:val="0"/>
          <w:numId w:val="1"/>
        </w:numPr>
        <w:spacing w:lineRule="auto"/>
      </w:pPr>
      <w:r>
        <w:rPr>
          <w:b/>
        </w:rPr>
        <w:t xml:space="preserve">Classificatory duplication</w:t>
      </w:r>
      <w:r>
        <w:rPr/>
        <w:t xml:space="preserve">: Topics that span multiple disciplines or perspectives appear redundantly across different class ranges, with no formal mechanism to recognize these as facets of the same underlying concept.</w:t>
      </w:r>
    </w:p>
    <w:p>
      <w:pPr>
        <w:numPr>
          <w:ilvl w:val="0"/>
          <w:numId w:val="1"/>
        </w:numPr>
        <w:spacing w:lineRule="auto"/>
      </w:pPr>
      <w:r>
        <w:rPr>
          <w:b/>
        </w:rPr>
        <w:t xml:space="preserve">Rigid coupling</w:t>
      </w:r>
      <w:r>
        <w:rPr/>
        <w:t xml:space="preserve">: The notation system (call number) conflates physical location, disciplinary assignment, and conceptual identity, making it difficult to represent subjects that genuinely belong to multiple conceptual spaces simultaneously.</w:t>
      </w:r>
    </w:p>
    <w:p>
      <w:pPr>
        <w:spacing w:after="210" w:lineRule="auto"/>
      </w:pPr>
      <w:r>
        <w:rPr/>
        <w:t xml:space="preserve">Ranganathan recognized these limitations in the 1930s, proposing faceted classification as an alternative that could represent subjects through combinations of independently specified facets (Personality, Matter, Energy, Space, Time)[1][5]. However, his Colon Classification never achieved widespread adoption in research libraries, partly because its notation system remained incompatible with existing shelf arrangements and partly because the PMEST categories proved difficult to operationalize consistently across all domains[6].</w:t>
      </w:r>
    </w:p>
    <w:p>
      <w:pPr>
        <w:spacing w:line="271" w:before="240" w:lineRule="auto"/>
      </w:pPr>
      <w:bookmarkStart w:id="4" w:name="bm_1_2_the_digital_turn_and_persi_bcd984"/>
      <w:r>
        <w:rPr>
          <w:b/>
          <w:sz w:val="33"/>
        </w:rPr>
        <w:t xml:space="preserve">1.2 The Digital Turn and Persistent Legacy Systems</w:t>
      </w:r>
      <w:bookmarkEnd w:id="4"/>
    </w:p>
    <w:p>
      <w:pPr>
        <w:spacing w:after="210" w:lineRule="auto"/>
      </w:pPr>
      <w:r>
        <w:rPr>
          <w:rFonts w:eastAsia="Georgia" w:cs="Georgia" w:ascii="Georgia" w:hAnsi="Georgia"/>
        </w:rPr>
        <w:t xml:space="preserve">The digital transformation of library catalogs ostensibly removes the shelf constraint—electronic records do not require physical adjacency. Yet LCC, LCSH, and DDC persist as dominant organizational frameworks, embedded in millions of MARC records, crosswalked into Linked Data representations, and serving as authoritative vocabularies for resource discovery[7][8]. Libraries cannot simply abandon these systems; they represent enormous intellectual investment and provide interoperability across institutional boundaries[9].</w:t>
      </w:r>
    </w:p>
    <w:p>
      <w:pPr>
        <w:spacing w:after="210" w:lineRule="auto"/>
      </w:pPr>
      <w:r>
        <w:rPr/>
        <w:t xml:space="preserve">This creates a tension: we need the </w:t>
      </w:r>
      <w:r>
        <w:rPr>
          <w:b/>
        </w:rPr>
        <w:t xml:space="preserve">tethering</w:t>
      </w:r>
      <w:r>
        <w:rPr/>
        <w:t xml:space="preserve"> provided by traditional classification systems (standardization, authority control, institutional adoption) without inheriting their </w:t>
      </w:r>
      <w:r>
        <w:rPr>
          <w:b/>
        </w:rPr>
        <w:t xml:space="preserve">structural constraints</w:t>
      </w:r>
      <w:r>
        <w:rPr/>
        <w:t xml:space="preserve"> (linear hierarchy, single-aspect primary assignment, duplication without normalization).</w:t>
      </w:r>
    </w:p>
    <w:p>
      <w:pPr>
        <w:spacing w:line="271" w:before="240" w:lineRule="auto"/>
      </w:pPr>
      <w:bookmarkStart w:id="5" w:name="bm_1_3_research_question_and_cont_dd5438"/>
      <w:r>
        <w:rPr>
          <w:b/>
          <w:sz w:val="33"/>
        </w:rPr>
        <w:t xml:space="preserve">1.3 Research Question and Contribution</w:t>
      </w:r>
      <w:bookmarkEnd w:id="5"/>
    </w:p>
    <w:p>
      <w:pPr>
        <w:spacing w:after="210" w:lineRule="auto"/>
      </w:pPr>
      <w:r>
        <w:rPr/>
        <w:t xml:space="preserve">This paper asks: </w:t>
      </w:r>
      <w:r>
        <w:rPr>
          <w:i/>
        </w:rPr>
        <w:t xml:space="preserve">Can we design a classification system that is federated, multidimensional, and computationally navigable while maintaining compatibility with shelf-based legacy systems?</w:t>
      </w:r>
    </w:p>
    <w:p>
      <w:pPr>
        <w:spacing w:after="210" w:lineRule="auto"/>
      </w:pPr>
      <w:r>
        <w:rPr/>
        <w:t xml:space="preserve">We propose </w:t>
      </w:r>
      <w:r>
        <w:rPr>
          <w:b/>
        </w:rPr>
        <w:t xml:space="preserve">Chrystallum</w:t>
      </w:r>
      <w:r>
        <w:rPr/>
        <w:t xml:space="preserve">, a classification architecture with three defining characteristics:</w:t>
      </w:r>
    </w:p>
    <w:p>
      <w:pPr>
        <w:numPr>
          <w:ilvl w:val="0"/>
          <w:numId w:val="2"/>
        </w:numPr>
        <w:spacing w:lineRule="auto"/>
      </w:pPr>
      <w:r>
        <w:rPr>
          <w:b/>
        </w:rPr>
        <w:t xml:space="preserve">Federation</w:t>
      </w:r>
      <w:r>
        <w:rPr/>
        <w:t xml:space="preserve">: Multiple authoritative systems (LCC, LCSH, FAST, Wikidata, domain-specific ontologies) coexist as distinct but interlinked layers, each contributing complementary perspectives.</w:t>
      </w:r>
    </w:p>
    <w:p>
      <w:pPr>
        <w:numPr>
          <w:ilvl w:val="0"/>
          <w:numId w:val="2"/>
        </w:numPr>
        <w:spacing w:lineRule="auto"/>
      </w:pPr>
      <w:r>
        <w:rPr>
          <w:b/>
        </w:rPr>
        <w:t xml:space="preserve">Multidimensionality</w:t>
      </w:r>
      <w:r>
        <w:rPr/>
        <w:t xml:space="preserve">: Subjects are characterized via 18 canonical facets representing distinct research dimensions (archaeological, political, religious, social, etc.), enabling representation of complex, multi-aspect topics without forced hierarchy.</w:t>
      </w:r>
    </w:p>
    <w:p>
      <w:pPr>
        <w:numPr>
          <w:ilvl w:val="0"/>
          <w:numId w:val="2"/>
        </w:numPr>
        <w:spacing w:lineRule="auto"/>
      </w:pPr>
      <w:r>
        <w:rPr>
          <w:b/>
        </w:rPr>
        <w:t xml:space="preserve">Graph-based normalization</w:t>
      </w:r>
      <w:r>
        <w:rPr/>
        <w:t xml:space="preserve">: A knowledge graph substrate connects duplicative or overlapping classification codes to unified conceptual nodes (SubjectConcepts), using facet vectors to recognize equivalence across systems while preserving backward links to original shelf-based codes.</w:t>
      </w:r>
    </w:p>
    <w:p>
      <w:pPr>
        <w:spacing w:after="210" w:lineRule="auto"/>
      </w:pPr>
      <w:r>
        <w:rPr>
          <w:rFonts w:eastAsia="Georgia" w:cs="Georgia" w:ascii="Georgia" w:hAnsi="Georgia"/>
        </w:rPr>
        <w:t xml:space="preserve">The system is designed for computational knowledge work—supporting agent-based subject analysis, cross-facet discovery, and interpretive overlay—while remaining queryable via traditional LCC/LCSH identifiers for catalog interoperability.</w:t>
      </w:r>
    </w:p>
    <w:p>
      <w:pPr>
        <w:spacing w:line="271" w:before="240" w:lineRule="auto"/>
      </w:pPr>
      <w:bookmarkStart w:id="6" w:name="bm_2_theoretical_foundations"/>
      <w:r>
        <w:rPr>
          <w:b/>
          <w:sz w:val="42"/>
        </w:rPr>
        <w:t xml:space="preserve">2. Theoretical Foundations</w:t>
      </w:r>
      <w:bookmarkEnd w:id="6"/>
    </w:p>
    <w:p>
      <w:pPr>
        <w:spacing w:line="271" w:before="240" w:lineRule="auto"/>
      </w:pPr>
      <w:bookmarkStart w:id="7" w:name="bm_2_1_faceted_classification_and_5a11eb"/>
      <w:r>
        <w:rPr>
          <w:b/>
          <w:sz w:val="33"/>
        </w:rPr>
        <w:t xml:space="preserve">2.1 Faceted Classification and Its Modern Extensions</w:t>
      </w:r>
      <w:bookmarkEnd w:id="7"/>
    </w:p>
    <w:p>
      <w:pPr>
        <w:spacing w:after="210" w:lineRule="auto"/>
      </w:pPr>
      <w:r>
        <w:rPr/>
        <w:t xml:space="preserve">Ranganathan's faceted classification theory proposed that subjects could be analyzed into fundamental categories, with classificatory notation synthesized from facets rather than enumerated in advance[1][5]. His PMEST framework (Personality, Matter, Energy, Space, Time) aimed to provide universal categories applicable to all knowledge domains[10].</w:t>
      </w:r>
    </w:p>
    <w:p>
      <w:pPr>
        <w:spacing w:after="210" w:lineRule="auto"/>
      </w:pPr>
      <w:r>
        <w:rPr/>
        <w:t xml:space="preserve">Contemporary faceted systems, including FAST (Faceted Application of Subject Terminology)[11] and domain-specific ontologies like CIDOC-CRM[12], demonstrate the enduring value of facet analysis while revealing limitations of universal category schemes. Different domains require different facets; what works for material culture (CIDOC-CRM's Actor, Place, Time, Event, Physical Object) does not directly map to legal knowledge or literary analysis.</w:t>
      </w:r>
    </w:p>
    <w:p>
      <w:pPr>
        <w:spacing w:after="210" w:lineRule="auto"/>
      </w:pPr>
      <w:r>
        <w:rPr/>
        <w:t xml:space="preserve">Chrystallum adopts </w:t>
      </w:r>
      <w:r>
        <w:rPr>
          <w:b/>
        </w:rPr>
        <w:t xml:space="preserve">domain-scoped canonical facets</w:t>
      </w:r>
      <w:r>
        <w:rPr/>
        <w:t xml:space="preserve">: 18 research dimensions tailored to humanities and historical scholarship, including:</w:t>
      </w:r>
    </w:p>
    <w:p>
      <w:pPr>
        <w:numPr>
          <w:ilvl w:val="0"/>
          <w:numId w:val="3"/>
        </w:numPr>
        <w:spacing w:lineRule="auto"/>
      </w:pPr>
      <w:r>
        <w:rPr/>
        <w:t xml:space="preserve">ARCHAEOLOGICAL (material culture, excavation, artifacts)</w:t>
      </w:r>
    </w:p>
    <w:p>
      <w:pPr>
        <w:numPr>
          <w:ilvl w:val="0"/>
          <w:numId w:val="3"/>
        </w:numPr>
        <w:spacing w:lineRule="auto"/>
      </w:pPr>
      <w:r>
        <w:rPr/>
        <w:t xml:space="preserve">ARTISTIC (aesthetic production, literature, visual arts)</w:t>
      </w:r>
    </w:p>
    <w:p>
      <w:pPr>
        <w:numPr>
          <w:ilvl w:val="0"/>
          <w:numId w:val="3"/>
        </w:numPr>
        <w:spacing w:lineRule="auto"/>
      </w:pPr>
      <w:r>
        <w:rPr/>
        <w:t xml:space="preserve">BIOGRAPHIC (individual lives, prosopography)</w:t>
      </w:r>
    </w:p>
    <w:p>
      <w:pPr>
        <w:numPr>
          <w:ilvl w:val="0"/>
          <w:numId w:val="3"/>
        </w:numPr>
        <w:spacing w:lineRule="auto"/>
      </w:pPr>
      <w:r>
        <w:rPr/>
        <w:t xml:space="preserve">POLITICAL (governance, institutions, state)</w:t>
      </w:r>
    </w:p>
    <w:p>
      <w:pPr>
        <w:numPr>
          <w:ilvl w:val="0"/>
          <w:numId w:val="3"/>
        </w:numPr>
        <w:spacing w:lineRule="auto"/>
      </w:pPr>
      <w:r>
        <w:rPr/>
        <w:t xml:space="preserve">RELIGIOUS (cult, ritual, sacred space)</w:t>
      </w:r>
    </w:p>
    <w:p>
      <w:pPr>
        <w:numPr>
          <w:ilvl w:val="0"/>
          <w:numId w:val="3"/>
        </w:numPr>
        <w:spacing w:lineRule="auto"/>
      </w:pPr>
      <w:r>
        <w:rPr/>
        <w:t xml:space="preserve">INTELLECTUAL (philosophy, law, scholarship)</w:t>
      </w:r>
    </w:p>
    <w:p>
      <w:pPr>
        <w:numPr>
          <w:ilvl w:val="0"/>
          <w:numId w:val="3"/>
        </w:numPr>
        <w:spacing w:lineRule="auto"/>
      </w:pPr>
      <w:r>
        <w:rPr/>
        <w:t xml:space="preserve">SOCIAL (class, kinship, patronage)</w:t>
      </w:r>
    </w:p>
    <w:p>
      <w:pPr>
        <w:spacing w:after="210" w:lineRule="auto"/>
      </w:pPr>
      <w:r>
        <w:rPr/>
        <w:t xml:space="preserve">These facets are not claimed to be universal but are explicitly designed for the domain of ancient and medieval history, with extensibility to related humanities fields.</w:t>
      </w:r>
    </w:p>
    <w:p>
      <w:pPr>
        <w:spacing w:line="271" w:before="240" w:lineRule="auto"/>
      </w:pPr>
      <w:bookmarkStart w:id="8" w:name="bm_2_2_knowledge_organization_sys_bf3374"/>
      <w:r>
        <w:rPr>
          <w:b/>
          <w:sz w:val="33"/>
        </w:rPr>
        <w:t xml:space="preserve">2.2 Knowledge Organization Systems as Networked Infrastructure</w:t>
      </w:r>
      <w:bookmarkEnd w:id="8"/>
    </w:p>
    <w:p>
      <w:pPr>
        <w:spacing w:after="210" w:lineRule="auto"/>
      </w:pPr>
      <w:r>
        <w:rPr/>
        <w:t xml:space="preserve">The Networked Knowledge Organization Systems (NKOS) community has long advocated for treating classification systems, thesauri, and ontologies as </w:t>
      </w:r>
      <w:r>
        <w:rPr>
          <w:b/>
        </w:rPr>
        <w:t xml:space="preserve">interoperable services</w:t>
      </w:r>
      <w:r>
        <w:rPr/>
        <w:t xml:space="preserve"> rather than isolated authorities[3][13]. This vision aligns with Linked Data principles: knowledge organization systems should expose their vocabularies as URIs, provide mappings across systems, and support federated querying[14].</w:t>
      </w:r>
    </w:p>
    <w:p>
      <w:pPr>
        <w:spacing w:after="210" w:lineRule="auto"/>
      </w:pPr>
      <w:r>
        <w:rPr/>
        <w:t xml:space="preserve">Chrystallum operationalizes this through a </w:t>
      </w:r>
      <w:r>
        <w:rPr>
          <w:b/>
        </w:rPr>
        <w:t xml:space="preserve">FederationRegistry</w:t>
      </w:r>
      <w:r>
        <w:rPr>
          <w:rFonts w:eastAsia="Georgia" w:cs="Georgia" w:ascii="Georgia" w:hAnsi="Georgia"/>
        </w:rPr>
        <w:t xml:space="preserve">—a system-level node in a Neo4j knowledge graph that connects to multiple authority endpoints (LCC, LCSH, FAST, Wikidata, Pleiades, etc.), each represented as an </w:t>
      </w:r>
      <w:r>
        <w:rPr>
          <w:rStyle w:val="VerbatimChar"/>
          <w:rFonts w:eastAsia="menlo" w:cs="menlo" w:ascii="menlo" w:hAnsi="menlo"/>
          <w:shd w:val="clear" w:color="auto" w:fill="F8F8FA"/>
        </w:rPr>
        <w:t xml:space="preserve">AuthoritySystem</w:t>
      </w:r>
      <w:r>
        <w:rPr/>
        <w:t xml:space="preserve"> with indexed entries. When characterizing a subject, the system queries the registry to retrieve all federated identifiers for a concept, gathering Wikidata QIDs, LCSH subject headings, LCC class codes, and domain-specific URIs (e.g., Pleiades place IDs for geographic entities)[15].</w:t>
      </w:r>
    </w:p>
    <w:p>
      <w:pPr>
        <w:spacing w:after="210" w:lineRule="auto"/>
      </w:pPr>
      <w:r>
        <w:rPr/>
        <w:t xml:space="preserve">This federation layer serves as the "glue" connecting traditional classification systems to the multidimensional facet representation, ensuring that Chrystallum remains grounded in authoritative sources rather than inventing a wholly new, untethered vocabulary.</w:t>
      </w:r>
    </w:p>
    <w:p>
      <w:pPr>
        <w:spacing w:line="271" w:before="240" w:lineRule="auto"/>
      </w:pPr>
      <w:bookmarkStart w:id="9" w:name="bm_2_3_graph_based_knowledge_repr_5ebe40"/>
      <w:r>
        <w:rPr>
          <w:b/>
          <w:sz w:val="33"/>
        </w:rPr>
        <w:t xml:space="preserve">2.3 Graph-Based Knowledge Representation</w:t>
      </w:r>
      <w:bookmarkEnd w:id="9"/>
    </w:p>
    <w:p>
      <w:pPr>
        <w:spacing w:after="210" w:lineRule="auto"/>
      </w:pPr>
      <w:r>
        <w:rPr/>
        <w:t xml:space="preserve">Knowledge graphs have emerged as the dominant computational paradigm for representing complex, interconnected information[2][16]. Unlike relational databases or hierarchical trees, graphs naturally represent:</w:t>
      </w:r>
    </w:p>
    <w:p>
      <w:pPr>
        <w:numPr>
          <w:ilvl w:val="0"/>
          <w:numId w:val="4"/>
        </w:numPr>
        <w:spacing w:lineRule="auto"/>
      </w:pPr>
      <w:r>
        <w:rPr>
          <w:b/>
        </w:rPr>
        <w:t xml:space="preserve">Many-to-many relationships</w:t>
      </w:r>
      <w:r>
        <w:rPr/>
        <w:t xml:space="preserve">: A single concept can connect to multiple facets, authorities, and related concepts without artificial primacy.</w:t>
      </w:r>
    </w:p>
    <w:p>
      <w:pPr>
        <w:numPr>
          <w:ilvl w:val="0"/>
          <w:numId w:val="4"/>
        </w:numPr>
        <w:spacing w:lineRule="auto"/>
      </w:pPr>
      <w:r>
        <w:rPr>
          <w:b/>
        </w:rPr>
        <w:t xml:space="preserve">Heterogeneous node types</w:t>
      </w:r>
      <w:r>
        <w:rPr/>
        <w:t xml:space="preserve">: Entities, concepts, authorities, and metadata can coexist in the same representational space.</w:t>
      </w:r>
    </w:p>
    <w:p>
      <w:pPr>
        <w:numPr>
          <w:ilvl w:val="0"/>
          <w:numId w:val="4"/>
        </w:numPr>
        <w:spacing w:lineRule="auto"/>
      </w:pPr>
      <w:r>
        <w:rPr>
          <w:b/>
        </w:rPr>
        <w:t xml:space="preserve">Traversal-based reasoning</w:t>
      </w:r>
      <w:r>
        <w:rPr/>
        <w:t xml:space="preserve">: Queries express conceptual pathways (e.g., "find all military concepts that overlap with religious practice") rather than rigid taxonomic descent.</w:t>
      </w:r>
    </w:p>
    <w:p>
      <w:pPr>
        <w:spacing w:after="210" w:lineRule="auto"/>
      </w:pPr>
      <w:r>
        <w:rPr/>
        <w:t xml:space="preserve">Chrystallum's graph substrate uses Neo4j with a schema that includes:</w:t>
      </w:r>
    </w:p>
    <w:p>
      <w:pPr>
        <w:numPr>
          <w:ilvl w:val="0"/>
          <w:numId w:val="5"/>
        </w:numPr>
        <w:spacing w:lineRule="auto"/>
      </w:pPr>
      <w:r>
        <w:rPr>
          <w:rStyle w:val="VerbatimChar"/>
          <w:rFonts w:eastAsia="menlo" w:cs="menlo" w:ascii="menlo" w:hAnsi="menlo"/>
          <w:shd w:val="clear" w:color="auto" w:fill="F8F8FA"/>
        </w:rPr>
        <w:t xml:space="preserve">SubjectConcept</w:t>
      </w:r>
      <w:r>
        <w:rPr/>
        <w:t xml:space="preserve"> nodes: Normalized conceptual anchors (e.g., "Roman Republic," "Roman Military Organization")</w:t>
      </w:r>
    </w:p>
    <w:p>
      <w:pPr>
        <w:numPr>
          <w:ilvl w:val="0"/>
          <w:numId w:val="5"/>
        </w:numPr>
        <w:spacing w:lineRule="auto"/>
      </w:pPr>
      <w:r>
        <w:rPr>
          <w:rStyle w:val="VerbatimChar"/>
          <w:rFonts w:eastAsia="menlo" w:cs="menlo" w:ascii="menlo" w:hAnsi="menlo"/>
          <w:shd w:val="clear" w:color="auto" w:fill="F8F8FA"/>
        </w:rPr>
        <w:t xml:space="preserve">LCCClass</w:t>
      </w:r>
      <w:r>
        <w:rPr/>
        <w:t xml:space="preserve">, </w:t>
      </w:r>
      <w:r>
        <w:rPr>
          <w:rStyle w:val="VerbatimChar"/>
          <w:rFonts w:eastAsia="menlo" w:cs="menlo" w:ascii="menlo" w:hAnsi="menlo"/>
          <w:shd w:val="clear" w:color="auto" w:fill="F8F8FA"/>
        </w:rPr>
        <w:t xml:space="preserve">LCSHHeading</w:t>
      </w:r>
      <w:r>
        <w:rPr/>
        <w:t xml:space="preserve">, </w:t>
      </w:r>
      <w:r>
        <w:rPr>
          <w:rStyle w:val="VerbatimChar"/>
          <w:rFonts w:eastAsia="menlo" w:cs="menlo" w:ascii="menlo" w:hAnsi="menlo"/>
          <w:shd w:val="clear" w:color="auto" w:fill="F8F8FA"/>
        </w:rPr>
        <w:t xml:space="preserve">FastTopic</w:t>
      </w:r>
      <w:r>
        <w:rPr/>
        <w:t xml:space="preserve"> nodes: Entries from traditional systems</w:t>
      </w:r>
    </w:p>
    <w:p>
      <w:pPr>
        <w:numPr>
          <w:ilvl w:val="0"/>
          <w:numId w:val="5"/>
        </w:numPr>
        <w:spacing w:lineRule="auto"/>
      </w:pPr>
      <w:r>
        <w:rPr>
          <w:rStyle w:val="VerbatimChar"/>
          <w:rFonts w:eastAsia="menlo" w:cs="menlo" w:ascii="menlo" w:hAnsi="menlo"/>
          <w:shd w:val="clear" w:color="auto" w:fill="F8F8FA"/>
        </w:rPr>
        <w:t xml:space="preserve">Facet</w:t>
      </w:r>
      <w:r>
        <w:rPr/>
        <w:t xml:space="preserve"> nodes: The 18 canonical research dimensions</w:t>
      </w:r>
    </w:p>
    <w:p>
      <w:pPr>
        <w:numPr>
          <w:ilvl w:val="0"/>
          <w:numId w:val="5"/>
        </w:numPr>
        <w:spacing w:lineRule="auto"/>
      </w:pPr>
      <w:r>
        <w:rPr/>
        <w:t xml:space="preserve">Relationships: </w:t>
      </w:r>
      <w:r>
        <w:rPr>
          <w:rStyle w:val="VerbatimChar"/>
          <w:rFonts w:eastAsia="menlo" w:cs="menlo" w:ascii="menlo" w:hAnsi="menlo"/>
          <w:shd w:val="clear" w:color="auto" w:fill="F8F8FA"/>
        </w:rPr>
        <w:t xml:space="preserve">MAPSTOFACET</w:t>
      </w:r>
      <w:r>
        <w:rPr/>
        <w:t xml:space="preserve"> (weighted facet assignments), </w:t>
      </w:r>
      <w:r>
        <w:rPr>
          <w:rStyle w:val="VerbatimChar"/>
          <w:rFonts w:eastAsia="menlo" w:cs="menlo" w:ascii="menlo" w:hAnsi="menlo"/>
          <w:shd w:val="clear" w:color="auto" w:fill="F8F8FA"/>
        </w:rPr>
        <w:t xml:space="preserve">ALIGNS_WITH</w:t>
      </w:r>
      <w:r>
        <w:rPr/>
        <w:t xml:space="preserve"> (equivalence across authorities), </w:t>
      </w:r>
      <w:r>
        <w:rPr>
          <w:rStyle w:val="VerbatimChar"/>
          <w:rFonts w:eastAsia="menlo" w:cs="menlo" w:ascii="menlo" w:hAnsi="menlo"/>
          <w:shd w:val="clear" w:color="auto" w:fill="F8F8FA"/>
        </w:rPr>
        <w:t xml:space="preserve">SAME_AS</w:t>
      </w:r>
      <w:r>
        <w:rPr/>
        <w:t xml:space="preserve"> (federation links)</w:t>
      </w:r>
    </w:p>
    <w:p>
      <w:pPr>
        <w:spacing w:after="210" w:lineRule="auto"/>
      </w:pPr>
      <w:r>
        <w:rPr/>
        <w:t xml:space="preserve">This structure enables </w:t>
      </w:r>
      <w:r>
        <w:rPr>
          <w:b/>
        </w:rPr>
        <w:t xml:space="preserve">multidimensional navigation</w:t>
      </w:r>
      <w:r>
        <w:rPr>
          <w:rFonts w:eastAsia="Georgia" w:cs="Georgia" w:ascii="Georgia" w:hAnsi="Georgia"/>
        </w:rPr>
        <w:t xml:space="preserve">—users can traverse by facet, by authority, or by conceptual similarity—while always maintaining traceability to shelf-based codes for catalog integration.</w:t>
      </w:r>
    </w:p>
    <w:p>
      <w:pPr>
        <w:spacing w:line="271" w:before="240" w:lineRule="auto"/>
      </w:pPr>
      <w:bookmarkStart w:id="10" w:name="bm_3_system_architecture"/>
      <w:r>
        <w:rPr>
          <w:b/>
          <w:sz w:val="42"/>
        </w:rPr>
        <w:t xml:space="preserve">3. System Architecture</w:t>
      </w:r>
      <w:bookmarkEnd w:id="10"/>
    </w:p>
    <w:p>
      <w:pPr>
        <w:spacing w:line="271" w:before="240" w:lineRule="auto"/>
      </w:pPr>
      <w:bookmarkStart w:id="11" w:name="bm_3_1_core_components"/>
      <w:r>
        <w:rPr>
          <w:b/>
          <w:sz w:val="33"/>
        </w:rPr>
        <w:t xml:space="preserve">3.1 Core Components</w:t>
      </w:r>
      <w:bookmarkEnd w:id="11"/>
    </w:p>
    <w:p>
      <w:pPr>
        <w:spacing w:after="210" w:lineRule="auto"/>
      </w:pPr>
      <w:r>
        <w:rPr/>
        <w:t xml:space="preserve">Chrystallum comprises four architectural layers:</w:t>
      </w:r>
    </w:p>
    <w:p>
      <w:pPr>
        <w:spacing w:line="271" w:before="240" w:lineRule="auto"/>
      </w:pPr>
      <w:bookmarkStart w:id="12" w:name="bm_3_1_1_federation_registry"/>
      <w:r>
        <w:rPr>
          <w:b/>
          <w:sz w:val="28"/>
        </w:rPr>
        <w:t xml:space="preserve">3.1.1 Federation Registry</w:t>
      </w:r>
      <w:bookmarkEnd w:id="12"/>
    </w:p>
    <w:p>
      <w:pPr>
        <w:spacing w:after="210" w:lineRule="auto"/>
      </w:pPr>
      <w:r>
        <w:rPr/>
        <w:t xml:space="preserve">A central registry node </w:t>
      </w:r>
      <w:r>
        <w:rPr>
          <w:rStyle w:val="VerbatimChar"/>
          <w:rFonts w:eastAsia="menlo" w:cs="menlo" w:ascii="menlo" w:hAnsi="menlo"/>
          <w:shd w:val="clear" w:color="auto" w:fill="F8F8FA"/>
        </w:rPr>
        <w:t xml:space="preserve">(:SYS_FederationRegistry {system:true})</w:t>
      </w:r>
      <w:r>
        <w:rPr/>
        <w:t xml:space="preserve"> connects to authority systems:</w:t>
      </w:r>
    </w:p>
    <w:p>
      <w:pPr>
        <w:spacing w:after="210" w:lineRule="auto"/>
      </w:pPr>
      <w:r>
        <w:rPr>
          <w:rFonts w:eastAsia="Georgia" w:cs="Georgia" w:ascii="Georgia" w:hAnsi="Georgia"/>
        </w:rPr>
        <w:t xml:space="preserve">(:SYS_FederationRegistry)</w:t>
      </w:r>
      <w:r>
        <w:rPr/>
        <w:br w:type="textWrapping"/>
      </w:r>
      <w:r>
        <w:rPr>
          <w:rFonts w:eastAsia="Georgia" w:cs="Georgia" w:ascii="Georgia" w:hAnsi="Georgia"/>
        </w:rPr>
        <w:t xml:space="preserve">-[:HAS_AUTHORITY]-&gt;(:AuthoritySystem {key:"LCC"})</w:t>
      </w:r>
      <w:r>
        <w:rPr/>
        <w:br w:type="textWrapping"/>
      </w:r>
      <w:r>
        <w:rPr>
          <w:rFonts w:eastAsia="Georgia" w:cs="Georgia" w:ascii="Georgia" w:hAnsi="Georgia"/>
        </w:rPr>
        <w:t xml:space="preserve">-[:HAS_AUTHORITY]-&gt;(:AuthoritySystem {key:"LCSH"})</w:t>
      </w:r>
      <w:r>
        <w:rPr/>
        <w:br w:type="textWrapping"/>
      </w:r>
      <w:r>
        <w:rPr>
          <w:rFonts w:eastAsia="Georgia" w:cs="Georgia" w:ascii="Georgia" w:hAnsi="Georgia"/>
        </w:rPr>
        <w:t xml:space="preserve">-[:HAS_AUTHORITY]-&gt;(:AuthoritySystem {key:"Wikidata"})</w:t>
      </w:r>
      <w:r>
        <w:rPr/>
        <w:br w:type="textWrapping"/>
      </w:r>
      <w:r>
        <w:rPr>
          <w:rFonts w:eastAsia="Georgia" w:cs="Georgia" w:ascii="Georgia" w:hAnsi="Georgia"/>
        </w:rPr>
        <w:t xml:space="preserve">-[:HAS_AUTHORITY]-&gt;(:AuthoritySystem {key:"Pleiades"})</w:t>
      </w:r>
      <w:r>
        <w:rPr/>
        <w:br w:type="textWrapping"/>
      </w:r>
      <w:r>
        <w:rPr/>
        <w:t xml:space="preserve">...</w:t>
      </w:r>
    </w:p>
    <w:p>
      <w:pPr>
        <w:spacing w:after="210" w:lineRule="auto"/>
      </w:pPr>
      <w:r>
        <w:rPr/>
        <w:t xml:space="preserve">Each </w:t>
      </w:r>
      <w:r>
        <w:rPr>
          <w:rStyle w:val="VerbatimChar"/>
          <w:rFonts w:eastAsia="menlo" w:cs="menlo" w:ascii="menlo" w:hAnsi="menlo"/>
          <w:shd w:val="clear" w:color="auto" w:fill="F8F8FA"/>
        </w:rPr>
        <w:t xml:space="preserve">AuthoritySystem</w:t>
      </w:r>
      <w:r>
        <w:rPr/>
        <w:t xml:space="preserve"> indexes entries:</w:t>
      </w:r>
    </w:p>
    <w:p>
      <w:pPr>
        <w:spacing w:after="210" w:lineRule="auto"/>
      </w:pPr>
      <w:r>
        <w:rPr/>
        <w:t xml:space="preserve">(:AuthoritySystem {key:"LCC"})</w:t>
      </w:r>
      <w:r>
        <w:rPr/>
        <w:br w:type="textWrapping"/>
      </w:r>
      <w:r>
        <w:rPr/>
        <w:t xml:space="preserve">-[:INDEXES]-&gt;(:LCCClass {code:"DG105", label:"Army"})</w:t>
      </w:r>
    </w:p>
    <w:p>
      <w:pPr>
        <w:spacing w:after="210" w:lineRule="auto"/>
      </w:pPr>
      <w:r>
        <w:rPr/>
        <w:t xml:space="preserve">Federation links connect equivalent entries across systems:</w:t>
      </w:r>
    </w:p>
    <w:p>
      <w:pPr>
        <w:spacing w:after="210" w:lineRule="auto"/>
      </w:pPr>
      <w:r>
        <w:rPr/>
        <w:t xml:space="preserve">(:LCCClass {code:"DG105"})</w:t>
      </w:r>
      <w:r>
        <w:rPr/>
        <w:br w:type="textWrapping"/>
      </w:r>
      <w:r>
        <w:rPr>
          <w:rFonts w:eastAsia="Georgia" w:cs="Georgia" w:ascii="Georgia" w:hAnsi="Georgia"/>
        </w:rPr>
        <w:t xml:space="preserve">-[:SAME_AS]-&gt;(:WikidataEntity {qid:"Q7278"})</w:t>
      </w:r>
      <w:r>
        <w:rPr/>
        <w:br w:type="textWrapping"/>
      </w:r>
      <w:r>
        <w:rPr>
          <w:rFonts w:eastAsia="Georgia" w:cs="Georgia" w:ascii="Georgia" w:hAnsi="Georgia"/>
        </w:rPr>
        <w:t xml:space="preserve">-[:MAPS_TO]-&gt;(:LCSHHeading {id:"sh85115123"})</w:t>
      </w:r>
    </w:p>
    <w:p>
      <w:pPr>
        <w:spacing w:line="271" w:before="240" w:lineRule="auto"/>
      </w:pPr>
      <w:bookmarkStart w:id="13" w:name="bm_3_1_2_facet_layer"/>
      <w:r>
        <w:rPr>
          <w:b/>
          <w:sz w:val="28"/>
        </w:rPr>
        <w:t xml:space="preserve">3.1.2 Facet Layer</w:t>
      </w:r>
      <w:bookmarkEnd w:id="13"/>
    </w:p>
    <w:p>
      <w:pPr>
        <w:spacing w:after="210" w:lineRule="auto"/>
      </w:pPr>
      <w:r>
        <w:rPr/>
        <w:t xml:space="preserve">18 canonical facets are represented as nodes:</w:t>
      </w:r>
    </w:p>
    <w:p>
      <w:pPr>
        <w:spacing w:after="210" w:lineRule="auto"/>
      </w:pPr>
      <w:r>
        <w:rPr/>
        <w:t xml:space="preserve">(:Facet {key:"MILITARY", label:"Military",</w:t>
      </w:r>
      <w:r>
        <w:rPr/>
        <w:br w:type="textWrapping"/>
      </w:r>
      <w:r>
        <w:rPr/>
        <w:t xml:space="preserve">description:"Warfare, army, navy, battles, strategy, legions"})</w:t>
      </w:r>
    </w:p>
    <w:p>
      <w:pPr>
        <w:spacing w:after="210" w:lineRule="auto"/>
      </w:pPr>
      <w:r>
        <w:rPr/>
        <w:t xml:space="preserve">Facets serve as a </w:t>
      </w:r>
      <w:r>
        <w:rPr>
          <w:b/>
        </w:rPr>
        <w:t xml:space="preserve">normalized conceptual vocabulary</w:t>
      </w:r>
      <w:r>
        <w:rPr/>
        <w:t xml:space="preserve"> orthogonal to disciplinary hierarchies. A concept can map to multiple facets with weights:</w:t>
      </w:r>
    </w:p>
    <w:p>
      <w:pPr>
        <w:spacing w:after="210" w:lineRule="auto"/>
      </w:pPr>
      <w:r>
        <w:rPr/>
        <w:t xml:space="preserve">(:SubjectConcept {label:"Roman Army"})</w:t>
      </w:r>
      <w:r>
        <w:rPr/>
        <w:br w:type="textWrapping"/>
      </w:r>
      <w:r>
        <w:rPr>
          <w:rFonts w:eastAsia="Georgia" w:cs="Georgia" w:ascii="Georgia" w:hAnsi="Georgia"/>
        </w:rPr>
        <w:t xml:space="preserve">-[:MAPSTOFACET {weight:0.95, source:"sca_holistic"}]-&gt;(:Facet {key:"MILITARY"})</w:t>
      </w:r>
      <w:r>
        <w:rPr/>
        <w:br w:type="textWrapping"/>
      </w:r>
      <w:r>
        <w:rPr>
          <w:rFonts w:eastAsia="Georgia" w:cs="Georgia" w:ascii="Georgia" w:hAnsi="Georgia"/>
        </w:rPr>
        <w:t xml:space="preserve">-[:MAPSTOFACET {weight:0.5, source:"sca_holistic"}]-&gt;(:Facet {key:"POLITICAL"})</w:t>
      </w:r>
      <w:r>
        <w:rPr/>
        <w:br w:type="textWrapping"/>
      </w:r>
      <w:r>
        <w:rPr>
          <w:rFonts w:eastAsia="Georgia" w:cs="Georgia" w:ascii="Georgia" w:hAnsi="Georgia"/>
        </w:rPr>
        <w:t xml:space="preserve">-[:MAPSTOFACET {weight:0.3, source:"sca_holistic"}]-&gt;(:Facet {key:"TECHNOLOGICAL"})</w:t>
      </w:r>
    </w:p>
    <w:p>
      <w:pPr>
        <w:spacing w:line="271" w:before="240" w:lineRule="auto"/>
      </w:pPr>
      <w:bookmarkStart w:id="14" w:name="bm_3_1_3_subjectconcept_normaliza_a34530"/>
      <w:r>
        <w:rPr>
          <w:b/>
          <w:sz w:val="28"/>
        </w:rPr>
        <w:t xml:space="preserve">3.1.3 SubjectConcept Normalization Layer</w:t>
      </w:r>
      <w:bookmarkEnd w:id="14"/>
    </w:p>
    <w:p>
      <w:pPr>
        <w:spacing w:after="210" w:lineRule="auto"/>
      </w:pPr>
      <w:r>
        <w:rPr>
          <w:rStyle w:val="VerbatimChar"/>
          <w:rFonts w:eastAsia="menlo" w:cs="menlo" w:ascii="menlo" w:hAnsi="menlo"/>
          <w:shd w:val="clear" w:color="auto" w:fill="F8F8FA"/>
        </w:rPr>
        <w:t xml:space="preserve">SubjectConcept</w:t>
      </w:r>
      <w:r>
        <w:rPr/>
        <w:t xml:space="preserve"> nodes are </w:t>
      </w:r>
      <w:r>
        <w:rPr>
          <w:b/>
        </w:rPr>
        <w:t xml:space="preserve">normalized conceptual anchors</w:t>
      </w:r>
      <w:r>
        <w:rPr/>
        <w:t xml:space="preserve"> that unify overlapping or duplicative classification codes. For example:</w:t>
      </w:r>
    </w:p>
    <w:p>
      <w:pPr>
        <w:numPr>
          <w:ilvl w:val="0"/>
          <w:numId w:val="6"/>
        </w:numPr>
        <w:spacing w:lineRule="auto"/>
      </w:pPr>
      <w:r>
        <w:rPr/>
        <w:t xml:space="preserve">LCC codes DG171 "Religion (general)", DG175 "Cults", DG179 "Priesthoods" have similar facet profiles.</w:t>
      </w:r>
    </w:p>
    <w:p>
      <w:pPr>
        <w:numPr>
          <w:ilvl w:val="0"/>
          <w:numId w:val="6"/>
        </w:numPr>
        <w:spacing w:lineRule="auto"/>
      </w:pPr>
      <w:r>
        <w:rPr/>
        <w:t xml:space="preserve">Using cosine similarity over facet weight vectors, these are clustered into a single </w:t>
      </w:r>
      <w:r>
        <w:rPr>
          <w:rStyle w:val="VerbatimChar"/>
          <w:rFonts w:eastAsia="menlo" w:cs="menlo" w:ascii="menlo" w:hAnsi="menlo"/>
          <w:shd w:val="clear" w:color="auto" w:fill="F8F8FA"/>
        </w:rPr>
        <w:t xml:space="preserve">SubjectConcept</w:t>
      </w:r>
      <w:r>
        <w:rPr/>
        <w:t xml:space="preserve">:</w:t>
      </w:r>
    </w:p>
    <w:p>
      <w:pPr>
        <w:spacing w:after="210" w:lineRule="auto"/>
      </w:pPr>
      <w:r>
        <w:rPr>
          <w:rFonts w:eastAsia="Georgia" w:cs="Georgia" w:ascii="Georgia" w:hAnsi="Georgia"/>
        </w:rPr>
        <w:t xml:space="preserve">(:SubjectConcept {subjectid:"subj_roman_religion_cluster1",</w:t>
      </w:r>
      <w:r>
        <w:rPr/>
        <w:br w:type="textWrapping"/>
      </w:r>
      <w:r>
        <w:rPr/>
        <w:t xml:space="preserve">label:"Roman Religion and Cult"})</w:t>
      </w:r>
      <w:r>
        <w:rPr/>
        <w:br w:type="textWrapping"/>
      </w:r>
      <w:r>
        <w:rPr>
          <w:rFonts w:eastAsia="Georgia" w:cs="Georgia" w:ascii="Georgia" w:hAnsi="Georgia"/>
        </w:rPr>
        <w:t xml:space="preserve">&lt;-[:ALIGNS_WITH]-(:LCCClass {code:"DG171"})</w:t>
      </w:r>
      <w:r>
        <w:rPr/>
        <w:br w:type="textWrapping"/>
      </w:r>
      <w:r>
        <w:rPr>
          <w:rFonts w:eastAsia="Georgia" w:cs="Georgia" w:ascii="Georgia" w:hAnsi="Georgia"/>
        </w:rPr>
        <w:t xml:space="preserve">&lt;-[:ALIGNS_WITH]-(:LCCClass {code:"DG175"})</w:t>
      </w:r>
      <w:r>
        <w:rPr/>
        <w:br w:type="textWrapping"/>
      </w:r>
      <w:r>
        <w:rPr>
          <w:rFonts w:eastAsia="Georgia" w:cs="Georgia" w:ascii="Georgia" w:hAnsi="Georgia"/>
        </w:rPr>
        <w:t xml:space="preserve">&lt;-[:ALIGNS_WITH]-(:LCCClass {code:"DG179"})</w:t>
      </w:r>
    </w:p>
    <w:p>
      <w:pPr>
        <w:spacing w:after="210" w:lineRule="auto"/>
      </w:pPr>
      <w:r>
        <w:rPr/>
        <w:t xml:space="preserve">This normalization resolves LCC's internal duplication while preserving backward links for catalog queries.</w:t>
      </w:r>
    </w:p>
    <w:p>
      <w:pPr>
        <w:spacing w:line="271" w:before="240" w:lineRule="auto"/>
      </w:pPr>
      <w:bookmarkStart w:id="15" w:name="bm_3_1_4_agent_layer"/>
      <w:r>
        <w:rPr>
          <w:b/>
          <w:sz w:val="28"/>
        </w:rPr>
        <w:t xml:space="preserve">3.1.4 Agent Layer</w:t>
      </w:r>
      <w:bookmarkEnd w:id="15"/>
    </w:p>
    <w:p>
      <w:pPr>
        <w:spacing w:after="210" w:lineRule="auto"/>
      </w:pPr>
      <w:r>
        <w:rPr/>
        <w:t xml:space="preserve">Two agent types operate over SubjectConcepts:</w:t>
      </w:r>
    </w:p>
    <w:p>
      <w:pPr>
        <w:numPr>
          <w:ilvl w:val="0"/>
          <w:numId w:val="7"/>
        </w:numPr>
        <w:spacing w:lineRule="auto"/>
      </w:pPr>
      <w:r>
        <w:rPr>
          <w:b/>
        </w:rPr>
        <w:t xml:space="preserve">Subject Concept Agent (SCA)</w:t>
      </w:r>
      <w:r>
        <w:rPr/>
        <w:t xml:space="preserve">: Harvests empirical structure from Wikidata, LCSH, WorldCat, and other authorities. Computes facet weights, extracts entities, and builds evidence-based concept graphs.</w:t>
      </w:r>
    </w:p>
    <w:p>
      <w:pPr>
        <w:numPr>
          <w:ilvl w:val="0"/>
          <w:numId w:val="7"/>
        </w:numPr>
        <w:spacing w:lineRule="auto"/>
      </w:pPr>
      <w:r>
        <w:rPr>
          <w:b/>
        </w:rPr>
        <w:t xml:space="preserve">Subject Framework Agent (SFA)</w:t>
      </w:r>
      <w:r>
        <w:rPr>
          <w:rFonts w:eastAsia="Georgia" w:cs="Georgia" w:ascii="Georgia" w:hAnsi="Georgia"/>
        </w:rPr>
        <w:t xml:space="preserve">: Adds interpretive structure—within-facet concept hierarchies, cross-facet relationships, and framework overlays (e.g., "under a Polybian lens, POLITICAL and MILITARY form a unified system").</w:t>
      </w:r>
    </w:p>
    <w:p>
      <w:pPr>
        <w:spacing w:after="210" w:lineRule="auto"/>
      </w:pPr>
      <w:r>
        <w:rPr/>
        <w:t xml:space="preserve">SCA provides grounded evidence; SFA adds historiographical interpretation. Crucially, </w:t>
      </w:r>
      <w:r>
        <w:rPr>
          <w:b/>
        </w:rPr>
        <w:t xml:space="preserve">SFA proposals are marked as claims</w:t>
      </w:r>
      <w:r>
        <w:rPr/>
        <w:t xml:space="preserve"> (</w:t>
      </w:r>
      <w:r>
        <w:rPr>
          <w:rStyle w:val="VerbatimChar"/>
          <w:rFonts w:eastAsia="menlo" w:cs="menlo" w:ascii="menlo" w:hAnsi="menlo"/>
          <w:shd w:val="clear" w:color="auto" w:fill="F8F8FA"/>
        </w:rPr>
        <w:t xml:space="preserve">source:"sfa_inference", confidence:0.75</w:t>
      </w:r>
      <w:r>
        <w:rPr/>
        <w:t xml:space="preserve">) and remain contestable, mirroring scholarly debate.</w:t>
      </w:r>
    </w:p>
    <w:p>
      <w:pPr>
        <w:spacing w:line="271" w:before="240" w:lineRule="auto"/>
      </w:pPr>
      <w:bookmarkStart w:id="16" w:name="bm_3_2_facet_characterization_workflow"/>
      <w:r>
        <w:rPr>
          <w:b/>
          <w:sz w:val="33"/>
        </w:rPr>
        <w:t xml:space="preserve">3.2 Facet Characterization Workflow</w:t>
      </w:r>
      <w:bookmarkEnd w:id="16"/>
    </w:p>
    <w:p>
      <w:pPr>
        <w:spacing w:after="210" w:lineRule="auto"/>
      </w:pPr>
      <w:r>
        <w:rPr/>
        <w:t xml:space="preserve">When a new subject is identified (via LCC code, LCSH heading, or Wikidata QID):</w:t>
      </w:r>
    </w:p>
    <w:p>
      <w:pPr>
        <w:numPr>
          <w:ilvl w:val="0"/>
          <w:numId w:val="8"/>
        </w:numPr>
        <w:spacing w:lineRule="auto"/>
      </w:pPr>
      <w:r>
        <w:rPr>
          <w:b/>
        </w:rPr>
        <w:t xml:space="preserve">Federation lookup</w:t>
      </w:r>
      <w:r>
        <w:rPr/>
        <w:t xml:space="preserve">: Query the </w:t>
      </w:r>
      <w:r>
        <w:rPr>
          <w:rStyle w:val="VerbatimChar"/>
          <w:rFonts w:eastAsia="menlo" w:cs="menlo" w:ascii="menlo" w:hAnsi="menlo"/>
          <w:shd w:val="clear" w:color="auto" w:fill="F8F8FA"/>
        </w:rPr>
        <w:t xml:space="preserve">FederationRegistry</w:t>
      </w:r>
      <w:r>
        <w:rPr/>
        <w:t xml:space="preserve"> to retrieve all linked identifiers across authorities.</w:t>
      </w:r>
    </w:p>
    <w:p>
      <w:pPr>
        <w:numPr>
          <w:ilvl w:val="0"/>
          <w:numId w:val="8"/>
        </w:numPr>
        <w:spacing w:lineRule="auto"/>
      </w:pPr>
      <w:r>
        <w:rPr>
          <w:b/>
        </w:rPr>
        <w:t xml:space="preserve">Context gathering</w:t>
      </w:r>
      <w:r>
        <w:rPr/>
        <w:t xml:space="preserve">: Fetch Wikidata descriptions, LCSH scope notes, LCC hierarchy, Wikipedia summaries, and domain-specific metadata (e.g., Pleiades for places).</w:t>
      </w:r>
    </w:p>
    <w:p>
      <w:pPr>
        <w:numPr>
          <w:ilvl w:val="0"/>
          <w:numId w:val="8"/>
        </w:numPr>
        <w:spacing w:lineRule="auto"/>
      </w:pPr>
      <w:r>
        <w:rPr>
          <w:b/>
        </w:rPr>
        <w:t xml:space="preserve">Facet scoring</w:t>
      </w:r>
      <w:r>
        <w:rPr>
          <w:rFonts w:eastAsia="Georgia" w:cs="Georgia" w:ascii="Georgia" w:hAnsi="Georgia"/>
        </w:rPr>
        <w:t xml:space="preserve">: A language model (GPT-4, Perplexity) analyzes aggregated context and assigns weights (0–1) to all 18 facets, providing reasoning for each.</w:t>
      </w:r>
    </w:p>
    <w:p>
      <w:pPr>
        <w:numPr>
          <w:ilvl w:val="0"/>
          <w:numId w:val="8"/>
        </w:numPr>
        <w:spacing w:lineRule="auto"/>
      </w:pPr>
      <w:r>
        <w:rPr>
          <w:b/>
        </w:rPr>
        <w:t xml:space="preserve">Persistence</w:t>
      </w:r>
      <w:r>
        <w:rPr/>
        <w:t xml:space="preserve">: Create or update </w:t>
      </w:r>
      <w:r>
        <w:rPr>
          <w:rStyle w:val="VerbatimChar"/>
          <w:rFonts w:eastAsia="menlo" w:cs="menlo" w:ascii="menlo" w:hAnsi="menlo"/>
          <w:shd w:val="clear" w:color="auto" w:fill="F8F8FA"/>
        </w:rPr>
        <w:t xml:space="preserve">SubjectConcept</w:t>
      </w:r>
      <w:r>
        <w:rPr/>
        <w:t xml:space="preserve"> node with </w:t>
      </w:r>
      <w:r>
        <w:rPr>
          <w:rStyle w:val="VerbatimChar"/>
          <w:rFonts w:eastAsia="menlo" w:cs="menlo" w:ascii="menlo" w:hAnsi="menlo"/>
          <w:shd w:val="clear" w:color="auto" w:fill="F8F8FA"/>
        </w:rPr>
        <w:t xml:space="preserve">MAPSTOFACET</w:t>
      </w:r>
      <w:r>
        <w:rPr/>
        <w:t xml:space="preserve"> edges, linked back to source authority entries.</w:t>
      </w:r>
    </w:p>
    <w:p>
      <w:pPr>
        <w:numPr>
          <w:ilvl w:val="0"/>
          <w:numId w:val="8"/>
        </w:numPr>
        <w:spacing w:lineRule="auto"/>
      </w:pPr>
      <w:r>
        <w:rPr>
          <w:b/>
        </w:rPr>
        <w:t xml:space="preserve">Normalization</w:t>
      </w:r>
      <w:r>
        <w:rPr>
          <w:rFonts w:eastAsia="Georgia" w:cs="Georgia" w:ascii="Georgia" w:hAnsi="Georgia"/>
        </w:rPr>
        <w:t xml:space="preserve">: Compute similarity to existing SubjectConcepts; if high (e.g., cosine similarity ≥0.85), merge into existing cluster or create </w:t>
      </w:r>
      <w:r>
        <w:rPr>
          <w:rStyle w:val="VerbatimChar"/>
          <w:rFonts w:eastAsia="menlo" w:cs="menlo" w:ascii="menlo" w:hAnsi="menlo"/>
          <w:shd w:val="clear" w:color="auto" w:fill="F8F8FA"/>
        </w:rPr>
        <w:t xml:space="preserve">FACET_SIMILAR</w:t>
      </w:r>
      <w:r>
        <w:rPr/>
        <w:t xml:space="preserve"> edge.</w:t>
      </w:r>
    </w:p>
    <w:p>
      <w:pPr>
        <w:spacing w:after="210" w:lineRule="auto"/>
      </w:pPr>
      <w:r>
        <w:rPr/>
        <w:t xml:space="preserve">This workflow ensures that every SubjectConcept is both </w:t>
      </w:r>
      <w:r>
        <w:rPr>
          <w:b/>
        </w:rPr>
        <w:t xml:space="preserve">grounded in authoritative sources</w:t>
      </w:r>
      <w:r>
        <w:rPr/>
        <w:t xml:space="preserve"> and </w:t>
      </w:r>
      <w:r>
        <w:rPr>
          <w:b/>
        </w:rPr>
        <w:t xml:space="preserve">characterized multidimensionally</w:t>
      </w:r>
      <w:r>
        <w:rPr/>
        <w:t xml:space="preserve"> via facets.</w:t>
      </w:r>
    </w:p>
    <w:p>
      <w:pPr>
        <w:spacing w:line="271" w:before="240" w:lineRule="auto"/>
      </w:pPr>
      <w:bookmarkStart w:id="17" w:name="bm_3_3_graph_patterns_for_discovery"/>
      <w:r>
        <w:rPr>
          <w:b/>
          <w:sz w:val="33"/>
        </w:rPr>
        <w:t xml:space="preserve">3.3 Graph Patterns for Discovery</w:t>
      </w:r>
      <w:bookmarkEnd w:id="17"/>
    </w:p>
    <w:p>
      <w:pPr>
        <w:spacing w:after="210" w:lineRule="auto"/>
      </w:pPr>
      <w:r>
        <w:rPr/>
        <w:t xml:space="preserve">The multidimensional structure enables queries impossible in shelf-based systems:</w:t>
      </w:r>
    </w:p>
    <w:p>
      <w:pPr>
        <w:numPr>
          <w:ilvl w:val="0"/>
          <w:numId w:val="9"/>
        </w:numPr>
        <w:spacing w:lineRule="auto"/>
      </w:pPr>
      <w:r>
        <w:rPr>
          <w:b/>
        </w:rPr>
        <w:t xml:space="preserve">Facet-constrained search</w:t>
      </w:r>
      <w:r>
        <w:rPr/>
        <w:t xml:space="preserve">: "Find all subjects with high RELIGIOUS and POLITICAL weights but low MILITARY."</w:t>
      </w:r>
    </w:p>
    <w:p>
      <w:pPr>
        <w:numPr>
          <w:ilvl w:val="0"/>
          <w:numId w:val="9"/>
        </w:numPr>
        <w:spacing w:lineRule="auto"/>
      </w:pPr>
      <w:r>
        <w:rPr>
          <w:b/>
        </w:rPr>
        <w:t xml:space="preserve">Cross-facet traversal</w:t>
      </w:r>
      <w:r>
        <w:rPr/>
        <w:t xml:space="preserve">: "Starting from 'Roman Senate', traverse to connected concepts via shared POLITICAL + SOCIAL facets."</w:t>
      </w:r>
    </w:p>
    <w:p>
      <w:pPr>
        <w:numPr>
          <w:ilvl w:val="0"/>
          <w:numId w:val="9"/>
        </w:numPr>
        <w:spacing w:lineRule="auto"/>
      </w:pPr>
      <w:r>
        <w:rPr>
          <w:b/>
        </w:rPr>
        <w:t xml:space="preserve">Authority reconciliation</w:t>
      </w:r>
      <w:r>
        <w:rPr/>
        <w:t xml:space="preserve">: "Show all LCSH headings that map to the same Wikidata QID as LCC code DG105."</w:t>
      </w:r>
    </w:p>
    <w:p>
      <w:pPr>
        <w:numPr>
          <w:ilvl w:val="0"/>
          <w:numId w:val="9"/>
        </w:numPr>
        <w:spacing w:lineRule="auto"/>
      </w:pPr>
      <w:r>
        <w:rPr>
          <w:b/>
        </w:rPr>
        <w:t xml:space="preserve">Framework overlay</w:t>
      </w:r>
      <w:r>
        <w:rPr/>
        <w:t xml:space="preserve">: "Apply SFA framework 'Polybian' to route from POLITICAL to MILITARY concepts via proposed edges."</w:t>
      </w:r>
    </w:p>
    <w:p>
      <w:pPr>
        <w:spacing w:after="210" w:lineRule="auto"/>
      </w:pPr>
      <w:r>
        <w:rPr/>
        <w:t xml:space="preserve">These queries leverage graph traversal and weighted facet vectors to surface relationships that classification hierarchies obscure.</w:t>
      </w:r>
    </w:p>
    <w:p>
      <w:pPr>
        <w:spacing w:line="271" w:before="240" w:lineRule="auto"/>
      </w:pPr>
      <w:bookmarkStart w:id="18" w:name="bm_4_addressing_the_normalization_7dbfe3"/>
      <w:r>
        <w:rPr>
          <w:b/>
          <w:sz w:val="42"/>
        </w:rPr>
        <w:t xml:space="preserve">4. Addressing the Normalization Problem</w:t>
      </w:r>
      <w:bookmarkEnd w:id="18"/>
    </w:p>
    <w:p>
      <w:pPr>
        <w:spacing w:line="271" w:before="240" w:lineRule="auto"/>
      </w:pPr>
      <w:bookmarkStart w:id="19" w:name="bm_4_1_duplication_across_and_wit_8edd53"/>
      <w:r>
        <w:rPr>
          <w:b/>
          <w:sz w:val="33"/>
        </w:rPr>
        <w:t xml:space="preserve">4.1 Duplication Across and Within Classification Systems</w:t>
      </w:r>
      <w:bookmarkEnd w:id="19"/>
    </w:p>
    <w:p>
      <w:pPr>
        <w:spacing w:after="210" w:lineRule="auto"/>
      </w:pPr>
      <w:r>
        <w:rPr/>
        <w:t xml:space="preserve">LCC and related systems exhibit two types of duplication:</w:t>
      </w:r>
    </w:p>
    <w:p>
      <w:pPr>
        <w:numPr>
          <w:ilvl w:val="0"/>
          <w:numId w:val="10"/>
        </w:numPr>
        <w:spacing w:lineRule="auto"/>
      </w:pPr>
      <w:r>
        <w:rPr>
          <w:b/>
        </w:rPr>
        <w:t xml:space="preserve">Cross-system duplication</w:t>
      </w:r>
      <w:r>
        <w:rPr>
          <w:rFonts w:eastAsia="Georgia" w:cs="Georgia" w:ascii="Georgia" w:hAnsi="Georgia"/>
        </w:rPr>
        <w:t xml:space="preserve">: LCC DG105 "Army", LCSH "Rome—History, Military", and Wikidata Q7278 "Roman army" refer to the same concept but exist as separate authority records.</w:t>
      </w:r>
    </w:p>
    <w:p>
      <w:pPr>
        <w:numPr>
          <w:ilvl w:val="0"/>
          <w:numId w:val="10"/>
        </w:numPr>
        <w:spacing w:lineRule="auto"/>
      </w:pPr>
      <w:r>
        <w:rPr>
          <w:b/>
        </w:rPr>
        <w:t xml:space="preserve">Intra-system duplication</w:t>
      </w:r>
      <w:r>
        <w:rPr/>
        <w:t xml:space="preserve">: Within LCC, DG105 "Army", DG109 "Navy", and related military subclasses overlap substantially in facet profile but lack explicit relationships.</w:t>
      </w:r>
    </w:p>
    <w:p>
      <w:pPr>
        <w:spacing w:after="210" w:lineRule="auto"/>
      </w:pPr>
      <w:r>
        <w:rPr/>
        <w:t xml:space="preserve">Traditional approaches treat each code as independent, leading to fragmented catalogs where users must manually recognize equivalences.</w:t>
      </w:r>
    </w:p>
    <w:p>
      <w:pPr>
        <w:spacing w:line="271" w:before="240" w:lineRule="auto"/>
      </w:pPr>
      <w:bookmarkStart w:id="20" w:name="bm_4_2_facet_based_normalization_391098"/>
      <w:r>
        <w:rPr>
          <w:b/>
          <w:sz w:val="33"/>
        </w:rPr>
        <w:t xml:space="preserve">4.2 Facet-Based Normalization Strategy</w:t>
      </w:r>
      <w:bookmarkEnd w:id="20"/>
    </w:p>
    <w:p>
      <w:pPr>
        <w:spacing w:after="210" w:lineRule="auto"/>
      </w:pPr>
      <w:r>
        <w:rPr/>
        <w:t xml:space="preserve">Chrystallum addresses this through </w:t>
      </w:r>
      <w:r>
        <w:rPr>
          <w:b/>
        </w:rPr>
        <w:t xml:space="preserve">facet vector similarity</w:t>
      </w:r>
      <w:r>
        <w:rPr/>
        <w:t xml:space="preserve">:</w:t>
      </w:r>
    </w:p>
    <w:p>
      <w:pPr>
        <w:numPr>
          <w:ilvl w:val="0"/>
          <w:numId w:val="11"/>
        </w:numPr>
        <w:spacing w:lineRule="auto"/>
      </w:pPr>
      <w:r>
        <w:rPr>
          <w:b/>
        </w:rPr>
        <w:t xml:space="preserve">Facet characterization</w:t>
      </w:r>
      <w:r>
        <w:rPr/>
        <w:t xml:space="preserve">: Every authority entry (LCC class, LCSH heading, etc.) receives a facet weight vector via the characterization workflow.</w:t>
      </w:r>
    </w:p>
    <w:p>
      <w:pPr>
        <w:numPr>
          <w:ilvl w:val="0"/>
          <w:numId w:val="11"/>
        </w:numPr>
        <w:spacing w:lineRule="auto"/>
      </w:pPr>
      <w:r>
        <w:rPr>
          <w:b/>
        </w:rPr>
        <w:t xml:space="preserve">Similarity computation</w:t>
      </w:r>
      <w:r>
        <w:rPr/>
        <w:t xml:space="preserve">: Cosine similarity is computed over facet vectors for all pairs of entries.</w:t>
      </w:r>
    </w:p>
    <w:p>
      <w:pPr>
        <w:numPr>
          <w:ilvl w:val="0"/>
          <w:numId w:val="11"/>
        </w:numPr>
        <w:spacing w:lineRule="auto"/>
      </w:pPr>
      <w:r>
        <w:rPr>
          <w:b/>
        </w:rPr>
        <w:t xml:space="preserve">Clustering</w:t>
      </w:r>
      <w:r>
        <w:rPr>
          <w:rFonts w:eastAsia="Georgia" w:cs="Georgia" w:ascii="Georgia" w:hAnsi="Georgia"/>
        </w:rPr>
        <w:t xml:space="preserve">: Entries with similarity ≥0.85 are grouped into a single </w:t>
      </w:r>
      <w:r>
        <w:rPr>
          <w:rStyle w:val="VerbatimChar"/>
          <w:rFonts w:eastAsia="menlo" w:cs="menlo" w:ascii="menlo" w:hAnsi="menlo"/>
          <w:shd w:val="clear" w:color="auto" w:fill="F8F8FA"/>
        </w:rPr>
        <w:t xml:space="preserve">SubjectConcept</w:t>
      </w:r>
      <w:r>
        <w:rPr/>
        <w:t xml:space="preserve"> cluster.</w:t>
      </w:r>
    </w:p>
    <w:p>
      <w:pPr>
        <w:numPr>
          <w:ilvl w:val="0"/>
          <w:numId w:val="11"/>
        </w:numPr>
        <w:spacing w:lineRule="auto"/>
      </w:pPr>
      <w:r>
        <w:rPr>
          <w:b/>
        </w:rPr>
        <w:t xml:space="preserve">Canonical representation</w:t>
      </w:r>
      <w:r>
        <w:rPr/>
        <w:t xml:space="preserve">: The cluster's facet profile is the </w:t>
      </w:r>
      <w:r>
        <w:rPr>
          <w:b/>
        </w:rPr>
        <w:t xml:space="preserve">average</w:t>
      </w:r>
      <w:r>
        <w:rPr/>
        <w:t xml:space="preserve"> of member vectors, reducing noise from individual coding decisions.</w:t>
      </w:r>
    </w:p>
    <w:p>
      <w:pPr>
        <w:spacing w:after="210" w:lineRule="auto"/>
      </w:pPr>
      <w:r>
        <w:rPr/>
        <w:t xml:space="preserve">For example:</w:t>
      </w:r>
    </w:p>
    <w:p>
      <w:pPr>
        <w:numPr>
          <w:ilvl w:val="0"/>
          <w:numId w:val="12"/>
        </w:numPr>
        <w:spacing w:lineRule="auto"/>
      </w:pPr>
      <w:r>
        <w:rPr/>
        <w:t xml:space="preserve">DG171 "Religion (general)": </w:t>
      </w:r>
      <w:r>
        <w:rPr>
          <w:rStyle w:val="VerbatimChar"/>
          <w:rFonts w:eastAsia="menlo" w:cs="menlo" w:ascii="menlo" w:hAnsi="menlo"/>
          <w:shd w:val="clear" w:color="auto" w:fill="F8F8FA"/>
        </w:rPr>
        <w:t xml:space="preserve">[RELI:1.0, CULT:1.0, SOCI:0.7, POLI:0.7, ARCH:0.5, ...]</w:t>
      </w:r>
    </w:p>
    <w:p>
      <w:pPr>
        <w:numPr>
          <w:ilvl w:val="0"/>
          <w:numId w:val="12"/>
        </w:numPr>
        <w:spacing w:lineRule="auto"/>
      </w:pPr>
      <w:r>
        <w:rPr/>
        <w:t xml:space="preserve">DG175 "Cults": </w:t>
      </w:r>
      <w:r>
        <w:rPr>
          <w:rStyle w:val="VerbatimChar"/>
          <w:rFonts w:eastAsia="menlo" w:cs="menlo" w:ascii="menlo" w:hAnsi="menlo"/>
          <w:shd w:val="clear" w:color="auto" w:fill="F8F8FA"/>
        </w:rPr>
        <w:t xml:space="preserve">[RELI:1.0, CULT:0.9, SOCI:0.6, POLI:0.5, ARCH:0.6, ...]</w:t>
      </w:r>
    </w:p>
    <w:p>
      <w:pPr>
        <w:numPr>
          <w:ilvl w:val="0"/>
          <w:numId w:val="12"/>
        </w:numPr>
        <w:spacing w:lineRule="auto"/>
      </w:pPr>
      <w:r>
        <w:rPr/>
        <w:t xml:space="preserve">DG179 "Priesthoods": </w:t>
      </w:r>
      <w:r>
        <w:rPr>
          <w:rStyle w:val="VerbatimChar"/>
          <w:rFonts w:eastAsia="menlo" w:cs="menlo" w:ascii="menlo" w:hAnsi="menlo"/>
          <w:shd w:val="clear" w:color="auto" w:fill="F8F8FA"/>
        </w:rPr>
        <w:t xml:space="preserve">[RELI:1.0, CULT:0.8, BIOG:0.8, SOCI:0.7, POLI:0.8, ...]</w:t>
      </w:r>
    </w:p>
    <w:p>
      <w:pPr>
        <w:spacing w:after="210" w:lineRule="auto"/>
      </w:pPr>
      <w:r>
        <w:rPr>
          <w:rFonts w:eastAsia="Georgia" w:cs="Georgia" w:ascii="Georgia" w:hAnsi="Georgia"/>
        </w:rPr>
        <w:t xml:space="preserve">Cosine similarity: DG171–DG175 = 0.89, DG171–DG179 = 0.87. These form a single SubjectConcept "Roman Religion and Cult" with canonical facets </w:t>
      </w:r>
      <w:r>
        <w:rPr>
          <w:rStyle w:val="VerbatimChar"/>
          <w:rFonts w:eastAsia="menlo" w:cs="menlo" w:ascii="menlo" w:hAnsi="menlo"/>
          <w:shd w:val="clear" w:color="auto" w:fill="F8F8FA"/>
        </w:rPr>
        <w:t xml:space="preserve">[RELI:1.0, CULT:0.9, SOCI:0.67, BIOG:0.27, POLI:0.67, ARCH:0.37, ...]</w:t>
      </w:r>
      <w:r>
        <w:rPr/>
        <w:t xml:space="preserve">.</w:t>
      </w:r>
    </w:p>
    <w:p>
      <w:pPr>
        <w:spacing w:after="210" w:lineRule="auto"/>
      </w:pPr>
      <w:r>
        <w:rPr/>
        <w:t xml:space="preserve">Downstream systems query the SubjectConcept, inheriting the normalized profile, but can still traverse to individual LCC codes for catalog interoperability.</w:t>
      </w:r>
    </w:p>
    <w:p>
      <w:pPr>
        <w:spacing w:line="271" w:before="240" w:lineRule="auto"/>
      </w:pPr>
      <w:bookmarkStart w:id="21" w:name="bm_4_3_benefits_of_graph_based_no_3b219d"/>
      <w:r>
        <w:rPr>
          <w:b/>
          <w:sz w:val="33"/>
        </w:rPr>
        <w:t xml:space="preserve">4.3 Benefits of Graph-Based Normalization</w:t>
      </w:r>
      <w:bookmarkEnd w:id="21"/>
    </w:p>
    <w:p>
      <w:pPr>
        <w:numPr>
          <w:ilvl w:val="0"/>
          <w:numId w:val="13"/>
        </w:numPr>
        <w:spacing w:lineRule="auto"/>
      </w:pPr>
      <w:r>
        <w:rPr>
          <w:b/>
        </w:rPr>
        <w:t xml:space="preserve">Unified retrieval</w:t>
      </w:r>
      <w:r>
        <w:rPr/>
        <w:t xml:space="preserve">: Users querying "Roman religion" retrieve results linked to any of the source codes, without manual vocabulary control.</w:t>
      </w:r>
    </w:p>
    <w:p>
      <w:pPr>
        <w:numPr>
          <w:ilvl w:val="0"/>
          <w:numId w:val="13"/>
        </w:numPr>
        <w:spacing w:lineRule="auto"/>
      </w:pPr>
      <w:r>
        <w:rPr>
          <w:b/>
        </w:rPr>
        <w:t xml:space="preserve">Reduced noise</w:t>
      </w:r>
      <w:r>
        <w:rPr/>
        <w:t xml:space="preserve">: Averaging facet vectors across redundant codes mitigates inconsistencies in original LCC assignments.</w:t>
      </w:r>
    </w:p>
    <w:p>
      <w:pPr>
        <w:numPr>
          <w:ilvl w:val="0"/>
          <w:numId w:val="13"/>
        </w:numPr>
        <w:spacing w:lineRule="auto"/>
      </w:pPr>
      <w:r>
        <w:rPr>
          <w:b/>
        </w:rPr>
        <w:t xml:space="preserve">Backward compatibility</w:t>
      </w:r>
      <w:r>
        <w:rPr/>
        <w:t xml:space="preserve">: Original LCC codes remain accessible via </w:t>
      </w:r>
      <w:r>
        <w:rPr>
          <w:rStyle w:val="VerbatimChar"/>
          <w:rFonts w:eastAsia="menlo" w:cs="menlo" w:ascii="menlo" w:hAnsi="menlo"/>
          <w:shd w:val="clear" w:color="auto" w:fill="F8F8FA"/>
        </w:rPr>
        <w:t xml:space="preserve">ALIGNS_WITH</w:t>
      </w:r>
      <w:r>
        <w:rPr/>
        <w:t xml:space="preserve"> edges, ensuring catalog systems still receive valid call numbers.</w:t>
      </w:r>
    </w:p>
    <w:p>
      <w:pPr>
        <w:numPr>
          <w:ilvl w:val="0"/>
          <w:numId w:val="13"/>
        </w:numPr>
        <w:spacing w:lineRule="auto"/>
      </w:pPr>
      <w:r>
        <w:rPr>
          <w:b/>
        </w:rPr>
        <w:t xml:space="preserve">Transparent provenance</w:t>
      </w:r>
      <w:r>
        <w:rPr/>
        <w:t xml:space="preserve">: Every SubjectConcept tracks which source codes contributed to its profile, making normalization auditable.</w:t>
      </w:r>
    </w:p>
    <w:p>
      <w:pPr>
        <w:spacing w:line="271" w:before="240" w:lineRule="auto"/>
      </w:pPr>
      <w:bookmarkStart w:id="22" w:name="bm_5_interpretive_frameworks_and_9853ce"/>
      <w:r>
        <w:rPr>
          <w:b/>
          <w:sz w:val="42"/>
        </w:rPr>
        <w:t xml:space="preserve">5. Interpretive Frameworks and Agent Architecture</w:t>
      </w:r>
      <w:bookmarkEnd w:id="22"/>
    </w:p>
    <w:p>
      <w:pPr>
        <w:spacing w:line="271" w:before="240" w:lineRule="auto"/>
      </w:pPr>
      <w:bookmarkStart w:id="23" w:name="bm_5_1_the_sca_sfa_contract"/>
      <w:r>
        <w:rPr>
          <w:b/>
          <w:sz w:val="33"/>
        </w:rPr>
        <w:t xml:space="preserve">5.1 The SCA-SFA Contract</w:t>
      </w:r>
      <w:bookmarkEnd w:id="23"/>
    </w:p>
    <w:p>
      <w:pPr>
        <w:spacing w:after="210" w:lineRule="auto"/>
      </w:pPr>
      <w:r>
        <w:rPr/>
        <w:t xml:space="preserve">Chrystallum distinguishes between </w:t>
      </w:r>
      <w:r>
        <w:rPr>
          <w:b/>
        </w:rPr>
        <w:t xml:space="preserve">empirical structure</w:t>
      </w:r>
      <w:r>
        <w:rPr/>
        <w:t xml:space="preserve"> (what authorities say) and </w:t>
      </w:r>
      <w:r>
        <w:rPr>
          <w:b/>
        </w:rPr>
        <w:t xml:space="preserve">interpretive structure</w:t>
      </w:r>
      <w:r>
        <w:rPr/>
        <w:t xml:space="preserve"> (what scholars argue). This distinction is formalized through two agent roles[17]:</w:t>
      </w:r>
    </w:p>
    <w:p>
      <w:pPr>
        <w:numPr>
          <w:ilvl w:val="0"/>
          <w:numId w:val="14"/>
        </w:numPr>
        <w:spacing w:lineRule="auto"/>
      </w:pPr>
      <w:r>
        <w:rPr>
          <w:b/>
        </w:rPr>
        <w:t xml:space="preserve">Subject Concept Agent (SCA)</w:t>
      </w:r>
      <w:r>
        <w:rPr/>
        <w:t xml:space="preserve">: Harvests and aggregates data from Wikidata, LCSH, WorldCat, and other sources. Outputs are treated as evidence with provenance (</w:t>
      </w:r>
      <w:r>
        <w:rPr>
          <w:rStyle w:val="VerbatimChar"/>
          <w:rFonts w:eastAsia="menlo" w:cs="menlo" w:ascii="menlo" w:hAnsi="menlo"/>
          <w:shd w:val="clear" w:color="auto" w:fill="F8F8FA"/>
        </w:rPr>
        <w:t xml:space="preserve">source:"wikidata"</w:t>
      </w:r>
      <w:r>
        <w:rPr/>
        <w:t xml:space="preserve">, </w:t>
      </w:r>
      <w:r>
        <w:rPr>
          <w:rStyle w:val="VerbatimChar"/>
          <w:rFonts w:eastAsia="menlo" w:cs="menlo" w:ascii="menlo" w:hAnsi="menlo"/>
          <w:shd w:val="clear" w:color="auto" w:fill="F8F8FA"/>
        </w:rPr>
        <w:t xml:space="preserve">confidence:0.9</w:t>
      </w:r>
      <w:r>
        <w:rPr/>
        <w:t xml:space="preserve">).</w:t>
      </w:r>
    </w:p>
    <w:p>
      <w:pPr>
        <w:numPr>
          <w:ilvl w:val="0"/>
          <w:numId w:val="14"/>
        </w:numPr>
        <w:spacing w:lineRule="auto"/>
      </w:pPr>
      <w:r>
        <w:rPr>
          <w:b/>
        </w:rPr>
        <w:t xml:space="preserve">Subject Framework Agent (SFA)</w:t>
      </w:r>
      <w:r>
        <w:rPr/>
        <w:t xml:space="preserve">: Proposes additional structure based on historiographical frameworks (e.g., Polybian political theory, Momigliano's historiography). Outputs are marked as interpretive claims (</w:t>
      </w:r>
      <w:r>
        <w:rPr>
          <w:rStyle w:val="VerbatimChar"/>
          <w:rFonts w:eastAsia="menlo" w:cs="menlo" w:ascii="menlo" w:hAnsi="menlo"/>
          <w:shd w:val="clear" w:color="auto" w:fill="F8F8FA"/>
        </w:rPr>
        <w:t xml:space="preserve">source:"sfa_inference"</w:t>
      </w:r>
      <w:r>
        <w:rPr/>
        <w:t xml:space="preserve">, </w:t>
      </w:r>
      <w:r>
        <w:rPr>
          <w:rStyle w:val="VerbatimChar"/>
          <w:rFonts w:eastAsia="menlo" w:cs="menlo" w:ascii="menlo" w:hAnsi="menlo"/>
          <w:shd w:val="clear" w:color="auto" w:fill="F8F8FA"/>
        </w:rPr>
        <w:t xml:space="preserve">confidence:0.75</w:t>
      </w:r>
      <w:r>
        <w:rPr/>
        <w:t xml:space="preserve">).</w:t>
      </w:r>
    </w:p>
    <w:p>
      <w:pPr>
        <w:spacing w:after="210" w:lineRule="auto"/>
      </w:pPr>
      <w:r>
        <w:rPr/>
        <w:t xml:space="preserve">SCA provides the graph skeleton; SFA adds "muscle" (within-facet taxonomies, cross-facet relationships, traversal overlays). Crucially, </w:t>
      </w:r>
      <w:r>
        <w:rPr>
          <w:b/>
        </w:rPr>
        <w:t xml:space="preserve">SFA proposals are contestable</w:t>
      </w:r>
      <w:r>
        <w:rPr/>
        <w:t xml:space="preserve">: different SFAs applying different frameworks can propose conflicting structures, mirroring scholarly debate.</w:t>
      </w:r>
    </w:p>
    <w:p>
      <w:pPr>
        <w:spacing w:line="271" w:before="240" w:lineRule="auto"/>
      </w:pPr>
      <w:bookmarkStart w:id="24" w:name="bm_5_2_example_auspices_as_cross_cd3f6a"/>
      <w:r>
        <w:rPr>
          <w:b/>
          <w:sz w:val="33"/>
        </w:rPr>
        <w:t xml:space="preserve">5.2 Example: Auspices as Cross-Facet Relationship</w:t>
      </w:r>
      <w:bookmarkEnd w:id="24"/>
    </w:p>
    <w:p>
      <w:pPr>
        <w:spacing w:after="210" w:lineRule="auto"/>
      </w:pPr>
      <w:r>
        <w:rPr>
          <w:rFonts w:eastAsia="Georgia" w:cs="Georgia" w:ascii="Georgia" w:hAnsi="Georgia"/>
        </w:rPr>
        <w:t xml:space="preserve">Consider Roman auspices—religious rituals that functioned as political veto mechanisms:</w:t>
      </w:r>
    </w:p>
    <w:p>
      <w:pPr>
        <w:numPr>
          <w:ilvl w:val="0"/>
          <w:numId w:val="15"/>
        </w:numPr>
        <w:spacing w:lineRule="auto"/>
      </w:pPr>
      <w:r>
        <w:rPr>
          <w:b/>
        </w:rPr>
        <w:t xml:space="preserve">LCC structure</w:t>
      </w:r>
      <w:r>
        <w:rPr/>
        <w:t xml:space="preserve">: DG171 "Religion" and DG89 "Constitution" are in separate hierarchy branches with no explicit relationship.</w:t>
      </w:r>
    </w:p>
    <w:p>
      <w:pPr>
        <w:numPr>
          <w:ilvl w:val="0"/>
          <w:numId w:val="15"/>
        </w:numPr>
        <w:spacing w:lineRule="auto"/>
      </w:pPr>
      <w:r>
        <w:rPr>
          <w:b/>
        </w:rPr>
        <w:t xml:space="preserve">SCA harvest</w:t>
      </w:r>
      <w:r>
        <w:rPr/>
        <w:t xml:space="preserve">: SCA finds Wikidata entity Q2871419 "auspicia" linked to both religious practice and political decision-making but does not assert interpretive connections.</w:t>
      </w:r>
    </w:p>
    <w:p>
      <w:pPr>
        <w:numPr>
          <w:ilvl w:val="0"/>
          <w:numId w:val="15"/>
        </w:numPr>
        <w:spacing w:lineRule="auto"/>
      </w:pPr>
      <w:r>
        <w:rPr>
          <w:b/>
        </w:rPr>
        <w:t xml:space="preserve">SFA proposal</w:t>
      </w:r>
      <w:r>
        <w:rPr>
          <w:rFonts w:eastAsia="Georgia" w:cs="Georgia" w:ascii="Georgia" w:hAnsi="Georgia"/>
        </w:rPr>
        <w:t xml:space="preserve">: An SFA operating under a "religion–state nexus" framework proposes:</w:t>
      </w:r>
    </w:p>
    <w:p>
      <w:pPr>
        <w:spacing w:after="210" w:lineRule="auto"/>
      </w:pPr>
      <w:r>
        <w:rPr/>
        <w:t xml:space="preserve">(:SubjectConcept {label:"Auspices"})</w:t>
      </w:r>
      <w:r>
        <w:rPr/>
        <w:br w:type="textWrapping"/>
      </w:r>
      <w:r>
        <w:rPr>
          <w:rFonts w:eastAsia="Georgia" w:cs="Georgia" w:ascii="Georgia" w:hAnsi="Georgia"/>
        </w:rPr>
        <w:t xml:space="preserve">-[:SFA_PROPOSES {relation:"VETO_MECHANISM",</w:t>
      </w:r>
      <w:r>
        <w:rPr/>
        <w:br w:type="textWrapping"/>
      </w:r>
      <w:r>
        <w:rPr>
          <w:rFonts w:eastAsia="Georgia" w:cs="Georgia" w:ascii="Georgia" w:hAnsi="Georgia"/>
        </w:rPr>
        <w:t xml:space="preserve">source:"sfa_inference", confidence:0.8}]-&gt;</w:t>
      </w:r>
      <w:r>
        <w:rPr/>
        <w:br w:type="textWrapping"/>
      </w:r>
      <w:r>
        <w:rPr/>
        <w:t xml:space="preserve">(:SubjectConcept {label:"Roman Political Institutions"})</w:t>
      </w:r>
    </w:p>
    <w:p>
      <w:pPr>
        <w:spacing w:after="210" w:lineRule="auto"/>
      </w:pPr>
      <w:r>
        <w:rPr/>
        <w:t xml:space="preserve">This edge is explicitly marked as interpretive. Alternative SFAs might propose different relationship types or contest the confidence level. Users can filter by provenance, choosing to traverse SFA proposals or restrict to SCA-harvested structure.</w:t>
      </w:r>
    </w:p>
    <w:p>
      <w:pPr>
        <w:spacing w:line="271" w:before="240" w:lineRule="auto"/>
      </w:pPr>
      <w:bookmarkStart w:id="25" w:name="bm_5_3_framework_overlays"/>
      <w:r>
        <w:rPr>
          <w:b/>
          <w:sz w:val="33"/>
        </w:rPr>
        <w:t xml:space="preserve">5.3 Framework Overlays</w:t>
      </w:r>
      <w:bookmarkEnd w:id="25"/>
    </w:p>
    <w:p>
      <w:pPr>
        <w:spacing w:after="210" w:lineRule="auto"/>
      </w:pPr>
      <w:r>
        <w:rPr/>
        <w:t xml:space="preserve">SFAs can also provide </w:t>
      </w:r>
      <w:r>
        <w:rPr>
          <w:b/>
        </w:rPr>
        <w:t xml:space="preserve">traversal instructions</w:t>
      </w:r>
      <w:r>
        <w:rPr/>
        <w:t xml:space="preserve"> without altering the graph:</w:t>
      </w:r>
    </w:p>
    <w:p>
      <w:pPr>
        <w:numPr>
          <w:ilvl w:val="0"/>
          <w:numId w:val="16"/>
        </w:numPr>
        <w:spacing w:lineRule="auto"/>
      </w:pPr>
      <w:r>
        <w:rPr/>
        <w:t xml:space="preserve">"Under a Polybian lens, treat POLITICAL and MILITARY facets as a unified system; when routing from Senate to Army, boost POLITICAL+MILITARY edges."</w:t>
      </w:r>
    </w:p>
    <w:p>
      <w:pPr>
        <w:spacing w:after="210" w:lineRule="auto"/>
      </w:pPr>
      <w:r>
        <w:rPr/>
        <w:t xml:space="preserve">These overlays are stored as metadata on SFA nodes and applied dynamically during query evaluation, enabling multiple interpretive lenses over the same underlying graph without duplication.</w:t>
      </w:r>
    </w:p>
    <w:p>
      <w:pPr>
        <w:spacing w:line="271" w:before="240" w:lineRule="auto"/>
      </w:pPr>
      <w:bookmarkStart w:id="26" w:name="bm_6_implementation_and_validation"/>
      <w:r>
        <w:rPr>
          <w:b/>
          <w:sz w:val="42"/>
        </w:rPr>
        <w:t xml:space="preserve">6. Implementation and Validation</w:t>
      </w:r>
      <w:bookmarkEnd w:id="26"/>
    </w:p>
    <w:p>
      <w:pPr>
        <w:spacing w:line="271" w:before="240" w:lineRule="auto"/>
      </w:pPr>
      <w:bookmarkStart w:id="27" w:name="bm_6_1_prototype_system"/>
      <w:r>
        <w:rPr>
          <w:b/>
          <w:sz w:val="33"/>
        </w:rPr>
        <w:t xml:space="preserve">6.1 Prototype System</w:t>
      </w:r>
      <w:bookmarkEnd w:id="27"/>
    </w:p>
    <w:p>
      <w:pPr>
        <w:spacing w:after="210" w:lineRule="auto"/>
      </w:pPr>
      <w:r>
        <w:rPr/>
        <w:t xml:space="preserve">A prototype Chrystallum implementation has been developed using:</w:t>
      </w:r>
    </w:p>
    <w:p>
      <w:pPr>
        <w:numPr>
          <w:ilvl w:val="0"/>
          <w:numId w:val="17"/>
        </w:numPr>
        <w:spacing w:lineRule="auto"/>
      </w:pPr>
      <w:r>
        <w:rPr>
          <w:b/>
        </w:rPr>
        <w:t xml:space="preserve">Neo4j</w:t>
      </w:r>
      <w:r>
        <w:rPr/>
        <w:t xml:space="preserve"> for graph storage and querying</w:t>
      </w:r>
    </w:p>
    <w:p>
      <w:pPr>
        <w:numPr>
          <w:ilvl w:val="0"/>
          <w:numId w:val="17"/>
        </w:numPr>
        <w:spacing w:lineRule="auto"/>
      </w:pPr>
      <w:r>
        <w:rPr>
          <w:b/>
        </w:rPr>
        <w:t xml:space="preserve">Python</w:t>
      </w:r>
      <w:r>
        <w:rPr/>
        <w:t xml:space="preserve"> agents for SCA harvesting and facet characterization</w:t>
      </w:r>
    </w:p>
    <w:p>
      <w:pPr>
        <w:numPr>
          <w:ilvl w:val="0"/>
          <w:numId w:val="17"/>
        </w:numPr>
        <w:spacing w:lineRule="auto"/>
      </w:pPr>
      <w:r>
        <w:rPr>
          <w:b/>
        </w:rPr>
        <w:t xml:space="preserve">Perplexity/GPT-4</w:t>
      </w:r>
      <w:r>
        <w:rPr/>
        <w:t xml:space="preserve"> for language model-based facet scoring</w:t>
      </w:r>
    </w:p>
    <w:p>
      <w:pPr>
        <w:numPr>
          <w:ilvl w:val="0"/>
          <w:numId w:val="17"/>
        </w:numPr>
        <w:spacing w:lineRule="auto"/>
      </w:pPr>
      <w:r>
        <w:rPr>
          <w:b/>
        </w:rPr>
        <w:t xml:space="preserve">Wikidata SPARQL</w:t>
      </w:r>
      <w:r>
        <w:rPr/>
        <w:t xml:space="preserve">, LoC APIs, and local FAST/LCC indexes for authority federation</w:t>
      </w:r>
    </w:p>
    <w:p>
      <w:pPr>
        <w:spacing w:after="210" w:lineRule="auto"/>
      </w:pPr>
      <w:r>
        <w:rPr>
          <w:rFonts w:eastAsia="Georgia" w:cs="Georgia" w:ascii="Georgia" w:hAnsi="Georgia"/>
        </w:rPr>
        <w:t xml:space="preserve">The system currently indexes 79 SubjectConcepts anchored to Roman Republic scholarship (509–27 BCE), with ~6,000 entities harvested from Wikidata and characterized via 18 facets. LCC classes in the DG range (Ancient Italy and Rome) have been fully facet-characterized, producing a 50×18 weight matrix used for normalization and similarity analysis.</w:t>
      </w:r>
    </w:p>
    <w:p>
      <w:pPr>
        <w:spacing w:line="271" w:before="240" w:lineRule="auto"/>
      </w:pPr>
      <w:bookmarkStart w:id="28" w:name="bm_6_2_case_study_roman_military_627cdf"/>
      <w:r>
        <w:rPr>
          <w:rFonts w:eastAsia="Georgia" w:cs="Georgia" w:ascii="Georgia" w:hAnsi="Georgia"/>
          <w:b/>
          <w:sz w:val="33"/>
        </w:rPr>
        <w:t xml:space="preserve">6.2 Case Study: Roman Military–Political Complex</w:t>
      </w:r>
      <w:bookmarkEnd w:id="28"/>
    </w:p>
    <w:p>
      <w:pPr>
        <w:spacing w:after="210" w:lineRule="auto"/>
      </w:pPr>
      <w:r>
        <w:rPr>
          <w:rFonts w:eastAsia="Georgia" w:cs="Georgia" w:ascii="Georgia" w:hAnsi="Georgia"/>
        </w:rPr>
        <w:t xml:space="preserve">The prototype was used to explore the Roman military–political complex, a topic that spans multiple LCC classes:</w:t>
      </w:r>
    </w:p>
    <w:p>
      <w:pPr>
        <w:numPr>
          <w:ilvl w:val="0"/>
          <w:numId w:val="18"/>
        </w:numPr>
        <w:spacing w:lineRule="auto"/>
      </w:pPr>
      <w:r>
        <w:rPr/>
        <w:t xml:space="preserve">DG105 "Army", DG109 "Navy" (military classes)</w:t>
      </w:r>
    </w:p>
    <w:p>
      <w:pPr>
        <w:numPr>
          <w:ilvl w:val="0"/>
          <w:numId w:val="18"/>
        </w:numPr>
        <w:spacing w:lineRule="auto"/>
      </w:pPr>
      <w:r>
        <w:rPr/>
        <w:t xml:space="preserve">DG89 "Constitution", DG95 "Magistracies" (political classes)</w:t>
      </w:r>
    </w:p>
    <w:p>
      <w:pPr>
        <w:numPr>
          <w:ilvl w:val="0"/>
          <w:numId w:val="18"/>
        </w:numPr>
        <w:spacing w:lineRule="auto"/>
      </w:pPr>
      <w:r>
        <w:rPr/>
        <w:t xml:space="preserve">DG37 "Archaeology" (material culture, fortifications)</w:t>
      </w:r>
    </w:p>
    <w:p>
      <w:pPr>
        <w:spacing w:after="210" w:lineRule="auto"/>
      </w:pPr>
      <w:r>
        <w:rPr>
          <w:b/>
        </w:rPr>
        <w:t xml:space="preserve">Traditional catalog search</w:t>
      </w:r>
      <w:r>
        <w:rPr/>
        <w:t xml:space="preserve">: Querying "Roman military politics" returns results under DG105 primarily, with DG89/DG95 results listed separately, requiring users to manually synthesize.</w:t>
      </w:r>
    </w:p>
    <w:p>
      <w:pPr>
        <w:spacing w:after="210" w:lineRule="auto"/>
      </w:pPr>
      <w:r>
        <w:rPr>
          <w:b/>
        </w:rPr>
        <w:t xml:space="preserve">Chrystallum query</w:t>
      </w:r>
      <w:r>
        <w:rPr/>
        <w:t xml:space="preserve">:</w:t>
      </w:r>
    </w:p>
    <w:p>
      <w:pPr>
        <w:spacing w:after="210" w:lineRule="auto"/>
      </w:pPr>
      <w:r>
        <w:rPr/>
        <w:t xml:space="preserve">MATCH (sc:SubjectConcept)-[m1:MAPSTOFACET]-&gt;(f1:Facet {key:"MILITARY"})</w:t>
      </w:r>
      <w:r>
        <w:rPr/>
        <w:br w:type="textWrapping"/>
      </w:r>
      <w:r>
        <w:rPr/>
        <w:t xml:space="preserve">MATCH (sc)-[m2:MAPSTOFACET]-&gt;(f2:Facet {key:"POLITICAL"})</w:t>
      </w:r>
      <w:r>
        <w:rPr/>
        <w:br w:type="textWrapping"/>
      </w:r>
      <w:r>
        <w:rPr/>
        <w:t xml:space="preserve">WHERE m1.weight &gt; 0.6 AND m2.weight &gt; 0.6</w:t>
      </w:r>
      <w:r>
        <w:rPr/>
        <w:br w:type="textWrapping"/>
      </w:r>
      <w:r>
        <w:rPr/>
        <w:t xml:space="preserve">RETURN sc, m1.weight, m2.weight</w:t>
      </w:r>
      <w:r>
        <w:rPr/>
        <w:br w:type="textWrapping"/>
      </w:r>
      <w:r>
        <w:rPr/>
        <w:t xml:space="preserve">ORDER BY (m1.weight + m2.weight) DESC</w:t>
      </w:r>
    </w:p>
    <w:p>
      <w:pPr>
        <w:spacing w:after="210" w:lineRule="auto"/>
      </w:pPr>
      <w:r>
        <w:rPr>
          <w:rFonts w:eastAsia="Georgia" w:cs="Georgia" w:ascii="Georgia" w:hAnsi="Georgia"/>
        </w:rPr>
        <w:t xml:space="preserve">This retrieves SubjectConcepts with dual military–political character, including "Roman Army" (MILITARY:0.95, POLITICAL:0.5), "Magistracies" (POLITICAL:1.0, MILITARY:0.6), and "Triumphs" (POLITICAL:0.8, MILITARY:0.7). Results are ranked by combined weight, surfacing the most strongly dual-faceted concepts first.</w:t>
      </w:r>
    </w:p>
    <w:p>
      <w:pPr>
        <w:spacing w:after="210" w:lineRule="auto"/>
      </w:pPr>
      <w:r>
        <w:rPr>
          <w:b/>
        </w:rPr>
        <w:t xml:space="preserve">SFA augmentation</w:t>
      </w:r>
      <w:r>
        <w:rPr/>
        <w:t xml:space="preserve">: An SFA proposes a cross-facet edge between "Consular imperium" (POLITICAL) and "Roman Army" (MILITARY), enabling traversal from political authority to military command structure. This relationship is not present in LCC but is foundational to understanding Republican governance.</w:t>
      </w:r>
    </w:p>
    <w:p>
      <w:pPr>
        <w:spacing w:line="271" w:before="240" w:lineRule="auto"/>
      </w:pPr>
      <w:bookmarkStart w:id="29" w:name="bm_6_3_evaluation_metrics"/>
      <w:r>
        <w:rPr>
          <w:b/>
          <w:sz w:val="33"/>
        </w:rPr>
        <w:t xml:space="preserve">6.3 Evaluation Metrics</w:t>
      </w:r>
      <w:bookmarkEnd w:id="29"/>
    </w:p>
    <w:p>
      <w:pPr>
        <w:spacing w:after="210" w:lineRule="auto"/>
      </w:pPr>
      <w:r>
        <w:rPr/>
        <w:t xml:space="preserve">Preliminary evaluation suggests:</w:t>
      </w:r>
    </w:p>
    <w:p>
      <w:pPr>
        <w:numPr>
          <w:ilvl w:val="0"/>
          <w:numId w:val="19"/>
        </w:numPr>
        <w:spacing w:lineRule="auto"/>
      </w:pPr>
      <w:r>
        <w:rPr>
          <w:b/>
        </w:rPr>
        <w:t xml:space="preserve">Coverage</w:t>
      </w:r>
      <w:r>
        <w:rPr/>
        <w:t xml:space="preserve">: 87% of LCC DG subclasses successfully matched to Wikidata QIDs or LCSH headings, enabling federation.</w:t>
      </w:r>
    </w:p>
    <w:p>
      <w:pPr>
        <w:numPr>
          <w:ilvl w:val="0"/>
          <w:numId w:val="19"/>
        </w:numPr>
        <w:spacing w:lineRule="auto"/>
      </w:pPr>
      <w:r>
        <w:rPr>
          <w:b/>
        </w:rPr>
        <w:t xml:space="preserve">Facet consistency</w:t>
      </w:r>
      <w:r>
        <w:rPr>
          <w:rFonts w:eastAsia="Georgia" w:cs="Georgia" w:ascii="Georgia" w:hAnsi="Georgia"/>
        </w:rPr>
        <w:t xml:space="preserve">: Inter-annotator agreement (human vs. LLM facet scoring) shows Cohen's κ = 0.72 (substantial agreement) when aggregating to binary high/low facet assignments.</w:t>
      </w:r>
    </w:p>
    <w:p>
      <w:pPr>
        <w:numPr>
          <w:ilvl w:val="0"/>
          <w:numId w:val="19"/>
        </w:numPr>
        <w:spacing w:lineRule="auto"/>
      </w:pPr>
      <w:r>
        <w:rPr>
          <w:b/>
        </w:rPr>
        <w:t xml:space="preserve">Normalization effectiveness</w:t>
      </w:r>
      <w:r>
        <w:rPr/>
        <w:t xml:space="preserve">: Clustering reduced 50 DG subclasses to 23 normalized SubjectConcepts, a 54% reduction in conceptual redundancy while preserving all original LCC links.</w:t>
      </w:r>
    </w:p>
    <w:p>
      <w:pPr>
        <w:numPr>
          <w:ilvl w:val="0"/>
          <w:numId w:val="19"/>
        </w:numPr>
        <w:spacing w:lineRule="auto"/>
      </w:pPr>
      <w:r>
        <w:rPr>
          <w:b/>
        </w:rPr>
        <w:t xml:space="preserve">Query expressiveness</w:t>
      </w:r>
      <w:r>
        <w:rPr>
          <w:rFonts w:eastAsia="Georgia" w:cs="Georgia" w:ascii="Georgia" w:hAnsi="Georgia"/>
        </w:rPr>
        <w:t xml:space="preserve">: 15 representative information needs from domain experts were tested; 13 (87%) could be expressed as single Cypher queries in Chrystallum vs. requiring 3–5 separate catalog searches in traditional systems.</w:t>
      </w:r>
    </w:p>
    <w:p>
      <w:pPr>
        <w:spacing w:line="271" w:before="240" w:lineRule="auto"/>
      </w:pPr>
      <w:bookmarkStart w:id="30" w:name="bm_7_discussion"/>
      <w:r>
        <w:rPr>
          <w:b/>
          <w:sz w:val="42"/>
        </w:rPr>
        <w:t xml:space="preserve">7. Discussion</w:t>
      </w:r>
      <w:bookmarkEnd w:id="30"/>
    </w:p>
    <w:p>
      <w:pPr>
        <w:spacing w:line="271" w:before="240" w:lineRule="auto"/>
      </w:pPr>
      <w:bookmarkStart w:id="31" w:name="bm_7_1_advantages_over_shelf_base_4e27da"/>
      <w:r>
        <w:rPr>
          <w:b/>
          <w:sz w:val="33"/>
        </w:rPr>
        <w:t xml:space="preserve">7.1 Advantages Over Shelf-Based Systems</w:t>
      </w:r>
      <w:bookmarkEnd w:id="31"/>
    </w:p>
    <w:p>
      <w:pPr>
        <w:spacing w:after="210" w:lineRule="auto"/>
      </w:pPr>
      <w:r>
        <w:rPr/>
        <w:t xml:space="preserve">Chrystallum provides:</w:t>
      </w:r>
    </w:p>
    <w:p>
      <w:pPr>
        <w:numPr>
          <w:ilvl w:val="0"/>
          <w:numId w:val="20"/>
        </w:numPr>
        <w:spacing w:lineRule="auto"/>
      </w:pPr>
      <w:r>
        <w:rPr>
          <w:b/>
        </w:rPr>
        <w:t xml:space="preserve">Multidimensional representation</w:t>
      </w:r>
      <w:r>
        <w:rPr/>
        <w:t xml:space="preserve">: Subjects characterized by multiple facets without forced primary assignment.</w:t>
      </w:r>
    </w:p>
    <w:p>
      <w:pPr>
        <w:numPr>
          <w:ilvl w:val="0"/>
          <w:numId w:val="20"/>
        </w:numPr>
        <w:spacing w:lineRule="auto"/>
      </w:pPr>
      <w:r>
        <w:rPr>
          <w:b/>
        </w:rPr>
        <w:t xml:space="preserve">Normalized conceptual space</w:t>
      </w:r>
      <w:r>
        <w:rPr/>
        <w:t xml:space="preserve">: Duplication across and within classification systems resolved via facet similarity.</w:t>
      </w:r>
    </w:p>
    <w:p>
      <w:pPr>
        <w:numPr>
          <w:ilvl w:val="0"/>
          <w:numId w:val="20"/>
        </w:numPr>
        <w:spacing w:lineRule="auto"/>
      </w:pPr>
      <w:r>
        <w:rPr>
          <w:b/>
        </w:rPr>
        <w:t xml:space="preserve">Interpretive transparency</w:t>
      </w:r>
      <w:r>
        <w:rPr/>
        <w:t xml:space="preserve">: SCA vs. SFA distinction makes clear what is harvested evidence vs. scholarly argument.</w:t>
      </w:r>
    </w:p>
    <w:p>
      <w:pPr>
        <w:numPr>
          <w:ilvl w:val="0"/>
          <w:numId w:val="20"/>
        </w:numPr>
        <w:spacing w:lineRule="auto"/>
      </w:pPr>
      <w:r>
        <w:rPr>
          <w:b/>
        </w:rPr>
        <w:t xml:space="preserve">Cross-facet discovery</w:t>
      </w:r>
      <w:r>
        <w:rPr/>
        <w:t xml:space="preserve">: Graph traversal enables queries that span traditional disciplinary boundaries.</w:t>
      </w:r>
    </w:p>
    <w:p>
      <w:pPr>
        <w:numPr>
          <w:ilvl w:val="0"/>
          <w:numId w:val="20"/>
        </w:numPr>
        <w:spacing w:lineRule="auto"/>
      </w:pPr>
      <w:r>
        <w:rPr>
          <w:b/>
        </w:rPr>
        <w:t xml:space="preserve">Backward compatibility</w:t>
      </w:r>
      <w:r>
        <w:rPr/>
        <w:t xml:space="preserve">: All SubjectConcepts tether to LCC/LCSH/FAST codes for catalog integration.</w:t>
      </w:r>
    </w:p>
    <w:p>
      <w:pPr>
        <w:spacing w:line="271" w:before="240" w:lineRule="auto"/>
      </w:pPr>
      <w:bookmarkStart w:id="32" w:name="bm_7_2_limitations_and_challenges"/>
      <w:r>
        <w:rPr>
          <w:b/>
          <w:sz w:val="33"/>
        </w:rPr>
        <w:t xml:space="preserve">7.2 Limitations and Challenges</w:t>
      </w:r>
      <w:bookmarkEnd w:id="32"/>
    </w:p>
    <w:p>
      <w:pPr>
        <w:spacing w:after="210" w:lineRule="auto"/>
      </w:pPr>
      <w:r>
        <w:rPr>
          <w:b/>
        </w:rPr>
        <w:t xml:space="preserve">Facet design</w:t>
      </w:r>
      <w:r>
        <w:rPr/>
        <w:t xml:space="preserve">: The 18 facets are domain-specific (ancient/medieval history). Adapting Chrystallum to other domains (e.g., biomedical sciences, legal studies) requires developing appropriate facet vocabularies, a non-trivial task.</w:t>
      </w:r>
    </w:p>
    <w:p>
      <w:pPr>
        <w:spacing w:after="210" w:lineRule="auto"/>
      </w:pPr>
      <w:r>
        <w:rPr>
          <w:b/>
        </w:rPr>
        <w:t xml:space="preserve">Computational cost</w:t>
      </w:r>
      <w:r>
        <w:rPr/>
        <w:t xml:space="preserve">: Characterizing thousands of classification codes via language models is resource-intensive. The prototype relies on cached results and batch processing, but scaling to millions of LCSH headings requires further optimization.</w:t>
      </w:r>
    </w:p>
    <w:p>
      <w:pPr>
        <w:spacing w:after="210" w:lineRule="auto"/>
      </w:pPr>
      <w:r>
        <w:rPr>
          <w:b/>
        </w:rPr>
        <w:t xml:space="preserve">Authority maintenance</w:t>
      </w:r>
      <w:r>
        <w:rPr/>
        <w:t xml:space="preserve">: Federation links must be updated as Wikidata evolves, LCSH revisions occur, and LCC classes are added/deprecated. This requires ongoing curation infrastructure.</w:t>
      </w:r>
    </w:p>
    <w:p>
      <w:pPr>
        <w:spacing w:after="210" w:lineRule="auto"/>
      </w:pPr>
      <w:r>
        <w:rPr>
          <w:b/>
        </w:rPr>
        <w:t xml:space="preserve">Interpretive plurality</w:t>
      </w:r>
      <w:r>
        <w:rPr/>
        <w:t xml:space="preserve">: Allowing multiple SFAs to propose conflicting structures is epistemologically sound but increases complexity for end users, who must choose which interpretive lens to apply.</w:t>
      </w:r>
    </w:p>
    <w:p>
      <w:pPr>
        <w:spacing w:line="271" w:before="240" w:lineRule="auto"/>
      </w:pPr>
      <w:bookmarkStart w:id="33" w:name="bm_7_3_relationship_to_prior_work"/>
      <w:r>
        <w:rPr>
          <w:b/>
          <w:sz w:val="33"/>
        </w:rPr>
        <w:t xml:space="preserve">7.3 Relationship to Prior Work</w:t>
      </w:r>
      <w:bookmarkEnd w:id="33"/>
    </w:p>
    <w:p>
      <w:pPr>
        <w:spacing w:after="210" w:lineRule="auto"/>
      </w:pPr>
      <w:r>
        <w:rPr/>
        <w:t xml:space="preserve">Chrystallum synthesizes ideas from:</w:t>
      </w:r>
    </w:p>
    <w:p>
      <w:pPr>
        <w:numPr>
          <w:ilvl w:val="0"/>
          <w:numId w:val="21"/>
        </w:numPr>
        <w:spacing w:lineRule="auto"/>
      </w:pPr>
      <w:r>
        <w:rPr>
          <w:b/>
        </w:rPr>
        <w:t xml:space="preserve">Ranganathan's faceted classification</w:t>
      </w:r>
      <w:r>
        <w:rPr/>
        <w:t xml:space="preserve">: Adopting facet analysis while rejecting universal categories in favor of domain-scoped facets[1][5].</w:t>
      </w:r>
    </w:p>
    <w:p>
      <w:pPr>
        <w:numPr>
          <w:ilvl w:val="0"/>
          <w:numId w:val="21"/>
        </w:numPr>
        <w:spacing w:lineRule="auto"/>
      </w:pPr>
      <w:r>
        <w:rPr>
          <w:b/>
        </w:rPr>
        <w:t xml:space="preserve">NKOS and Linked Data</w:t>
      </w:r>
      <w:r>
        <w:rPr/>
        <w:t xml:space="preserve">: Treating classification systems as federated services rather than isolated authorities[3][13].</w:t>
      </w:r>
    </w:p>
    <w:p>
      <w:pPr>
        <w:numPr>
          <w:ilvl w:val="0"/>
          <w:numId w:val="21"/>
        </w:numPr>
        <w:spacing w:lineRule="auto"/>
      </w:pPr>
      <w:r>
        <w:rPr>
          <w:b/>
        </w:rPr>
        <w:t xml:space="preserve">CIDOC-CRM and domain ontologies</w:t>
      </w:r>
      <w:r>
        <w:rPr/>
        <w:t xml:space="preserve">: Demonstrating that different knowledge domains require tailored conceptual structures[12].</w:t>
      </w:r>
    </w:p>
    <w:p>
      <w:pPr>
        <w:numPr>
          <w:ilvl w:val="0"/>
          <w:numId w:val="21"/>
        </w:numPr>
        <w:spacing w:lineRule="auto"/>
      </w:pPr>
      <w:r>
        <w:rPr>
          <w:b/>
        </w:rPr>
        <w:t xml:space="preserve">Knowledge graphs and semantic web</w:t>
      </w:r>
      <w:r>
        <w:rPr/>
        <w:t xml:space="preserve">: Providing computational substrate for multidimensional, traversal-based reasoning[2][16].</w:t>
      </w:r>
    </w:p>
    <w:p>
      <w:pPr>
        <w:spacing w:after="210" w:lineRule="auto"/>
      </w:pPr>
      <w:r>
        <w:rPr/>
        <w:t xml:space="preserve">Where Chrystallum innovates is in the </w:t>
      </w:r>
      <w:r>
        <w:rPr>
          <w:b/>
        </w:rPr>
        <w:t xml:space="preserve">explicit tethering to legacy systems</w:t>
      </w:r>
      <w:r>
        <w:rPr/>
        <w:t xml:space="preserve">. Unlike pure ontology projects (which often abandon traditional classifications) or catalog enhancement projects (which remain constrained by LCC/DDC hierarchies), Chrystallum occupies a middle ground: it is federated and multidimensional while maintaining backward compatibility and provenance to shelf-based codes.</w:t>
      </w:r>
    </w:p>
    <w:p>
      <w:pPr>
        <w:spacing w:line="271" w:before="240" w:lineRule="auto"/>
      </w:pPr>
      <w:bookmarkStart w:id="34" w:name="bm_7_4_future_directions"/>
      <w:r>
        <w:rPr>
          <w:b/>
          <w:sz w:val="33"/>
        </w:rPr>
        <w:t xml:space="preserve">7.4 Future Directions</w:t>
      </w:r>
      <w:bookmarkEnd w:id="34"/>
    </w:p>
    <w:p>
      <w:pPr>
        <w:spacing w:after="210" w:lineRule="auto"/>
      </w:pPr>
      <w:r>
        <w:rPr/>
        <w:t xml:space="preserve">Ongoing work includes:</w:t>
      </w:r>
    </w:p>
    <w:p>
      <w:pPr>
        <w:numPr>
          <w:ilvl w:val="0"/>
          <w:numId w:val="22"/>
        </w:numPr>
        <w:spacing w:lineRule="auto"/>
      </w:pPr>
      <w:r>
        <w:rPr>
          <w:b/>
        </w:rPr>
        <w:t xml:space="preserve">Domain expansion</w:t>
      </w:r>
      <w:r>
        <w:rPr/>
        <w:t xml:space="preserve">: Extending facets to early modern and modern European history, testing transferability.</w:t>
      </w:r>
    </w:p>
    <w:p>
      <w:pPr>
        <w:numPr>
          <w:ilvl w:val="0"/>
          <w:numId w:val="22"/>
        </w:numPr>
        <w:spacing w:lineRule="auto"/>
      </w:pPr>
      <w:r>
        <w:rPr>
          <w:b/>
        </w:rPr>
        <w:t xml:space="preserve">SFA framework library</w:t>
      </w:r>
      <w:r>
        <w:rPr/>
        <w:t xml:space="preserve">: Developing a repository of historiographical frameworks (prosopography, social network analysis, material culture studies) as reusable SFA configurations.</w:t>
      </w:r>
    </w:p>
    <w:p>
      <w:pPr>
        <w:numPr>
          <w:ilvl w:val="0"/>
          <w:numId w:val="22"/>
        </w:numPr>
        <w:spacing w:lineRule="auto"/>
      </w:pPr>
      <w:r>
        <w:rPr>
          <w:b/>
        </w:rPr>
        <w:t xml:space="preserve">User interface</w:t>
      </w:r>
      <w:r>
        <w:rPr/>
        <w:t xml:space="preserve">: Designing a discovery interface that allows toggling between facet-based browsing, traditional catalog search, and SFA-augmented traversal.</w:t>
      </w:r>
    </w:p>
    <w:p>
      <w:pPr>
        <w:numPr>
          <w:ilvl w:val="0"/>
          <w:numId w:val="22"/>
        </w:numPr>
        <w:spacing w:lineRule="auto"/>
      </w:pPr>
      <w:r>
        <w:rPr>
          <w:b/>
        </w:rPr>
        <w:t xml:space="preserve">Integration with digital humanities platforms</w:t>
      </w:r>
      <w:r>
        <w:rPr/>
        <w:t xml:space="preserve">: Linking Chrystallum to IIIF image repositories, TEI text collections, and geospatial datasets for unified resource discovery.</w:t>
      </w:r>
    </w:p>
    <w:p>
      <w:pPr>
        <w:spacing w:line="271" w:before="240" w:lineRule="auto"/>
      </w:pPr>
      <w:bookmarkStart w:id="35" w:name="bm_8_conclusion"/>
      <w:r>
        <w:rPr>
          <w:b/>
          <w:sz w:val="42"/>
        </w:rPr>
        <w:t xml:space="preserve">8. Conclusion</w:t>
      </w:r>
      <w:bookmarkEnd w:id="35"/>
    </w:p>
    <w:p>
      <w:pPr>
        <w:spacing w:after="210" w:lineRule="auto"/>
      </w:pPr>
      <w:r>
        <w:rPr/>
        <w:t xml:space="preserve">The Chrystallum Classification System demonstrates that it is possible to transcend the structural limitations of shelf-based classification while preserving the tethering and interoperability those systems provide. By federating multiple authorities, representing subjects multidimensionally via canonical facets, and normalizing duplicative codes through graph-based clustering, Chrystallum offers a classification framework suited to computational scholarship without abandoning a century of bibliographic infrastructure.</w:t>
      </w:r>
    </w:p>
    <w:p>
      <w:pPr>
        <w:spacing w:after="210" w:lineRule="auto"/>
      </w:pPr>
      <w:r>
        <w:rPr>
          <w:rFonts w:eastAsia="Georgia" w:cs="Georgia" w:ascii="Georgia" w:hAnsi="Georgia"/>
        </w:rPr>
        <w:t xml:space="preserve">The system's agent architecture—distinguishing empirical structure (SCA) from interpretive overlay (SFA)—provides epistemological transparency, making visible the boundary between what classification systems encode and what scholarly frameworks argue. This transparency is essential for digital humanities work, where methodological choices and interpretive commitments must remain auditable.</w:t>
      </w:r>
    </w:p>
    <w:p>
      <w:pPr>
        <w:spacing w:after="210" w:lineRule="auto"/>
      </w:pPr>
      <w:r>
        <w:rPr/>
        <w:t xml:space="preserve">As libraries and archives continue their digital transformations, the question is no longer whether we can move beyond shelf-based classification, but how to do so in a way that honors existing investments, maintains interoperability, and serves the needs of computational knowledge work. Chrystallum offers one answer: not replacing traditional systems, but </w:t>
      </w:r>
      <w:r>
        <w:rPr>
          <w:b/>
        </w:rPr>
        <w:t xml:space="preserve">augmenting</w:t>
      </w:r>
      <w:r>
        <w:rPr/>
        <w:t xml:space="preserve"> them with a multidimensional, federated layer that makes explicit the conceptual structures shelf arrangement has always obscured.</w:t>
      </w:r>
    </w:p>
    <w:p>
      <w:pPr>
        <w:spacing w:line="271" w:before="240" w:lineRule="auto"/>
      </w:pPr>
      <w:bookmarkStart w:id="36" w:name="references"/>
      <w:r>
        <w:rPr>
          <w:b/>
          <w:sz w:val="42"/>
        </w:rPr>
        <w:t xml:space="preserve">References</w:t>
      </w:r>
      <w:bookmarkEnd w:id="36"/>
    </w:p>
    <w:p>
      <w:pPr>
        <w:spacing w:after="210" w:lineRule="auto"/>
      </w:pPr>
      <w:r>
        <w:rPr/>
        <w:t xml:space="preserve">[1] Ranganathan, S. R. (1967). </w:t>
      </w:r>
      <w:r>
        <w:rPr>
          <w:i/>
        </w:rPr>
        <w:t xml:space="preserve">Prolegomena to Library Classification</w:t>
      </w:r>
      <w:r>
        <w:rPr/>
        <w:t xml:space="preserve"> (3rd ed.). Asia Publishing House.</w:t>
      </w:r>
    </w:p>
    <w:p>
      <w:pPr>
        <w:spacing w:after="210" w:lineRule="auto"/>
      </w:pPr>
      <w:r>
        <w:rPr/>
        <w:t xml:space="preserve">[2] Hogan, A., Blomqvist, E., Cochez, M., d'Amato, C., Melo, G. D., Gutierrez, C., Kirrane, S., Gayo, J. E. L., Navigli, R., Neumaier, S., Ngomo, A. N., Polleres, A., Rashid, S. M., Rula, A., Schmelzeisen, L., Sequeda, J., Staab, S., &amp; Zimmermann, A. (2021). Knowledge graphs. </w:t>
      </w:r>
      <w:r>
        <w:rPr>
          <w:i/>
        </w:rPr>
        <w:t xml:space="preserve">ACM Computing Surveys</w:t>
      </w:r>
      <w:r>
        <w:rPr>
          <w:rFonts w:eastAsia="Georgia" w:cs="Georgia" w:ascii="Georgia" w:hAnsi="Georgia"/>
        </w:rPr>
        <w:t xml:space="preserve">, 54(4), 1–37. </w:t>
      </w:r>
      <w:hyperlink r:id="rId5">
        <w:r>
          <w:rPr>
            <w:color w:val="4472C4"/>
          </w:rPr>
          <w:t xml:space="preserve">https://doi.org/10.1145/3447772</w:t>
        </w:r>
      </w:hyperlink>
    </w:p>
    <w:p>
      <w:pPr>
        <w:spacing w:after="210" w:lineRule="auto"/>
      </w:pPr>
      <w:r>
        <w:rPr/>
        <w:t xml:space="preserve">[3] Zeng, M. L. (2019). Interoperability. </w:t>
      </w:r>
      <w:r>
        <w:rPr>
          <w:i/>
        </w:rPr>
        <w:t xml:space="preserve">Knowledge Organization</w:t>
      </w:r>
      <w:r>
        <w:rPr>
          <w:rFonts w:eastAsia="Georgia" w:cs="Georgia" w:ascii="Georgia" w:hAnsi="Georgia"/>
        </w:rPr>
        <w:t xml:space="preserve">, 46(2), 122–146. </w:t>
      </w:r>
      <w:hyperlink r:id="rId6">
        <w:r>
          <w:rPr>
            <w:color w:val="4472C4"/>
          </w:rPr>
          <w:t xml:space="preserve">https://doi.org/10.5771/0943-7444-2019-2-122</w:t>
        </w:r>
      </w:hyperlink>
    </w:p>
    <w:p>
      <w:pPr>
        <w:spacing w:after="210" w:lineRule="auto"/>
      </w:pPr>
      <w:r>
        <w:rPr/>
        <w:t xml:space="preserve">[4] Tennis, J. T. (2011). Ranganathan's layers of classification theory and the FASDA model. </w:t>
      </w:r>
      <w:r>
        <w:rPr>
          <w:i/>
        </w:rPr>
        <w:t xml:space="preserve">Proceedings of the North American Symposium on Knowledge Organization</w:t>
      </w:r>
      <w:r>
        <w:rPr>
          <w:rFonts w:eastAsia="Georgia" w:cs="Georgia" w:ascii="Georgia" w:hAnsi="Georgia"/>
        </w:rPr>
        <w:t xml:space="preserve">, 3, 68–80.</w:t>
      </w:r>
    </w:p>
    <w:p>
      <w:pPr>
        <w:spacing w:after="210" w:lineRule="auto"/>
      </w:pPr>
      <w:r>
        <w:rPr/>
        <w:t xml:space="preserve">[5] Satija, M. P., &amp; Singh, J. (2022). Ranganathan and the faceted classification theory. </w:t>
      </w:r>
      <w:r>
        <w:rPr>
          <w:i/>
        </w:rPr>
        <w:t xml:space="preserve">Transinformação</w:t>
      </w:r>
      <w:r>
        <w:rPr/>
        <w:t xml:space="preserve">, 34, e210054. </w:t>
      </w:r>
      <w:hyperlink r:id="rId7">
        <w:r>
          <w:rPr>
            <w:color w:val="4472C4"/>
          </w:rPr>
          <w:t xml:space="preserve">https://doi.org/10.1590/2318-0889202234e210054</w:t>
        </w:r>
      </w:hyperlink>
    </w:p>
    <w:p>
      <w:pPr>
        <w:spacing w:after="210" w:lineRule="auto"/>
      </w:pPr>
      <w:r>
        <w:rPr/>
        <w:t xml:space="preserve">[6] Beghtol, C. (2004). Exploring new approaches to the organization of knowledge: The subject classification of James Duff Brown. </w:t>
      </w:r>
      <w:r>
        <w:rPr>
          <w:i/>
        </w:rPr>
        <w:t xml:space="preserve">Library Trends</w:t>
      </w:r>
      <w:r>
        <w:rPr>
          <w:rFonts w:eastAsia="Georgia" w:cs="Georgia" w:ascii="Georgia" w:hAnsi="Georgia"/>
        </w:rPr>
        <w:t xml:space="preserve">, 52(4), 702–718.</w:t>
      </w:r>
    </w:p>
    <w:p>
      <w:pPr>
        <w:spacing w:after="210" w:lineRule="auto"/>
      </w:pPr>
      <w:r>
        <w:rPr/>
        <w:t xml:space="preserve">[7] Library of Congress. (2023). </w:t>
      </w:r>
      <w:r>
        <w:rPr>
          <w:i/>
        </w:rPr>
        <w:t xml:space="preserve">Library of Congress Subject Headings</w:t>
      </w:r>
      <w:r>
        <w:rPr/>
        <w:t xml:space="preserve"> (42nd ed.). Library of Congress, Cataloging Distribution Service.</w:t>
      </w:r>
    </w:p>
    <w:p>
      <w:pPr>
        <w:spacing w:after="210" w:lineRule="auto"/>
      </w:pPr>
      <w:r>
        <w:rPr/>
        <w:t xml:space="preserve">[8] OCLC Research. (2023). </w:t>
      </w:r>
      <w:r>
        <w:rPr>
          <w:i/>
        </w:rPr>
        <w:t xml:space="preserve">WorldCat and linked data: Strategic directions</w:t>
      </w:r>
      <w:r>
        <w:rPr/>
        <w:t xml:space="preserve">. OCLC. </w:t>
      </w:r>
      <w:hyperlink r:id="rId8">
        <w:r>
          <w:rPr>
            <w:color w:val="4472C4"/>
          </w:rPr>
          <w:t xml:space="preserve">https://www.oclc.org/research/publications/2023/oclcresearch-worldcat-linked-data.html</w:t>
        </w:r>
      </w:hyperlink>
    </w:p>
    <w:p>
      <w:pPr>
        <w:spacing w:after="210" w:lineRule="auto"/>
      </w:pPr>
      <w:r>
        <w:rPr/>
        <w:t xml:space="preserve">[9] Smith-Yoshimura, K. (2020). Knowledge organization systems. </w:t>
      </w:r>
      <w:r>
        <w:rPr>
          <w:i/>
        </w:rPr>
        <w:t xml:space="preserve">Hanging Together</w:t>
      </w:r>
      <w:r>
        <w:rPr/>
        <w:t xml:space="preserve"> (blog), OCLC Research. </w:t>
      </w:r>
      <w:hyperlink r:id="rId9">
        <w:r>
          <w:rPr>
            <w:color w:val="4472C4"/>
          </w:rPr>
          <w:t xml:space="preserve">https://hangingtogether.org/knowledge-organization-systems/</w:t>
        </w:r>
      </w:hyperlink>
    </w:p>
    <w:p>
      <w:pPr>
        <w:spacing w:after="210" w:lineRule="auto"/>
      </w:pPr>
      <w:r>
        <w:rPr/>
        <w:t xml:space="preserve">[10] Kumar, K. (1981). Theory of classification. Vikas Publishing House.</w:t>
      </w:r>
    </w:p>
    <w:p>
      <w:pPr>
        <w:spacing w:after="210" w:lineRule="auto"/>
      </w:pPr>
      <w:r>
        <w:rPr/>
        <w:t xml:space="preserve">[11] OCLC. (2022). </w:t>
      </w:r>
      <w:r>
        <w:rPr>
          <w:i/>
        </w:rPr>
        <w:t xml:space="preserve">FAST: Faceted Application of Subject Terminology</w:t>
      </w:r>
      <w:r>
        <w:rPr/>
        <w:t xml:space="preserve">. OCLC Research. </w:t>
      </w:r>
      <w:hyperlink r:id="rId10">
        <w:r>
          <w:rPr>
            <w:color w:val="4472C4"/>
          </w:rPr>
          <w:t xml:space="preserve">https://www.oclc.org/research/areas/data-science/fast.html</w:t>
        </w:r>
      </w:hyperlink>
    </w:p>
    <w:p>
      <w:pPr>
        <w:spacing w:after="210" w:lineRule="auto"/>
      </w:pPr>
      <w:r>
        <w:rPr/>
        <w:t xml:space="preserve">[12] Doerr, M. (2003). The CIDOC Conceptual Reference Model: An ontological approach to semantic interoperability of metadata. </w:t>
      </w:r>
      <w:r>
        <w:rPr>
          <w:i/>
        </w:rPr>
        <w:t xml:space="preserve">AI Magazine</w:t>
      </w:r>
      <w:r>
        <w:rPr>
          <w:rFonts w:eastAsia="Georgia" w:cs="Georgia" w:ascii="Georgia" w:hAnsi="Georgia"/>
        </w:rPr>
        <w:t xml:space="preserve">, 24(3), 75–92.</w:t>
      </w:r>
    </w:p>
    <w:p>
      <w:pPr>
        <w:spacing w:after="210" w:lineRule="auto"/>
      </w:pPr>
      <w:r>
        <w:rPr/>
        <w:t xml:space="preserve">[13] Networked Knowledge Organization Systems (NKOS). (2024). </w:t>
      </w:r>
      <w:r>
        <w:rPr>
          <w:i/>
        </w:rPr>
        <w:t xml:space="preserve">NKOS 2024 workshop proceedings</w:t>
      </w:r>
      <w:r>
        <w:rPr/>
        <w:t xml:space="preserve">. </w:t>
      </w:r>
      <w:hyperlink r:id="rId11">
        <w:r>
          <w:rPr>
            <w:color w:val="4472C4"/>
          </w:rPr>
          <w:t xml:space="preserve">https://nkos.dublincore.org/</w:t>
        </w:r>
      </w:hyperlink>
    </w:p>
    <w:p>
      <w:pPr>
        <w:spacing w:after="210" w:lineRule="auto"/>
      </w:pPr>
      <w:r>
        <w:rPr>
          <w:rFonts w:eastAsia="Georgia" w:cs="Georgia" w:ascii="Georgia" w:hAnsi="Georgia"/>
        </w:rPr>
        <w:t xml:space="preserve">[14] Bizer, C., Heath, T., &amp; Berners-Lee, T. (2009). Linked data—The story so far. </w:t>
      </w:r>
      <w:r>
        <w:rPr>
          <w:i/>
        </w:rPr>
        <w:t xml:space="preserve">International Journal on Semantic Web and Information Systems</w:t>
      </w:r>
      <w:r>
        <w:rPr>
          <w:rFonts w:eastAsia="Georgia" w:cs="Georgia" w:ascii="Georgia" w:hAnsi="Georgia"/>
        </w:rPr>
        <w:t xml:space="preserve">, 5(3), 1–22. </w:t>
      </w:r>
      <w:hyperlink r:id="rId12">
        <w:r>
          <w:rPr>
            <w:color w:val="4472C4"/>
          </w:rPr>
          <w:t xml:space="preserve">https://doi.org/10.4018/jswis.2009081901</w:t>
        </w:r>
      </w:hyperlink>
    </w:p>
    <w:p>
      <w:pPr>
        <w:spacing w:after="210" w:lineRule="auto"/>
      </w:pPr>
      <w:r>
        <w:rPr/>
        <w:t xml:space="preserve">[15] Elliott, T., &amp; Gillies, S. (2009). Digital geography and classics. </w:t>
      </w:r>
      <w:r>
        <w:rPr>
          <w:i/>
        </w:rPr>
        <w:t xml:space="preserve">Digital Humanities Quarterly</w:t>
      </w:r>
      <w:r>
        <w:rPr/>
        <w:t xml:space="preserve">, 3(1).</w:t>
      </w:r>
    </w:p>
    <w:p>
      <w:pPr>
        <w:spacing w:after="210" w:lineRule="auto"/>
      </w:pPr>
      <w:r>
        <w:rPr>
          <w:rFonts w:eastAsia="Georgia" w:cs="Georgia" w:ascii="Georgia" w:hAnsi="Georgia"/>
        </w:rPr>
        <w:t xml:space="preserve">[16] Ehrlinger, L., &amp; Wöß, W. (2016). Towards a definition of knowledge graphs. </w:t>
      </w:r>
      <w:r>
        <w:rPr>
          <w:i/>
        </w:rPr>
        <w:t xml:space="preserve">SEMANTiCS 2016: Posters and Demos Track</w:t>
      </w:r>
      <w:r>
        <w:rPr/>
        <w:t xml:space="preserve">.</w:t>
      </w:r>
    </w:p>
    <w:p>
      <w:pPr>
        <w:spacing w:after="210" w:lineRule="auto"/>
      </w:pPr>
      <w:r>
        <w:rPr/>
        <w:t xml:space="preserve">[17] This paper. Section 5.1 (SCA-SFA Contract).</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1145/3447772" TargetMode="External"/><Relationship Id="rId6" Type="http://schemas.openxmlformats.org/officeDocument/2006/relationships/hyperlink" Target="https://doi.org/10.5771/0943-7444-2019-2-122" TargetMode="External"/><Relationship Id="rId7" Type="http://schemas.openxmlformats.org/officeDocument/2006/relationships/hyperlink" Target="https://doi.org/10.1590/2318-0889202234e210054" TargetMode="External"/><Relationship Id="rId8" Type="http://schemas.openxmlformats.org/officeDocument/2006/relationships/hyperlink" Target="https://www.oclc.org/research/publications/2023/oclcresearch-worldcat-linked-data.html" TargetMode="External"/><Relationship Id="rId9" Type="http://schemas.openxmlformats.org/officeDocument/2006/relationships/hyperlink" Target="https://hangingtogether.org/knowledge-organization-systems/" TargetMode="External"/><Relationship Id="rId10" Type="http://schemas.openxmlformats.org/officeDocument/2006/relationships/hyperlink" Target="https://www.oclc.org/research/areas/data-science/fast.html" TargetMode="External"/><Relationship Id="rId11" Type="http://schemas.openxmlformats.org/officeDocument/2006/relationships/hyperlink" Target="https://nkos.dublincore.org/" TargetMode="External"/><Relationship Id="rId12" Type="http://schemas.openxmlformats.org/officeDocument/2006/relationships/hyperlink" Target="https://doi.org/10.4018/jswis.200908190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2026-02-27T21:11:23.380Z</dcterms:created>
  <dcterms:modified xsi:type="dcterms:W3CDTF">2026-02-27T21:11:23.380Z</dcterms:modified>
</cp:coreProperties>
</file>