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2B3C"/>
          <w:sz w:val="36"/>
          <w:szCs w:val="36"/>
        </w:rPr>
        <w:t xml:space="preserve">SFA_INDEX_READER Specification</w:t>
      </w:r>
    </w:p>
    <w:p>
      <w:pPr>
        <w:spacing w:after="60"/>
        <w:jc w:val="center"/>
      </w:pPr>
      <w:r>
        <w:rPr>
          <w:rFonts w:ascii="Arial" w:cs="Arial" w:eastAsia="Arial" w:hAnsi="Arial"/>
          <w:b/>
          <w:bCs/>
          <w:color w:val="3D5A80"/>
          <w:sz w:val="28"/>
          <w:szCs w:val="28"/>
        </w:rPr>
        <w:t xml:space="preserve">ADDENDUM: Two-Pass Extraction Architecture</w:t>
      </w:r>
    </w:p>
    <w:p>
      <w:pPr>
        <w:spacing w:after="60"/>
        <w:jc w:val="center"/>
      </w:pPr>
      <w:r>
        <w:rPr>
          <w:rFonts w:ascii="Arial" w:cs="Arial" w:eastAsia="Arial" w:hAnsi="Arial"/>
          <w:i/>
          <w:iCs/>
          <w:color w:val="666666"/>
          <w:sz w:val="22"/>
          <w:szCs w:val="22"/>
        </w:rPr>
        <w:t xml:space="preserve">ADR-008: Predicate-Dropped Co-Occurrence Layer</w:t>
      </w:r>
    </w:p>
    <w:p>
      <w:pPr>
        <w:spacing w:after="240"/>
        <w:jc w:val="center"/>
      </w:pPr>
      <w:r>
        <w:rPr>
          <w:rFonts w:ascii="Arial" w:cs="Arial" w:eastAsia="Arial" w:hAnsi="Arial"/>
          <w:color w:val="999999"/>
          <w:sz w:val="20"/>
          <w:szCs w:val="20"/>
        </w:rPr>
        <w:t xml:space="preserve">Version 1.1  |  March 2026</w:t>
      </w:r>
    </w:p>
    <w:p>
      <w:pPr>
        <w:pBdr>
          <w:bottom w:val="single" w:color="2B3A4A" w:sz="6" w:space="1"/>
        </w:pBdr>
        <w:spacing w:after="300"/>
      </w:pPr>
    </w:p>
    <w:p>
      <w:pPr>
        <w:pStyle w:val="Heading1"/>
        <w:spacing w:after="120" w:before="240"/>
      </w:pPr>
      <w:r>
        <w:rPr>
          <w:rFonts w:ascii="Arial" w:cs="Arial" w:eastAsia="Arial" w:hAnsi="Arial"/>
        </w:rPr>
        <w:t xml:space="preserve">13. Two-Pass Extraction Architecture</w:t>
      </w:r>
    </w:p>
    <w:p>
      <w:pPr>
        <w:pStyle w:val="Heading2"/>
        <w:spacing w:after="120" w:before="240"/>
      </w:pPr>
      <w:r>
        <w:rPr>
          <w:rFonts w:ascii="Arial" w:cs="Arial" w:eastAsia="Arial" w:hAnsi="Arial"/>
        </w:rPr>
        <w:t xml:space="preserve">13.1. The Core Insight</w:t>
      </w:r>
    </w:p>
    <w:p>
      <w:pPr>
        <w:spacing w:after="120" w:before="120"/>
      </w:pPr>
      <w:r>
        <w:rPr>
          <w:rFonts w:ascii="Arial" w:cs="Arial" w:eastAsia="Arial" w:hAnsi="Arial"/>
          <w:b w:val="false"/>
          <w:bCs w:val="false"/>
          <w:i w:val="false"/>
          <w:iCs w:val="false"/>
          <w:color w:val="333333"/>
          <w:sz w:val="22"/>
          <w:szCs w:val="22"/>
        </w:rPr>
        <w:t xml:space="preserve">Every text assertion, when read as subject-predicate-object, contains three layers of information density. If the predicate is dropped, what remains is a subject-to-object link: a pure co-occurrence signal. The predicate layer refines this link by classifying the nature of the relationship. The qualification layer adds provenance, temporal bounds, confidence scores, and facet assignment.</w:t>
      </w:r>
    </w:p>
    <w:p>
      <w:pPr>
        <w:spacing w:after="120" w:before="120"/>
      </w:pPr>
      <w:r>
        <w:rPr>
          <w:rFonts w:ascii="Arial" w:cs="Arial" w:eastAsia="Arial" w:hAnsi="Arial"/>
          <w:b w:val="false"/>
          <w:bCs w:val="false"/>
          <w:i w:val="false"/>
          <w:iCs w:val="false"/>
          <w:color w:val="333333"/>
          <w:sz w:val="22"/>
          <w:szCs w:val="22"/>
        </w:rPr>
        <w:t xml:space="preserve">This decomposition has a critical consequence: the cheapest signal (co-occurrence) is extractable at massive scale using only Named Entity Recognition, without any relationship extraction or natural language understanding. The most expensive signal (fully qualified claims) requires the full pipeline. Building the graph incrementally from Layer 0 upward means the agent can produce useful structure immediately and refine it over time.</w:t>
      </w:r>
    </w:p>
    <w:p>
      <w:pPr>
        <w:pStyle w:val="Heading2"/>
        <w:spacing w:after="120" w:before="240"/>
      </w:pPr>
      <w:r>
        <w:rPr>
          <w:rFonts w:ascii="Arial" w:cs="Arial" w:eastAsia="Arial" w:hAnsi="Arial"/>
        </w:rPr>
        <w:t xml:space="preserve">13.2. Three Extraction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560"/>
        <w:gridCol w:w="2400"/>
      </w:tblGrid>
      <w:tr>
        <w:tc>
          <w:tcPr>
            <w:tcW w:type="dxa" w:w="1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Signal Type</w:t>
            </w:r>
          </w:p>
        </w:tc>
        <w:tc>
          <w:tcPr>
            <w:tcW w:type="dxa" w:w="1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15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4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CIDOC Coverage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Co-Occurrence (S ↔ 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0.30 – 0.40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Very Low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P140 + P141 only</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1</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Typed Predicate (S → P → O)</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0.50 – 0.70</w:t>
            </w:r>
          </w:p>
        </w:tc>
        <w:tc>
          <w:tcPr>
            <w:tcW w:type="dxa" w:w="1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Medium</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P140 + P141 + P177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Qualified (S → P → O + Provenance)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0.70 – 0.82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High</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E13 + I2 + I5/I7</w:t>
            </w:r>
          </w:p>
        </w:tc>
      </w:tr>
    </w:tbl>
    <w:p>
      <w:pPr>
        <w:spacing w:after="120" w:before="200"/>
      </w:pPr>
      <w:r>
        <w:rPr>
          <w:rFonts w:ascii="Arial" w:cs="Arial" w:eastAsia="Arial" w:hAnsi="Arial"/>
          <w:b w:val="false"/>
          <w:bCs w:val="false"/>
          <w:i w:val="false"/>
          <w:iCs w:val="false"/>
          <w:color w:val="333333"/>
          <w:sz w:val="22"/>
          <w:szCs w:val="22"/>
        </w:rPr>
        <w:t xml:space="preserve">Layer 0 maps to CIDOC-CRM P140 (assigned attribute to) + P141 (assigned) without P177 (assigned property type). This is precisely what Wikidata can express. Layer 1 adds P177, which has no Wikidata equivalent. This decomposition explains exactly where Chrystallum adds value over Wikidata: the predicate type and everything above it.</w:t>
      </w:r>
    </w:p>
    <w:p>
      <w:pPr>
        <w:pStyle w:val="Heading2"/>
        <w:spacing w:after="120" w:before="240"/>
      </w:pPr>
      <w:r>
        <w:rPr>
          <w:rFonts w:ascii="Arial" w:cs="Arial" w:eastAsia="Arial" w:hAnsi="Arial"/>
        </w:rPr>
        <w:t xml:space="preserve">13.3. The Two-Pass Architecture</w:t>
      </w:r>
    </w:p>
    <w:p>
      <w:pPr>
        <w:pStyle w:val="Heading3"/>
        <w:spacing w:after="120" w:before="240"/>
      </w:pPr>
      <w:r>
        <w:rPr>
          <w:rFonts w:ascii="Arial" w:cs="Arial" w:eastAsia="Arial" w:hAnsi="Arial"/>
        </w:rPr>
        <w:t xml:space="preserve">13.3.1. Pass 1: Co-Occurrence Extraction (Fast, Cheap, High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Input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OCR text with entity boundaries</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NLP Required</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Named Entity Recognition only. No relationship extraction.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Output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ScaffoldNode per entity + CO_OCCURS_WITH ScaffoldEdge per co-occurring pair</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Confidence</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0.35 (base secondary_academic 0.825 minus co_occurrence_untyped modifier -0.40, capped at co-occurrence ceiling 0.40)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Yield per page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30–50 entities, 100–200 co-occurrence edges</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Frontier Discovery</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Entities co-occurring with known graph entities but not yet in graph are frontier candidates. Ranked by connection_strength (number of known co-occurrence partners).</w:t>
            </w:r>
          </w:p>
        </w:tc>
      </w:tr>
    </w:tbl>
    <w:p>
      <w:pPr>
        <w:spacing w:after="120" w:before="200"/>
      </w:pPr>
      <w:r>
        <w:rPr>
          <w:rFonts w:ascii="Arial" w:cs="Arial" w:eastAsia="Arial" w:hAnsi="Arial"/>
          <w:b w:val="false"/>
          <w:bCs w:val="false"/>
          <w:i w:val="false"/>
          <w:iCs w:val="false"/>
          <w:color w:val="333333"/>
          <w:sz w:val="22"/>
          <w:szCs w:val="22"/>
        </w:rPr>
        <w:t xml:space="preserve">Pass 1 operates on a single index page in under a second. For each index entry, it identifies the headword entity and every other entity mentioned (persons via name patterns, places, offices, events). Every pair within the same entry becomes a CO_OCCURS_WITH edge. No attempt is made to classify the nature of the relationship.</w:t>
      </w:r>
    </w:p>
    <w:p>
      <w:pPr>
        <w:pStyle w:val="Heading3"/>
        <w:spacing w:after="120" w:before="240"/>
      </w:pPr>
      <w:r>
        <w:rPr>
          <w:rFonts w:ascii="Arial" w:cs="Arial" w:eastAsia="Arial" w:hAnsi="Arial"/>
        </w:rPr>
        <w:t xml:space="preserve">13.3.2. Pass 2: Predicate Classification (Slower,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5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Input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CO_OCCURS_WITH ScaffoldEdges with extraction_context (raw text)</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NLP Required</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Relationship extraction: pattern matching against qualifier phrase dictionary, office abbreviation parser, structural analysis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Decision Table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D15 (Predicate Refinement) — 5 rules governing Layer 0 → Layer 1 upgrade</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Output</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Typed ScaffoldEdge (ALLIED_WITH, SPOUSE_OF, etc.) + Claim with confidence + provenance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Confidence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0.50–0.82 depending on classification certainty and cross-source validation</w:t>
            </w:r>
          </w:p>
        </w:tc>
      </w:tr>
      <w:tr>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Yield per page</w:t>
            </w:r>
          </w:p>
        </w:tc>
        <w:tc>
          <w:tcPr>
            <w:tcW w:type="dxa" w:w="6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30–70 refined typed edges, 30–130 retained as Layer 0</w:t>
            </w:r>
          </w:p>
        </w:tc>
      </w:tr>
    </w:tbl>
    <w:p>
      <w:pPr>
        <w:spacing w:after="120" w:before="200"/>
      </w:pPr>
      <w:r>
        <w:rPr>
          <w:rFonts w:ascii="Arial" w:cs="Arial" w:eastAsia="Arial" w:hAnsi="Arial"/>
          <w:b w:val="false"/>
          <w:bCs w:val="false"/>
          <w:i w:val="false"/>
          <w:iCs w:val="false"/>
          <w:color w:val="333333"/>
          <w:sz w:val="22"/>
          <w:szCs w:val="22"/>
        </w:rPr>
        <w:t xml:space="preserve">Not every CO_OCCURS_WITH edge will be refined. Entities sharing a page reference but lacking a qualifying phrase remain at Layer 0. This is correct behavior: the co-occurrence signal is real and useful even without a typed predicate. The graph grows from the bottom up.</w:t>
      </w:r>
    </w:p>
    <w:p>
      <w:pPr>
        <w:pStyle w:val="Heading2"/>
        <w:spacing w:after="120" w:before="240"/>
      </w:pPr>
      <w:r>
        <w:rPr>
          <w:rFonts w:ascii="Arial" w:cs="Arial" w:eastAsia="Arial" w:hAnsi="Arial"/>
        </w:rPr>
        <w:t xml:space="preserve">13.4. D15 Predicate Refinement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360"/>
        <w:gridCol w:w="2000"/>
      </w:tblGrid>
      <w:tr>
        <w:tc>
          <w:tcPr>
            <w:tcW w:type="dxa" w:w="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3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3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R01</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Qualifier phrase matches relationship pattern dictionary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Classify to matched kernel type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+0.20</w:t>
            </w:r>
          </w:p>
        </w:tc>
      </w:tr>
      <w:tr>
        <w:tc>
          <w:tcPr>
            <w:tcW w:type="dxa" w:w="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R02</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Office abbreviation + year pattern detected</w:t>
            </w:r>
          </w:p>
        </w:tc>
        <w:tc>
          <w:tcPr>
            <w:tcW w:type="dxa" w:w="3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Create POSITION_HELD with temporal anchor</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+0.25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R03</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Entities share gentilicial index headword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Create MEMBER_OF_GENS for both</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+0.15</w:t>
            </w:r>
          </w:p>
        </w:tc>
      </w:tr>
      <w:tr>
        <w:tc>
          <w:tcPr>
            <w:tcW w:type="dxa" w:w="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R04</w:t>
            </w:r>
          </w:p>
        </w:tc>
        <w:tc>
          <w:tcPr>
            <w:tcW w:type="dxa" w:w="3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 shared page references in same work</w:t>
            </w:r>
          </w:p>
        </w:tc>
        <w:tc>
          <w:tcPr>
            <w:tcW w:type="dxa" w:w="3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Apply multi_source_agreement modifier, flag for priority</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+0.05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R05</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No pattern match (default)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Retain as CO_OCCURS_WITH at Layer 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No change</w:t>
            </w:r>
          </w:p>
        </w:tc>
      </w:tr>
    </w:tbl>
    <w:p>
      <w:pPr>
        <w:pStyle w:val="Heading2"/>
        <w:spacing w:after="120" w:before="240"/>
      </w:pPr>
      <w:r>
        <w:rPr>
          <w:rFonts w:ascii="Arial" w:cs="Arial" w:eastAsia="Arial" w:hAnsi="Arial"/>
        </w:rPr>
        <w:t xml:space="preserve">13.5. Worked Example: Syme Index Entry</w:t>
      </w:r>
    </w:p>
    <w:p>
      <w:pPr>
        <w:spacing w:after="120" w:before="120"/>
      </w:pPr>
      <w:r>
        <w:rPr>
          <w:rFonts w:ascii="Arial" w:cs="Arial" w:eastAsia="Arial" w:hAnsi="Arial"/>
          <w:b w:val="false"/>
          <w:bCs w:val="false"/>
          <w:i/>
          <w:iCs/>
          <w:color w:val="333333"/>
          <w:sz w:val="22"/>
          <w:szCs w:val="22"/>
        </w:rPr>
        <w:t xml:space="preserve">Source text: "Aemilius Lepidus, M. (cos. 46 B.C.), 69, 94, 96 f., 109 f., 167, 192, 259, 270; in alliance with Antonius, 109; proscribes his brother, 192; pontifex maximus, 167; his fall, 270; his character, 259."</w:t>
      </w:r>
    </w:p>
    <w:p>
      <w:pPr>
        <w:pStyle w:val="Heading3"/>
        <w:spacing w:after="120" w:before="240"/>
      </w:pPr>
      <w:r>
        <w:rPr>
          <w:rFonts w:ascii="Arial" w:cs="Arial" w:eastAsia="Arial" w:hAnsi="Arial"/>
        </w:rPr>
        <w:t xml:space="preserve">Pass 1 Output (Layer 0)</w:t>
      </w:r>
    </w:p>
    <w:p>
      <w:pPr>
        <w:spacing w:after="120" w:before="120"/>
      </w:pPr>
      <w:r>
        <w:rPr>
          <w:rFonts w:ascii="Arial" w:cs="Arial" w:eastAsia="Arial" w:hAnsi="Arial"/>
          <w:b w:val="false"/>
          <w:bCs w:val="false"/>
          <w:i w:val="false"/>
          <w:iCs w:val="false"/>
          <w:color w:val="333333"/>
          <w:sz w:val="22"/>
          <w:szCs w:val="22"/>
        </w:rPr>
        <w:t xml:space="preserve">Entities detected: Aemilius Lepidus (M.), Antonius, [unresolved: "his brother"], pontifex maximus, Actium (from page context)</w:t>
      </w:r>
    </w:p>
    <w:p>
      <w:pPr>
        <w:spacing w:after="120" w:before="120"/>
      </w:pPr>
      <w:r>
        <w:rPr>
          <w:rFonts w:ascii="Arial" w:cs="Arial" w:eastAsia="Arial" w:hAnsi="Arial"/>
          <w:b w:val="false"/>
          <w:bCs w:val="false"/>
          <w:i w:val="false"/>
          <w:iCs w:val="false"/>
          <w:color w:val="333333"/>
          <w:sz w:val="22"/>
          <w:szCs w:val="22"/>
        </w:rPr>
        <w:t xml:space="preserve">CO_OCCURS_WITH edges: Lepidus ↔ Antonius, Lepidus ↔ pontifex maximus, Lepidus ↔ [brother], Lepidus ↔ Actium. All at confidence 0.35. Time: &lt;100ms.</w:t>
      </w:r>
    </w:p>
    <w:p>
      <w:pPr>
        <w:pStyle w:val="Heading3"/>
        <w:spacing w:after="120" w:before="240"/>
      </w:pPr>
      <w:r>
        <w:rPr>
          <w:rFonts w:ascii="Arial" w:cs="Arial" w:eastAsia="Arial" w:hAnsi="Arial"/>
        </w:rPr>
        <w:t xml:space="preserve">Pass 2 Output (Layers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c>
          <w:tcPr>
            <w:tcW w:type="dxa" w:w="16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20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20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Predicate</w:t>
            </w:r>
          </w:p>
        </w:tc>
        <w:tc>
          <w:tcPr>
            <w:tcW w:type="dxa" w:w="18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Object</w:t>
            </w:r>
          </w:p>
        </w:tc>
        <w:tc>
          <w:tcPr>
            <w:tcW w:type="dxa" w:w="19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R02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Lepidus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POSITION_HELD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consul (-46)</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0.82 (ceiling)</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R01</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Lepidus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ALLIED_WITH</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Antonius</w:t>
            </w:r>
          </w:p>
        </w:tc>
        <w:tc>
          <w:tcPr>
            <w:tcW w:type="dxa" w:w="19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0.72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R01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Lepidus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PROSCRIBED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[brother]</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0.62 (-0.10 unresolved)</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R01</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Lepidus</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HELD_PRIESTHOOD</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pontifex maximus</w:t>
            </w:r>
          </w:p>
        </w:tc>
        <w:tc>
          <w:tcPr>
            <w:tcW w:type="dxa" w:w="19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0.72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R05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Lepidus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CO_OCCURS_WITH</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Actium</w:t>
            </w:r>
          </w:p>
        </w:tc>
        <w:tc>
          <w:tcPr>
            <w:tcW w:type="dxa" w:w="1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0.35 (retained L0)</w:t>
            </w:r>
          </w:p>
        </w:tc>
      </w:tr>
    </w:tbl>
    <w:p>
      <w:pPr>
        <w:spacing w:after="120" w:before="200"/>
      </w:pPr>
      <w:r>
        <w:rPr>
          <w:rFonts w:ascii="Arial" w:cs="Arial" w:eastAsia="Arial" w:hAnsi="Arial"/>
          <w:b w:val="false"/>
          <w:bCs w:val="false"/>
          <w:i w:val="false"/>
          <w:iCs w:val="false"/>
          <w:color w:val="333333"/>
          <w:sz w:val="22"/>
          <w:szCs w:val="22"/>
        </w:rPr>
        <w:t xml:space="preserve">From one index entry: 4 typed claims at Layer 1–2, 1 retained co-occurrence at Layer 0, 1 unresolved entity placeholder. The Lepidus ↔ Actium co-occurrence stays at Layer 0 because no qualifier phrase specifies the relationship. A future body-text pass on pages 270, 276 could refine it.</w:t>
      </w:r>
    </w:p>
    <w:p>
      <w:r>
        <w:br w:type="page"/>
      </w:r>
    </w:p>
    <w:p>
      <w:pPr>
        <w:pStyle w:val="Heading1"/>
        <w:spacing w:after="120" w:before="240"/>
      </w:pPr>
      <w:r>
        <w:rPr>
          <w:rFonts w:ascii="Arial" w:cs="Arial" w:eastAsia="Arial" w:hAnsi="Arial"/>
        </w:rPr>
        <w:t xml:space="preserve">14. CO_OCCURS_WITH Meta-Relationship Specification</w:t>
      </w:r>
    </w:p>
    <w:p>
      <w:pPr>
        <w:pStyle w:val="Heading2"/>
        <w:spacing w:after="120" w:before="240"/>
      </w:pPr>
      <w:r>
        <w:rPr>
          <w:rFonts w:ascii="Arial" w:cs="Arial" w:eastAsia="Arial" w:hAnsi="Arial"/>
        </w:rPr>
        <w:t xml:space="preserve">14.1.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3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Relationship Name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CO_OCCURS_WITH</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Type</w:t>
            </w:r>
          </w:p>
        </w:tc>
        <w:tc>
          <w:tcPr>
            <w:tcW w:type="dxa" w:w="6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Meta-relationship (is_meta = true)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Extraction Layer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 (predicate dropped)</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Domain / Range</w:t>
            </w:r>
          </w:p>
        </w:tc>
        <w:tc>
          <w:tcPr>
            <w:tcW w:type="dxa" w:w="6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Entity ↔ Entity (symmetric, undirected)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Facet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None (pre-facet classification)</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Confidence Ceiling</w:t>
            </w:r>
          </w:p>
        </w:tc>
        <w:tc>
          <w:tcPr>
            <w:tcW w:type="dxa" w:w="6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0.40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CIDOC-CRM</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E13 Attribute Assignment without P177 (assigned property type)</w:t>
            </w:r>
          </w:p>
        </w:tc>
      </w:tr>
      <w:tr>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Wikidata Expressible</w:t>
            </w:r>
          </w:p>
        </w:tc>
        <w:tc>
          <w:tcPr>
            <w:tcW w:type="dxa" w:w="6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Yes — this is the layer Wikidata CAN express (P140 + P141 only)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Kernel Status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Meta-type. Not one of the 48 semantic relationship types. Exists to be refined INTO kernel types.</w:t>
            </w:r>
          </w:p>
        </w:tc>
      </w:tr>
    </w:tbl>
    <w:p>
      <w:pPr>
        <w:pStyle w:val="Heading2"/>
        <w:spacing w:after="120" w:before="240"/>
      </w:pPr>
      <w:r>
        <w:rPr>
          <w:rFonts w:ascii="Arial" w:cs="Arial" w:eastAsia="Arial" w:hAnsi="Arial"/>
        </w:rPr>
        <w:t xml:space="preserve">14.2. Required Properties on ScaffoldEdge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relationship_type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'CO_OCCURS_WITH'</w:t>
            </w:r>
          </w:p>
        </w:tc>
      </w:tr>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extraction_layer</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Integer</w:t>
            </w:r>
          </w:p>
        </w:tc>
        <w:tc>
          <w:tcPr>
            <w:tcW w:type="dxa" w:w="5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extraction_context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Raw OCR text of the shared context (index entry, sentence, paragraph)</w:t>
            </w:r>
          </w:p>
        </w:tc>
      </w:tr>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context_type</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String</w:t>
            </w:r>
          </w:p>
        </w:tc>
        <w:tc>
          <w:tcPr>
            <w:tcW w:type="dxa" w:w="5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One of: index_entry, same_sentence, same_paragraph, same_page, shared_bibliography, co_assignment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source_work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Wikidata QID of the source work (e.g., Q2163013)</w:t>
            </w:r>
          </w:p>
        </w:tc>
      </w:tr>
      <w:tr>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provenance_pages</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Array</w:t>
            </w:r>
          </w:p>
        </w:tc>
        <w:tc>
          <w:tcPr>
            <w:tcW w:type="dxa" w:w="53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Page numbers where co-occurrence was observed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refinement_status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String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'pending' | 'refined' | 'retained'. Tracks whether Pass 2 has been applied.</w:t>
            </w:r>
          </w:p>
        </w:tc>
      </w:tr>
    </w:tbl>
    <w:p>
      <w:pPr>
        <w:pStyle w:val="Heading2"/>
        <w:spacing w:after="120" w:before="240"/>
      </w:pPr>
      <w:r>
        <w:rPr>
          <w:rFonts w:ascii="Arial" w:cs="Arial" w:eastAsia="Arial" w:hAnsi="Arial"/>
        </w:rPr>
        <w:t xml:space="preserve">14.3. Frontier Discovery Query</w:t>
      </w:r>
    </w:p>
    <w:p>
      <w:pPr>
        <w:spacing w:after="120" w:before="120"/>
      </w:pPr>
      <w:r>
        <w:rPr>
          <w:rFonts w:ascii="Arial" w:cs="Arial" w:eastAsia="Arial" w:hAnsi="Arial"/>
          <w:b w:val="false"/>
          <w:bCs w:val="false"/>
          <w:i w:val="false"/>
          <w:iCs w:val="false"/>
          <w:color w:val="333333"/>
          <w:sz w:val="22"/>
          <w:szCs w:val="22"/>
        </w:rPr>
        <w:t xml:space="preserve">The highest-value output of Pass 1 is not the co-occurrence edges themselves but the frontier discovery they enable. The following query pattern identifies unknown entities with the most connections to the existing knowledge graph:</w:t>
      </w:r>
    </w:p>
    <w:p>
      <w:pPr>
        <w:spacing w:after="120" w:before="120"/>
      </w:pPr>
      <w:r>
        <w:rPr>
          <w:rFonts w:ascii="Arial" w:cs="Arial" w:eastAsia="Arial" w:hAnsi="Arial"/>
          <w:b w:val="false"/>
          <w:bCs w:val="false"/>
          <w:i/>
          <w:iCs/>
          <w:color w:val="333333"/>
          <w:sz w:val="20"/>
          <w:szCs w:val="20"/>
        </w:rPr>
        <w:t xml:space="preserve">MATCH (known)-[:CO_OCCURS_WITH]-&gt;(unknown:ScaffoldNode) WHERE known.entity_id IS NOT NULL AND unknown.entity_resolution_status = 'unresolved' RETURN unknown, count(known) AS connection_strength ORDER BY connection_strength DESC</w:t>
      </w:r>
    </w:p>
    <w:p>
      <w:pPr>
        <w:spacing w:after="120" w:before="120"/>
      </w:pPr>
      <w:r>
        <w:rPr>
          <w:rFonts w:ascii="Arial" w:cs="Arial" w:eastAsia="Arial" w:hAnsi="Arial"/>
          <w:b w:val="false"/>
          <w:bCs w:val="false"/>
          <w:i w:val="false"/>
          <w:iCs w:val="false"/>
          <w:color w:val="333333"/>
          <w:sz w:val="22"/>
          <w:szCs w:val="22"/>
        </w:rPr>
        <w:t xml:space="preserve">Entities returned by this query are priority targets for entity resolution. An unknown person who co-occurs with 15 known entities across 3 index entries is almost certainly a significant historical figure who should be resolved to a Wikidata QID and integrated into the canonical graph.</w:t>
      </w:r>
    </w:p>
    <w:p>
      <w:pPr>
        <w:pStyle w:val="Heading2"/>
        <w:spacing w:after="120" w:before="240"/>
      </w:pPr>
      <w:r>
        <w:rPr>
          <w:rFonts w:ascii="Arial" w:cs="Arial" w:eastAsia="Arial" w:hAnsi="Arial"/>
        </w:rPr>
        <w:t xml:space="preserve">14.4. CIDOC-CRM Alignment</w:t>
      </w:r>
    </w:p>
    <w:p>
      <w:pPr>
        <w:spacing w:after="120" w:before="120"/>
      </w:pPr>
      <w:r>
        <w:rPr>
          <w:rFonts w:ascii="Arial" w:cs="Arial" w:eastAsia="Arial" w:hAnsi="Arial"/>
          <w:b w:val="false"/>
          <w:bCs w:val="false"/>
          <w:i w:val="false"/>
          <w:iCs w:val="false"/>
          <w:color w:val="333333"/>
          <w:sz w:val="22"/>
          <w:szCs w:val="22"/>
        </w:rPr>
        <w:t xml:space="preserve">The three extraction layers map precisely onto the CIDOC-CRM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7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CIDOC Properties</w:t>
            </w:r>
          </w:p>
        </w:tc>
        <w:tc>
          <w:tcPr>
            <w:tcW w:type="dxa" w:w="27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Wikidata Equivalent</w:t>
            </w:r>
          </w:p>
        </w:tc>
        <w:tc>
          <w:tcPr>
            <w:tcW w:type="dxa" w:w="276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CRMinf Class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P140 + P141 (subject + object)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2E7D32"/>
                <w:sz w:val="20"/>
                <w:szCs w:val="20"/>
              </w:rPr>
              <w:t xml:space="preserve">YES: Wikidata statements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I2 Belief (weak)</w:t>
            </w:r>
          </w:p>
        </w:tc>
      </w:tr>
      <w:tr>
        <w:tc>
          <w:tcPr>
            <w:tcW w:type="dxa" w:w="1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i w:val="false"/>
                <w:iCs w:val="false"/>
                <w:color w:val="000000"/>
                <w:sz w:val="20"/>
                <w:szCs w:val="20"/>
              </w:rPr>
              <w:t xml:space="preserve">1</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P140 + P141 + P177 (+ predicate type)</w:t>
            </w:r>
          </w:p>
        </w:tc>
        <w:tc>
          <w:tcPr>
            <w:tcW w:type="dxa" w:w="27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C62828"/>
                <w:sz w:val="20"/>
                <w:szCs w:val="20"/>
              </w:rPr>
              <w:t xml:space="preserve">NO: P177 has no equivalent</w:t>
            </w:r>
          </w:p>
        </w:tc>
        <w:tc>
          <w:tcPr>
            <w:tcW w:type="dxa" w:w="27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I5 Inference Making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i w:val="false"/>
                <w:iCs w:val="false"/>
                <w:color w:val="000000"/>
                <w:sz w:val="20"/>
                <w:szCs w:val="20"/>
              </w:rPr>
              <w:t xml:space="preserve">2</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 E13 + I2 + I5/I7 + J-properties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C62828"/>
                <w:sz w:val="20"/>
                <w:szCs w:val="20"/>
              </w:rPr>
              <w:t xml:space="preserve">NO: I5, I6, inference chains</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I5 + I7 Belief Adoption</w:t>
            </w:r>
          </w:p>
        </w:tc>
      </w:tr>
    </w:tbl>
    <w:p>
      <w:pPr>
        <w:spacing w:after="120" w:before="200"/>
      </w:pPr>
      <w:r>
        <w:rPr>
          <w:rFonts w:ascii="Arial" w:cs="Arial" w:eastAsia="Arial" w:hAnsi="Arial"/>
          <w:b w:val="false"/>
          <w:bCs w:val="false"/>
          <w:i w:val="false"/>
          <w:iCs w:val="false"/>
          <w:color w:val="333333"/>
          <w:sz w:val="22"/>
          <w:szCs w:val="22"/>
        </w:rPr>
        <w:t xml:space="preserve">The boundary between Layer 0 and Layer 1 is precisely the boundary between what Wikidata can and cannot express. Chrystallum's value proposition starts at Layer 1.</w:t>
      </w:r>
    </w:p>
    <w:p>
      <w:pPr>
        <w:pStyle w:val="Heading2"/>
        <w:spacing w:after="120" w:before="240"/>
      </w:pPr>
      <w:r>
        <w:rPr>
          <w:rFonts w:ascii="Arial" w:cs="Arial" w:eastAsia="Arial" w:hAnsi="Arial"/>
        </w:rPr>
        <w:t xml:space="preserve">14.5. Yield Estimates with Two-Pass Architecture</w:t>
      </w:r>
    </w:p>
    <w:p>
      <w:pPr>
        <w:spacing w:after="120" w:before="120"/>
      </w:pPr>
      <w:r>
        <w:rPr>
          <w:rFonts w:ascii="Arial" w:cs="Arial" w:eastAsia="Arial" w:hAnsi="Arial"/>
          <w:b w:val="false"/>
          <w:bCs w:val="false"/>
          <w:i w:val="false"/>
          <w:iCs w:val="false"/>
          <w:color w:val="333333"/>
          <w:sz w:val="22"/>
          <w:szCs w:val="22"/>
        </w:rPr>
        <w:t xml:space="preserve">Revised yield estimates for Syme's Roman Revolution index (~25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Output Type</w:t>
            </w:r>
          </w:p>
        </w:tc>
        <w:tc>
          <w:tcPr>
            <w:tcW w:type="dxa" w:w="19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Per Page</w:t>
            </w:r>
          </w:p>
        </w:tc>
        <w:tc>
          <w:tcPr>
            <w:tcW w:type="dxa" w:w="19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Full Index</w:t>
            </w:r>
          </w:p>
        </w:tc>
        <w:tc>
          <w:tcPr>
            <w:tcW w:type="dxa" w:w="1920"/>
            <w:tcBorders>
              <w:top w:val="single" w:color="999999" w:sz="1"/>
              <w:left w:val="single" w:color="999999" w:sz="1"/>
              <w:bottom w:val="single" w:color="999999" w:sz="1"/>
              <w:right w:val="single" w:color="999999" w:sz="1"/>
            </w:tcBorders>
            <w:shd w:fill="2B3A4A" w:val="clear"/>
            <w:tcMar>
              <w:top w:type="dxa" w:w="60"/>
              <w:left w:type="dxa" w:w="100"/>
              <w:bottom w:type="dxa" w:w="60"/>
              <w:right w:type="dxa" w:w="100"/>
            </w:tcMar>
          </w:tcPr>
          <w:p>
            <w:r>
              <w:rPr>
                <w:rFonts w:ascii="Arial" w:cs="Arial" w:eastAsia="Arial" w:hAnsi="Arial"/>
                <w:b/>
                <w:bCs/>
                <w:color w:val="FFFFFF"/>
                <w:sz w:val="20"/>
                <w:szCs w:val="20"/>
              </w:rPr>
              <w:t xml:space="preserve">Layer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ScaffoldNode (entities)</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30–50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500–750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Pass 1</w:t>
            </w:r>
          </w:p>
        </w:tc>
      </w:tr>
      <w:tr>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CO_OCCURS_WITH edges</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100–200</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2,500–5,000</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Typed predicate edges</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30–70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750–1,750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w:t>
            </w:r>
          </w:p>
        </w:tc>
      </w:tr>
      <w:tr>
        <w:tc>
          <w:tcPr>
            <w:tcW w:type="dxa" w:w="3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Fully qualified Claims</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30–70</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750–1,750</w:t>
            </w:r>
          </w:p>
        </w:tc>
        <w:tc>
          <w:tcPr>
            <w:tcW w:type="dxa" w:w="19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2</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Retained Layer 0 edges</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30–130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1,000–3,250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0</w:t>
            </w:r>
          </w:p>
        </w:tc>
      </w:tr>
      <w:tr>
        <w:tc>
          <w:tcPr>
            <w:tcW w:type="dxa" w:w="360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Frontier candidates</w:t>
            </w:r>
          </w:p>
        </w:tc>
        <w:tc>
          <w:tcPr>
            <w:tcW w:type="dxa" w:w="192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5–15</w:t>
            </w:r>
          </w:p>
        </w:tc>
        <w:tc>
          <w:tcPr>
            <w:tcW w:type="dxa" w:w="192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50–150</w:t>
            </w:r>
          </w:p>
        </w:tc>
        <w:tc>
          <w:tcPr>
            <w:tcW w:type="dxa" w:w="1920"/>
            <w:tcBorders>
              <w:top w:val="single" w:color="999999" w:sz="1"/>
              <w:left w:val="single" w:color="999999" w:sz="1"/>
              <w:bottom w:val="single" w:color="999999" w:sz="1"/>
              <w:right w:val="single" w:color="999999" w:sz="1"/>
            </w:tcBorders>
            <w:shd w:fill="FFF3E0" w:val="clear"/>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Discovery</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SubjectConcept candidates</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3–10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30–80</w:t>
            </w:r>
          </w:p>
        </w:tc>
        <w:tc>
          <w:tcPr>
            <w:tcW w:type="dxa" w:w="1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0"/>
                <w:szCs w:val="20"/>
              </w:rPr>
              <w:t xml:space="preserve">1–2</w:t>
            </w:r>
          </w:p>
        </w:tc>
      </w:tr>
    </w:tbl>
    <w:p>
      <w:pPr>
        <w:spacing w:after="120" w:before="200"/>
      </w:pPr>
      <w:r>
        <w:rPr>
          <w:rFonts w:ascii="Arial" w:cs="Arial" w:eastAsia="Arial" w:hAnsi="Arial"/>
          <w:b w:val="false"/>
          <w:bCs w:val="false"/>
          <w:i w:val="false"/>
          <w:iCs w:val="false"/>
          <w:color w:val="333333"/>
          <w:sz w:val="22"/>
          <w:szCs w:val="22"/>
        </w:rPr>
        <w:t xml:space="preserve">The two-pass architecture roughly triples the total assertion output compared to the original single-pass design (from ~1,750 claims to ~1,750 typed claims + 1,000–3,250 co-occurrence signals + 50–150 frontier discoveries). The co-occurrence layer is free: it falls out of Pass 1 with no additional cost.</w:t>
      </w:r>
    </w:p>
    <w:p>
      <w:pPr>
        <w:pBdr>
          <w:bottom w:val="single" w:color="2B3A4A" w:sz="6" w:space="1"/>
        </w:pBdr>
        <w:spacing w:after="120" w:before="400"/>
      </w:pPr>
    </w:p>
    <w:p>
      <w:pPr>
        <w:jc w:val="center"/>
      </w:pPr>
      <w:r>
        <w:rPr>
          <w:rFonts w:ascii="Arial" w:cs="Arial" w:eastAsia="Arial" w:hAnsi="Arial"/>
          <w:i/>
          <w:iCs/>
          <w:color w:val="999999"/>
          <w:sz w:val="18"/>
          <w:szCs w:val="18"/>
        </w:rPr>
        <w:t xml:space="preserve">Chrystallum Project  |  SFA_INDEX_READER Spec v1.1 Addendum  |  ADR-008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3A4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2026-03-01T21:14:20.894Z</dcterms:created>
  <dcterms:modified xsi:type="dcterms:W3CDTF">2026-03-01T21:14:20.895Z</dcterms:modified>
</cp:coreProperties>
</file>

<file path=docProps/custom.xml><?xml version="1.0" encoding="utf-8"?>
<Properties xmlns="http://schemas.openxmlformats.org/officeDocument/2006/custom-properties" xmlns:vt="http://schemas.openxmlformats.org/officeDocument/2006/docPropsVTypes"/>
</file>