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B2A3D"/>
          <w:sz w:val="36"/>
          <w:szCs w:val="36"/>
        </w:rPr>
        <w:t xml:space="preserve">CHRYSTALLUM FOR OBSIDIAN</w:t>
      </w:r>
    </w:p>
    <w:p>
      <w:pPr>
        <w:spacing w:after="60" w:before="100"/>
        <w:jc w:val="center"/>
      </w:pPr>
      <w:r>
        <w:rPr>
          <w:rFonts w:ascii="Arial" w:cs="Arial" w:eastAsia="Arial" w:hAnsi="Arial"/>
          <w:b/>
          <w:bCs/>
          <w:color w:val="3D5A80"/>
          <w:sz w:val="26"/>
          <w:szCs w:val="26"/>
        </w:rPr>
        <w:t xml:space="preserve">Product Architecture: Obsidian + Zotero Integration</w:t>
      </w:r>
    </w:p>
    <w:p>
      <w:pPr>
        <w:spacing w:after="120" w:before="100"/>
        <w:jc w:val="center"/>
      </w:pPr>
      <w:r>
        <w:rPr>
          <w:rFonts w:ascii="Arial" w:cs="Arial" w:eastAsia="Arial" w:hAnsi="Arial"/>
          <w:i/>
          <w:iCs/>
          <w:color w:val="777777"/>
          <w:sz w:val="22"/>
          <w:szCs w:val="22"/>
        </w:rPr>
        <w:t xml:space="preserve">Structured Knowledge from Your Research Library</w:t>
      </w:r>
    </w:p>
    <w:p>
      <w:pPr>
        <w:spacing w:after="300" w:before="100"/>
        <w:jc w:val="center"/>
      </w:pPr>
      <w:r>
        <w:rPr>
          <w:rFonts w:ascii="Arial" w:cs="Arial" w:eastAsia="Arial" w:hAnsi="Arial"/>
          <w:color w:val="999999"/>
          <w:sz w:val="18"/>
          <w:szCs w:val="18"/>
        </w:rPr>
        <w:t xml:space="preserve">March 2026  |  Product Specification v1.0</w:t>
      </w:r>
    </w:p>
    <w:p>
      <w:pPr>
        <w:pBdr>
          <w:bottom w:val="single" w:color="1B2A3D" w:sz="4" w:space="1"/>
        </w:pBdr>
        <w:spacing w:after="200" w:before="200"/>
      </w:pPr>
    </w:p>
    <w:p>
      <w:pPr>
        <w:pStyle w:val="Heading1"/>
        <w:spacing w:after="120" w:before="280"/>
      </w:pPr>
      <w:r>
        <w:rPr>
          <w:rFonts w:ascii="Arial" w:cs="Arial" w:eastAsia="Arial" w:hAnsi="Arial"/>
        </w:rPr>
        <w:t xml:space="preserve">1. Market Opportunity</w:t>
      </w:r>
    </w:p>
    <w:p>
      <w:pPr>
        <w:pStyle w:val="Heading2"/>
        <w:spacing w:after="120" w:before="280"/>
      </w:pPr>
      <w:r>
        <w:rPr>
          <w:rFonts w:ascii="Arial" w:cs="Arial" w:eastAsia="Arial" w:hAnsi="Arial"/>
        </w:rPr>
        <w:t xml:space="preserve">1.1. The Ecosystem</w:t>
      </w:r>
    </w:p>
    <w:p>
      <w:pPr>
        <w:spacing w:after="100" w:before="100"/>
      </w:pPr>
      <w:r>
        <w:rPr>
          <w:rFonts w:ascii="Arial" w:cs="Arial" w:eastAsia="Arial" w:hAnsi="Arial"/>
          <w:color w:val="333333"/>
          <w:sz w:val="21"/>
          <w:szCs w:val="21"/>
        </w:rPr>
        <w:t xml:space="preserve">Obsidian has over 1 million active users building personal knowledge bases with bidirectional links. Zotero has over 12 million registered users managing academic references. The overlap between these populations is substantial and growing: researchers, PhD students, legal professionals, policy analysts, investigative journalists, and serious autodidacts who read deeply and need to track what they know across hundreds of sources.</w:t>
      </w:r>
    </w:p>
    <w:p>
      <w:pPr>
        <w:spacing w:after="100" w:before="100"/>
      </w:pPr>
      <w:r>
        <w:rPr>
          <w:rFonts w:ascii="Arial" w:cs="Arial" w:eastAsia="Arial" w:hAnsi="Arial"/>
          <w:color w:val="333333"/>
          <w:sz w:val="21"/>
          <w:szCs w:val="21"/>
        </w:rPr>
        <w:t xml:space="preserve">The current integration between Obsidian and Zotero (via plugins like Zotero Integration, Citations, and Zotlit) serves a single workflow: pulling bibliographic metadata and PDF annotations into Obsidian markdown notes. This is useful but shallow. The resulting vault contains notes about sources but not structured knowledge extracted from those sources.</w:t>
      </w:r>
    </w:p>
    <w:p>
      <w:pPr>
        <w:pStyle w:val="Heading2"/>
        <w:spacing w:after="120" w:before="280"/>
      </w:pPr>
      <w:r>
        <w:rPr>
          <w:rFonts w:ascii="Arial" w:cs="Arial" w:eastAsia="Arial" w:hAnsi="Arial"/>
        </w:rPr>
        <w:t xml:space="preserve">1.2. The Pain Point</w:t>
      </w:r>
    </w:p>
    <w:p>
      <w:pPr>
        <w:spacing w:after="100" w:before="100"/>
      </w:pPr>
      <w:r>
        <w:rPr>
          <w:rFonts w:ascii="Arial" w:cs="Arial" w:eastAsia="Arial" w:hAnsi="Arial"/>
          <w:color w:val="333333"/>
          <w:sz w:val="21"/>
          <w:szCs w:val="21"/>
        </w:rPr>
        <w:t xml:space="preserve">The fundamental problem is that the relationship between two pieces of knowledge exists only in the user's head. When a researcher reads Syme and notices he disagrees with Brunt about a historical question, the researcher must manually create a link, manually tag the nature of the disagreement, and manually remember that connection across months of research. At scale this is impossible. The result is one of two failure modes:</w:t>
      </w:r>
    </w:p>
    <w:p>
      <w:pPr>
        <w:pStyle w:val="ListParagraph"/>
        <w:numPr>
          <w:ilvl w:val="0"/>
          <w:numId w:val="2"/>
        </w:numPr>
        <w:spacing w:after="40" w:before="40"/>
      </w:pPr>
      <w:r>
        <w:rPr>
          <w:rFonts w:ascii="Arial" w:cs="Arial" w:eastAsia="Arial" w:hAnsi="Arial"/>
          <w:color w:val="333333"/>
          <w:sz w:val="20"/>
          <w:szCs w:val="20"/>
        </w:rPr>
        <w:t xml:space="preserve">Tag soup: hundreds of notes loosely connected by generic tags (#politics, #rome, #important) where the nature of the connection is invisible in the graph view</w:t>
      </w:r>
    </w:p>
    <w:p>
      <w:pPr>
        <w:pStyle w:val="ListParagraph"/>
        <w:numPr>
          <w:ilvl w:val="0"/>
          <w:numId w:val="2"/>
        </w:numPr>
        <w:spacing w:after="40" w:before="40"/>
      </w:pPr>
      <w:r>
        <w:rPr>
          <w:rFonts w:ascii="Arial" w:cs="Arial" w:eastAsia="Arial" w:hAnsi="Arial"/>
          <w:color w:val="333333"/>
          <w:sz w:val="20"/>
          <w:szCs w:val="20"/>
        </w:rPr>
        <w:t xml:space="preserve">Orphan knowledge: claims and observations buried in note prose that are never surfaced again because no structural connection exists to retrieve them</w:t>
      </w:r>
    </w:p>
    <w:p>
      <w:pPr>
        <w:spacing w:after="100" w:before="100"/>
      </w:pPr>
      <w:r>
        <w:rPr>
          <w:rFonts w:ascii="Arial" w:cs="Arial" w:eastAsia="Arial" w:hAnsi="Arial"/>
          <w:color w:val="333333"/>
          <w:sz w:val="21"/>
          <w:szCs w:val="21"/>
        </w:rPr>
        <w:t xml:space="preserve">Both modes mean the researcher's most valuable intellectual work — the connections, disagreements, and insights they notice while reading — is effectively lost.</w:t>
      </w:r>
    </w:p>
    <w:p>
      <w:pPr>
        <w:pStyle w:val="Heading2"/>
        <w:spacing w:after="120" w:before="280"/>
      </w:pPr>
      <w:r>
        <w:rPr>
          <w:rFonts w:ascii="Arial" w:cs="Arial" w:eastAsia="Arial" w:hAnsi="Arial"/>
        </w:rPr>
        <w:t xml:space="preserve">1.3. Why Now</w:t>
      </w:r>
    </w:p>
    <w:p>
      <w:pPr>
        <w:pStyle w:val="ListParagraph"/>
        <w:numPr>
          <w:ilvl w:val="0"/>
          <w:numId w:val="2"/>
        </w:numPr>
        <w:spacing w:after="40" w:before="40"/>
      </w:pPr>
      <w:r>
        <w:rPr>
          <w:rFonts w:ascii="Arial" w:cs="Arial" w:eastAsia="Arial" w:hAnsi="Arial"/>
          <w:color w:val="333333"/>
          <w:sz w:val="20"/>
          <w:szCs w:val="20"/>
        </w:rPr>
        <w:t xml:space="preserve">LLMs can now extract named entities and classify relationships from natural language at low cost</w:t>
      </w:r>
    </w:p>
    <w:p>
      <w:pPr>
        <w:pStyle w:val="ListParagraph"/>
        <w:numPr>
          <w:ilvl w:val="0"/>
          <w:numId w:val="2"/>
        </w:numPr>
        <w:spacing w:after="40" w:before="40"/>
      </w:pPr>
      <w:r>
        <w:rPr>
          <w:rFonts w:ascii="Arial" w:cs="Arial" w:eastAsia="Arial" w:hAnsi="Arial"/>
          <w:color w:val="333333"/>
          <w:sz w:val="20"/>
          <w:szCs w:val="20"/>
        </w:rPr>
        <w:t xml:space="preserve">Open scholarly APIs (OpenAlex, Open Library, Open Syllabus) make bibliographic enrichment free and instant</w:t>
      </w:r>
    </w:p>
    <w:p>
      <w:pPr>
        <w:pStyle w:val="ListParagraph"/>
        <w:numPr>
          <w:ilvl w:val="0"/>
          <w:numId w:val="2"/>
        </w:numPr>
        <w:spacing w:after="40" w:before="40"/>
      </w:pPr>
      <w:r>
        <w:rPr>
          <w:rFonts w:ascii="Arial" w:cs="Arial" w:eastAsia="Arial" w:hAnsi="Arial"/>
          <w:color w:val="333333"/>
          <w:sz w:val="20"/>
          <w:szCs w:val="20"/>
        </w:rPr>
        <w:t xml:space="preserve">Obsidian's plugin architecture supports complex TypeScript plugins with custom views and graph extensions</w:t>
      </w:r>
    </w:p>
    <w:p>
      <w:pPr>
        <w:pStyle w:val="ListParagraph"/>
        <w:numPr>
          <w:ilvl w:val="0"/>
          <w:numId w:val="2"/>
        </w:numPr>
        <w:spacing w:after="40" w:before="40"/>
      </w:pPr>
      <w:r>
        <w:rPr>
          <w:rFonts w:ascii="Arial" w:cs="Arial" w:eastAsia="Arial" w:hAnsi="Arial"/>
          <w:color w:val="333333"/>
          <w:sz w:val="20"/>
          <w:szCs w:val="20"/>
        </w:rPr>
        <w:t xml:space="preserve">The CIDOC-CRM and CRMinf ontology standards provide a formal foundation that makes the system interoperable with museum and archive systems worldwide</w:t>
      </w:r>
    </w:p>
    <w:p>
      <w:pPr>
        <w:pStyle w:val="ListParagraph"/>
        <w:numPr>
          <w:ilvl w:val="0"/>
          <w:numId w:val="2"/>
        </w:numPr>
        <w:spacing w:after="40" w:before="40"/>
      </w:pPr>
      <w:r>
        <w:rPr>
          <w:rFonts w:ascii="Arial" w:cs="Arial" w:eastAsia="Arial" w:hAnsi="Arial"/>
          <w:color w:val="333333"/>
          <w:sz w:val="20"/>
          <w:szCs w:val="20"/>
        </w:rPr>
        <w:t xml:space="preserve">No existing tool occupies this niche: structured epistemological tracking for personal research</w:t>
      </w:r>
    </w:p>
    <w:p>
      <w:pPr>
        <w:pStyle w:val="Heading2"/>
        <w:spacing w:after="120" w:before="280"/>
      </w:pPr>
      <w:r>
        <w:rPr>
          <w:rFonts w:ascii="Arial" w:cs="Arial" w:eastAsia="Arial" w:hAnsi="Arial"/>
        </w:rPr>
        <w:t xml:space="preserve">1.4. Market Size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40"/>
      </w:tblGrid>
      <w:tr>
        <w:tc>
          <w:tcPr>
            <w:tcW w:type="dxa" w:w="3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Segment</w:t>
            </w:r>
          </w:p>
        </w:tc>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Est. Users</w:t>
            </w:r>
          </w:p>
        </w:tc>
        <w:tc>
          <w:tcPr>
            <w:tcW w:type="dxa" w:w="41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Willingness to Pay</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PhD students &amp; postdocs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2–3M globally</w:t>
            </w:r>
          </w:p>
        </w:tc>
        <w:tc>
          <w:tcPr>
            <w:tcW w:type="dxa" w:w="41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$5–15/mo (limited budgets, high need)</w:t>
            </w:r>
          </w:p>
        </w:tc>
      </w:tr>
      <w:tr>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Faculty researchers</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1–2M</w:t>
            </w:r>
          </w:p>
        </w:tc>
        <w:tc>
          <w:tcPr>
            <w:tcW w:type="dxa" w:w="41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$10–25/mo (grant-funded, high value per hour saved)</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Legal researchers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500K–1M</w:t>
            </w:r>
          </w:p>
        </w:tc>
        <w:tc>
          <w:tcPr>
            <w:tcW w:type="dxa" w:w="41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$20–50/mo (billable hours justify any tool cost)</w:t>
            </w:r>
          </w:p>
        </w:tc>
      </w:tr>
      <w:tr>
        <w:tc>
          <w:tcPr>
            <w:tcW w:type="dxa" w:w="3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Policy analysts / think tanks</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200–500K</w:t>
            </w:r>
          </w:p>
        </w:tc>
        <w:tc>
          <w:tcPr>
            <w:tcW w:type="dxa" w:w="41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$15–30/mo (team licenses via institutions)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Serious autodidacts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1–3M</w:t>
            </w:r>
          </w:p>
        </w:tc>
        <w:tc>
          <w:tcPr>
            <w:tcW w:type="dxa" w:w="41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$5–12/mo (passion-driven, community-oriented)</w:t>
            </w:r>
          </w:p>
        </w:tc>
      </w:tr>
    </w:tbl>
    <w:p>
      <w:r>
        <w:br w:type="page"/>
      </w:r>
    </w:p>
    <w:p>
      <w:pPr>
        <w:pStyle w:val="Heading1"/>
        <w:spacing w:after="120" w:before="280"/>
      </w:pPr>
      <w:r>
        <w:rPr>
          <w:rFonts w:ascii="Arial" w:cs="Arial" w:eastAsia="Arial" w:hAnsi="Arial"/>
        </w:rPr>
        <w:t xml:space="preserve">2. User Personas</w:t>
      </w:r>
    </w:p>
    <w:p>
      <w:pPr>
        <w:pStyle w:val="Heading2"/>
        <w:spacing w:after="120" w:before="280"/>
      </w:pPr>
      <w:r>
        <w:rPr>
          <w:rFonts w:ascii="Arial" w:cs="Arial" w:eastAsia="Arial" w:hAnsi="Arial"/>
        </w:rPr>
        <w:t xml:space="preserve">2.1. Elena — The Dissertation Writer</w:t>
      </w:r>
    </w:p>
    <w:p>
      <w:pPr>
        <w:spacing w:after="100" w:before="100"/>
      </w:pPr>
      <w:r>
        <w:rPr>
          <w:rFonts w:ascii="Arial" w:cs="Arial" w:eastAsia="Arial" w:hAnsi="Arial"/>
          <w:color w:val="333333"/>
          <w:sz w:val="21"/>
          <w:szCs w:val="21"/>
        </w:rPr>
        <w:t xml:space="preserve">PhD student in History, 3rd year. Has 400+ Zotero items organized into 12 collections. Reads 3–5 articles per week and takes detailed annotations. Her problem: she remembers that "someone disagreed with Syme about the Triumviral period" but cannot find which note, which author, or which specific claim. She has tried Dataview queries but they only find metadata, not knowledge relationships. She needs: entity extraction across her vault, automatic co-occurrence detection, and a claim tracker that surfaces scholarly disagreements.</w:t>
      </w:r>
    </w:p>
    <w:p>
      <w:pPr>
        <w:pStyle w:val="Heading2"/>
        <w:spacing w:after="120" w:before="280"/>
      </w:pPr>
      <w:r>
        <w:rPr>
          <w:rFonts w:ascii="Arial" w:cs="Arial" w:eastAsia="Arial" w:hAnsi="Arial"/>
        </w:rPr>
        <w:t xml:space="preserve">2.2. Marcus — The Systematic Reviewer</w:t>
      </w:r>
    </w:p>
    <w:p>
      <w:pPr>
        <w:spacing w:after="100" w:before="100"/>
      </w:pPr>
      <w:r>
        <w:rPr>
          <w:rFonts w:ascii="Arial" w:cs="Arial" w:eastAsia="Arial" w:hAnsi="Arial"/>
          <w:color w:val="333333"/>
          <w:sz w:val="21"/>
          <w:szCs w:val="21"/>
        </w:rPr>
        <w:t xml:space="preserve">Postdoc in Public Health. Conducting a systematic review of 200+ papers on vaccine hesitancy interventions. Uses Zotero for reference management and Obsidian for synthesis notes. His problem: tracking which papers support vs. contradict each other's findings, which populations were studied, and which interventions were tested. He needs: structured claim extraction from abstracts, automatic detection of supporting/contradicting evidence, and a matrix view showing claim coverage across sources.</w:t>
      </w:r>
    </w:p>
    <w:p>
      <w:pPr>
        <w:pStyle w:val="Heading2"/>
        <w:spacing w:after="120" w:before="280"/>
      </w:pPr>
      <w:r>
        <w:rPr>
          <w:rFonts w:ascii="Arial" w:cs="Arial" w:eastAsia="Arial" w:hAnsi="Arial"/>
        </w:rPr>
        <w:t xml:space="preserve">2.3. Diana — The Legal Researcher</w:t>
      </w:r>
    </w:p>
    <w:p>
      <w:pPr>
        <w:spacing w:after="100" w:before="100"/>
      </w:pPr>
      <w:r>
        <w:rPr>
          <w:rFonts w:ascii="Arial" w:cs="Arial" w:eastAsia="Arial" w:hAnsi="Arial"/>
          <w:color w:val="333333"/>
          <w:sz w:val="21"/>
          <w:szCs w:val="21"/>
        </w:rPr>
        <w:t xml:space="preserve">Associate at a mid-size law firm. Manages case research across 50–100 precedents per matter. Uses Zotero for case management and Obsidian for case briefs. Her problem: identifying which cases cite which precedents, where judicial reasoning conflicts, and how legal doctrines evolved over time. She needs: automatic citation graph extraction, temporal tracking of doctrine evolution, and provenance chains from conclusion back to primary authority.</w:t>
      </w:r>
    </w:p>
    <w:p>
      <w:pPr>
        <w:pStyle w:val="Heading2"/>
        <w:spacing w:after="120" w:before="280"/>
      </w:pPr>
      <w:r>
        <w:rPr>
          <w:rFonts w:ascii="Arial" w:cs="Arial" w:eastAsia="Arial" w:hAnsi="Arial"/>
        </w:rPr>
        <w:t xml:space="preserve">2.4. Tomasz — The Connected Thinker</w:t>
      </w:r>
    </w:p>
    <w:p>
      <w:pPr>
        <w:spacing w:after="100" w:before="100"/>
      </w:pPr>
      <w:r>
        <w:rPr>
          <w:rFonts w:ascii="Arial" w:cs="Arial" w:eastAsia="Arial" w:hAnsi="Arial"/>
          <w:color w:val="333333"/>
          <w:sz w:val="21"/>
          <w:szCs w:val="21"/>
        </w:rPr>
        <w:t xml:space="preserve">Independent researcher, retired engineer. Reads widely across history, philosophy, and science. Maintains a 2,000+ note Obsidian vault. His problem: discovering unexpected connections between domains — the moment when a concept from thermodynamics illuminates a historical pattern. He needs: cross-domain entity bridging, concept co-occurrence that spans his whole vault, and a way to see which ideas appear in surprisingly different contexts.</w:t>
      </w:r>
    </w:p>
    <w:p>
      <w:pPr>
        <w:pStyle w:val="Heading1"/>
        <w:spacing w:after="120" w:before="280"/>
      </w:pPr>
      <w:r>
        <w:rPr>
          <w:rFonts w:ascii="Arial" w:cs="Arial" w:eastAsia="Arial" w:hAnsi="Arial"/>
        </w:rPr>
        <w:t xml:space="preserve">3. Competitive Landscape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40"/>
      </w:tblGrid>
      <w:tr>
        <w:tc>
          <w:tcPr>
            <w:tcW w:type="dxa" w:w="18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Product</w:t>
            </w:r>
          </w:p>
        </w:tc>
        <w:tc>
          <w:tcPr>
            <w:tcW w:type="dxa" w:w="26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c>
          <w:tcPr>
            <w:tcW w:type="dxa" w:w="26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What It Misses</w:t>
            </w:r>
          </w:p>
        </w:tc>
        <w:tc>
          <w:tcPr>
            <w:tcW w:type="dxa" w:w="25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Our Advantage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Zotero Integration (Obsidian plugin)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Pulls metadata + annotations into notes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No entity extraction, no structured claims, no enrichment</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We enrich on import + extract knowledge structure</w:t>
            </w:r>
          </w:p>
        </w:tc>
      </w:tr>
      <w:tr>
        <w:tc>
          <w:tcPr>
            <w:tcW w:type="dxa" w:w="1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ResearchRabbit</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Visual citation graph, paper discovery</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Web-only, no local vault integration, no claim tracking</w:t>
            </w:r>
          </w:p>
        </w:tc>
        <w:tc>
          <w:tcPr>
            <w:tcW w:type="dxa" w:w="2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We live in your vault, local-first, claim-level not paper-level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Connected Papers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Citation similarity graph</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Single-paper view, no content extraction, no personal knowledge</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We build YOUR knowledge graph, not a generic citation graph</w:t>
            </w:r>
          </w:p>
        </w:tc>
      </w:tr>
      <w:tr>
        <w:tc>
          <w:tcPr>
            <w:tcW w:type="dxa" w:w="1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Semantic Scholar</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AI-powered paper search + TLDRs</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Discovery only, no knowledge management, no vault integration</w:t>
            </w:r>
          </w:p>
        </w:tc>
        <w:tc>
          <w:tcPr>
            <w:tcW w:type="dxa" w:w="2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We connect discovery to your existing research workflow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Readwise + Reader</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Highlight sync, spaced repetition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Flat highlights, no relationships between highlights, no typed claims</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We turn highlights into structured claims with provenance</w:t>
            </w:r>
          </w:p>
        </w:tc>
      </w:tr>
      <w:tr>
        <w:tc>
          <w:tcPr>
            <w:tcW w:type="dxa" w:w="18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Notion + AI</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AI summarization, database views</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Proprietary lock-in, no graph structure, no epistemological tracking</w:t>
            </w:r>
          </w:p>
        </w:tc>
        <w:tc>
          <w:tcPr>
            <w:tcW w:type="dxa" w:w="2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Local-first, open ontology (CIDOC-CRM), formal confidence model</w:t>
            </w:r>
          </w:p>
        </w:tc>
      </w:tr>
    </w:tbl>
    <w:p>
      <w:pPr>
        <w:spacing w:after="100" w:before="200"/>
      </w:pPr>
      <w:r>
        <w:rPr>
          <w:rFonts w:ascii="Arial" w:cs="Arial" w:eastAsia="Arial" w:hAnsi="Arial"/>
          <w:color w:val="333333"/>
          <w:sz w:val="21"/>
          <w:szCs w:val="21"/>
        </w:rPr>
        <w:t xml:space="preserve">No existing product offers typed relationship extraction with formal confidence scoring, CIDOC-CRM interoperability, and federated enrichment from scholarly APIs — all within a local-first knowledge management tool. This is a greenfield position.</w:t>
      </w:r>
    </w:p>
    <w:p>
      <w:r>
        <w:br w:type="page"/>
      </w:r>
    </w:p>
    <w:p>
      <w:pPr>
        <w:pStyle w:val="Heading1"/>
        <w:spacing w:after="120" w:before="280"/>
      </w:pPr>
      <w:r>
        <w:rPr>
          <w:rFonts w:ascii="Arial" w:cs="Arial" w:eastAsia="Arial" w:hAnsi="Arial"/>
        </w:rPr>
        <w:t xml:space="preserve">4. Product Architecture: Feature Tiers</w:t>
      </w:r>
    </w:p>
    <w:p>
      <w:pPr>
        <w:pStyle w:val="Heading2"/>
        <w:spacing w:after="120" w:before="280"/>
      </w:pPr>
      <w:r>
        <w:rPr>
          <w:rFonts w:ascii="Arial" w:cs="Arial" w:eastAsia="Arial" w:hAnsi="Arial"/>
        </w:rPr>
        <w:t xml:space="preserve">4.1. Free Tier: Bibliographic Enrichment</w:t>
      </w:r>
    </w:p>
    <w:p>
      <w:pPr>
        <w:spacing w:after="100" w:before="150"/>
      </w:pPr>
      <w:r>
        <w:rPr>
          <w:rFonts w:ascii="Arial" w:cs="Arial" w:eastAsia="Arial" w:hAnsi="Arial"/>
          <w:color w:val="333333"/>
          <w:sz w:val="21"/>
          <w:szCs w:val="21"/>
        </w:rPr>
        <w:t xml:space="preserve">Zero-friction entry point. Install the plugin, connect Zotero, and every reference in your library gets enriched automatically.</w:t>
      </w:r>
    </w:p>
    <w:p>
      <w:pPr>
        <w:pStyle w:val="ListParagraph"/>
        <w:numPr>
          <w:ilvl w:val="0"/>
          <w:numId w:val="2"/>
        </w:numPr>
        <w:spacing w:after="40" w:before="40"/>
      </w:pPr>
      <w:r>
        <w:rPr>
          <w:rFonts w:ascii="Arial" w:cs="Arial" w:eastAsia="Arial" w:hAnsi="Arial"/>
          <w:color w:val="333333"/>
          <w:sz w:val="20"/>
          <w:szCs w:val="20"/>
        </w:rPr>
        <w:t xml:space="preserve">Open Syllabus teaching score: how widely is this work taught in universities worldwide?</w:t>
      </w:r>
    </w:p>
    <w:p>
      <w:pPr>
        <w:pStyle w:val="ListParagraph"/>
        <w:numPr>
          <w:ilvl w:val="0"/>
          <w:numId w:val="2"/>
        </w:numPr>
        <w:spacing w:after="40" w:before="40"/>
      </w:pPr>
      <w:r>
        <w:rPr>
          <w:rFonts w:ascii="Arial" w:cs="Arial" w:eastAsia="Arial" w:hAnsi="Arial"/>
          <w:color w:val="333333"/>
          <w:sz w:val="20"/>
          <w:szCs w:val="20"/>
        </w:rPr>
        <w:t xml:space="preserve">OpenAlex citation metrics: cited-by count, open access status, direct link to free full text</w:t>
      </w:r>
    </w:p>
    <w:p>
      <w:pPr>
        <w:pStyle w:val="ListParagraph"/>
        <w:numPr>
          <w:ilvl w:val="0"/>
          <w:numId w:val="2"/>
        </w:numPr>
        <w:spacing w:after="40" w:before="40"/>
      </w:pPr>
      <w:r>
        <w:rPr>
          <w:rFonts w:ascii="Arial" w:cs="Arial" w:eastAsia="Arial" w:hAnsi="Arial"/>
          <w:color w:val="333333"/>
          <w:sz w:val="20"/>
          <w:szCs w:val="20"/>
        </w:rPr>
        <w:t xml:space="preserve">Open Library bridging: ISBN to OCLC/LCCN, Library of Congress subject headings, edition data</w:t>
      </w:r>
    </w:p>
    <w:p>
      <w:pPr>
        <w:pStyle w:val="ListParagraph"/>
        <w:numPr>
          <w:ilvl w:val="0"/>
          <w:numId w:val="2"/>
        </w:numPr>
        <w:spacing w:after="40" w:before="40"/>
      </w:pPr>
      <w:r>
        <w:rPr>
          <w:rFonts w:ascii="Arial" w:cs="Arial" w:eastAsia="Arial" w:hAnsi="Arial"/>
          <w:color w:val="333333"/>
          <w:sz w:val="20"/>
          <w:szCs w:val="20"/>
        </w:rPr>
        <w:t xml:space="preserve">Co-assignment graph: what other works are typically taught alongside this one?</w:t>
      </w:r>
    </w:p>
    <w:p>
      <w:pPr>
        <w:pStyle w:val="ListParagraph"/>
        <w:numPr>
          <w:ilvl w:val="0"/>
          <w:numId w:val="2"/>
        </w:numPr>
        <w:spacing w:after="40" w:before="40"/>
      </w:pPr>
      <w:r>
        <w:rPr>
          <w:rFonts w:ascii="Arial" w:cs="Arial" w:eastAsia="Arial" w:hAnsi="Arial"/>
          <w:color w:val="333333"/>
          <w:sz w:val="20"/>
          <w:szCs w:val="20"/>
        </w:rPr>
        <w:t xml:space="preserve">Visual enrichment badge on Zotero notes showing teaching importance + citation impact</w:t>
      </w:r>
    </w:p>
    <w:p>
      <w:pPr>
        <w:spacing w:after="100" w:before="100"/>
      </w:pPr>
      <w:r>
        <w:rPr>
          <w:rFonts w:ascii="Arial" w:cs="Arial" w:eastAsia="Arial" w:hAnsi="Arial"/>
          <w:i/>
          <w:iCs/>
          <w:color w:val="666666"/>
          <w:sz w:val="21"/>
          <w:szCs w:val="21"/>
        </w:rPr>
        <w:t xml:space="preserve">Cost to serve: near-zero. All APIs are free. Enrichment runs on import and caches locally. This tier exists to drive adoption and demonstrate value.</w:t>
      </w:r>
    </w:p>
    <w:p>
      <w:pPr>
        <w:pStyle w:val="Heading2"/>
        <w:spacing w:after="120" w:before="280"/>
      </w:pPr>
      <w:r>
        <w:rPr>
          <w:rFonts w:ascii="Arial" w:cs="Arial" w:eastAsia="Arial" w:hAnsi="Arial"/>
        </w:rPr>
        <w:t xml:space="preserve">4.2. Pro Tier: Knowledge Graph ($12/month)</w:t>
      </w:r>
    </w:p>
    <w:p>
      <w:pPr>
        <w:spacing w:after="100" w:before="150"/>
      </w:pPr>
      <w:r>
        <w:rPr>
          <w:rFonts w:ascii="Arial" w:cs="Arial" w:eastAsia="Arial" w:hAnsi="Arial"/>
          <w:color w:val="333333"/>
          <w:sz w:val="21"/>
          <w:szCs w:val="21"/>
        </w:rPr>
        <w:t xml:space="preserve">The core product. Transforms your vault from a collection of notes into a structured knowledge graph.</w:t>
      </w:r>
    </w:p>
    <w:p>
      <w:pPr>
        <w:pStyle w:val="ListParagraph"/>
        <w:numPr>
          <w:ilvl w:val="0"/>
          <w:numId w:val="2"/>
        </w:numPr>
        <w:spacing w:after="40" w:before="40"/>
      </w:pPr>
      <w:r>
        <w:rPr>
          <w:rFonts w:ascii="Arial" w:cs="Arial" w:eastAsia="Arial" w:hAnsi="Arial"/>
          <w:color w:val="333333"/>
          <w:sz w:val="20"/>
          <w:szCs w:val="20"/>
        </w:rPr>
        <w:t xml:space="preserve">Entity extraction: automatic detection of persons, places, events, concepts, and dates across all vault notes and Zotero annotations</w:t>
      </w:r>
    </w:p>
    <w:p>
      <w:pPr>
        <w:pStyle w:val="ListParagraph"/>
        <w:numPr>
          <w:ilvl w:val="0"/>
          <w:numId w:val="2"/>
        </w:numPr>
        <w:spacing w:after="40" w:before="40"/>
      </w:pPr>
      <w:r>
        <w:rPr>
          <w:rFonts w:ascii="Arial" w:cs="Arial" w:eastAsia="Arial" w:hAnsi="Arial"/>
          <w:color w:val="333333"/>
          <w:sz w:val="20"/>
          <w:szCs w:val="20"/>
        </w:rPr>
        <w:t xml:space="preserve">Co-occurrence graph (Layer 0): every entity pair that appears together gets a link, building a network that reveals which entities bridge which sources</w:t>
      </w:r>
    </w:p>
    <w:p>
      <w:pPr>
        <w:pStyle w:val="ListParagraph"/>
        <w:numPr>
          <w:ilvl w:val="0"/>
          <w:numId w:val="2"/>
        </w:numPr>
        <w:spacing w:after="40" w:before="40"/>
      </w:pPr>
      <w:r>
        <w:rPr>
          <w:rFonts w:ascii="Arial" w:cs="Arial" w:eastAsia="Arial" w:hAnsi="Arial"/>
          <w:color w:val="333333"/>
          <w:sz w:val="20"/>
          <w:szCs w:val="20"/>
        </w:rPr>
        <w:t xml:space="preserve">Predicate classification (Layer 1): AI-powered relationship typing — "disagrees with" becomes DISPUTES, "builds on" becomes EXTENDS, "cites" becomes CITES</w:t>
      </w:r>
    </w:p>
    <w:p>
      <w:pPr>
        <w:pStyle w:val="ListParagraph"/>
        <w:numPr>
          <w:ilvl w:val="0"/>
          <w:numId w:val="2"/>
        </w:numPr>
        <w:spacing w:after="40" w:before="40"/>
      </w:pPr>
      <w:r>
        <w:rPr>
          <w:rFonts w:ascii="Arial" w:cs="Arial" w:eastAsia="Arial" w:hAnsi="Arial"/>
          <w:color w:val="333333"/>
          <w:sz w:val="20"/>
          <w:szCs w:val="20"/>
        </w:rPr>
        <w:t xml:space="preserve">Claim tracker: structured claims with subject, predicate, object, source, page number, and confidence score</w:t>
      </w:r>
    </w:p>
    <w:p>
      <w:pPr>
        <w:pStyle w:val="ListParagraph"/>
        <w:numPr>
          <w:ilvl w:val="0"/>
          <w:numId w:val="2"/>
        </w:numPr>
        <w:spacing w:after="40" w:before="40"/>
      </w:pPr>
      <w:r>
        <w:rPr>
          <w:rFonts w:ascii="Arial" w:cs="Arial" w:eastAsia="Arial" w:hAnsi="Arial"/>
          <w:color w:val="333333"/>
          <w:sz w:val="20"/>
          <w:szCs w:val="20"/>
        </w:rPr>
        <w:t xml:space="preserve">Disagreement detection: automatic surfacing of scholarly conflicts where two sources make competing claims about the same entity</w:t>
      </w:r>
    </w:p>
    <w:p>
      <w:pPr>
        <w:pStyle w:val="ListParagraph"/>
        <w:numPr>
          <w:ilvl w:val="0"/>
          <w:numId w:val="2"/>
        </w:numPr>
        <w:spacing w:after="40" w:before="40"/>
      </w:pPr>
      <w:r>
        <w:rPr>
          <w:rFonts w:ascii="Arial" w:cs="Arial" w:eastAsia="Arial" w:hAnsi="Arial"/>
          <w:color w:val="333333"/>
          <w:sz w:val="20"/>
          <w:szCs w:val="20"/>
        </w:rPr>
        <w:t xml:space="preserve">Enhanced graph view: Obsidian graph view extended with typed edges, confidence coloring, and entity clustering</w:t>
      </w:r>
    </w:p>
    <w:p>
      <w:pPr>
        <w:pStyle w:val="ListParagraph"/>
        <w:numPr>
          <w:ilvl w:val="0"/>
          <w:numId w:val="2"/>
        </w:numPr>
        <w:spacing w:after="40" w:before="40"/>
      </w:pPr>
      <w:r>
        <w:rPr>
          <w:rFonts w:ascii="Arial" w:cs="Arial" w:eastAsia="Arial" w:hAnsi="Arial"/>
          <w:color w:val="333333"/>
          <w:sz w:val="20"/>
          <w:szCs w:val="20"/>
        </w:rPr>
        <w:t xml:space="preserve">18-facet classification: claims automatically tagged across Political, Military, Social, Economic, Biographic, Geographic, and 12 other analytical lenses</w:t>
      </w:r>
    </w:p>
    <w:p>
      <w:pPr>
        <w:pStyle w:val="ListParagraph"/>
        <w:numPr>
          <w:ilvl w:val="0"/>
          <w:numId w:val="2"/>
        </w:numPr>
        <w:spacing w:after="40" w:before="40"/>
      </w:pPr>
      <w:r>
        <w:rPr>
          <w:rFonts w:ascii="Arial" w:cs="Arial" w:eastAsia="Arial" w:hAnsi="Arial"/>
          <w:color w:val="333333"/>
          <w:sz w:val="20"/>
          <w:szCs w:val="20"/>
        </w:rPr>
        <w:t xml:space="preserve">Local Neo4j instance (embedded) or SQLite fallback for users who prefer lighter storage</w:t>
      </w:r>
    </w:p>
    <w:p>
      <w:pPr>
        <w:pStyle w:val="Heading2"/>
        <w:spacing w:after="120" w:before="280"/>
      </w:pPr>
      <w:r>
        <w:rPr>
          <w:rFonts w:ascii="Arial" w:cs="Arial" w:eastAsia="Arial" w:hAnsi="Arial"/>
        </w:rPr>
        <w:t xml:space="preserve">4.3. Team Tier: Shared Knowledge ($25/user/month)</w:t>
      </w:r>
    </w:p>
    <w:p>
      <w:pPr>
        <w:spacing w:after="100" w:before="150"/>
      </w:pPr>
      <w:r>
        <w:rPr>
          <w:rFonts w:ascii="Arial" w:cs="Arial" w:eastAsia="Arial" w:hAnsi="Arial"/>
          <w:color w:val="333333"/>
          <w:sz w:val="21"/>
          <w:szCs w:val="21"/>
        </w:rPr>
        <w:t xml:space="preserve">For research groups, lab teams, law firms, and think tanks that need shared epistemological infrastructure.</w:t>
      </w:r>
    </w:p>
    <w:p>
      <w:pPr>
        <w:pStyle w:val="ListParagraph"/>
        <w:numPr>
          <w:ilvl w:val="0"/>
          <w:numId w:val="2"/>
        </w:numPr>
        <w:spacing w:after="40" w:before="40"/>
      </w:pPr>
      <w:r>
        <w:rPr>
          <w:rFonts w:ascii="Arial" w:cs="Arial" w:eastAsia="Arial" w:hAnsi="Arial"/>
          <w:color w:val="333333"/>
          <w:sz w:val="20"/>
          <w:szCs w:val="20"/>
        </w:rPr>
        <w:t xml:space="preserve">Shared Chrystallum graph: team members contribute claims to a common knowledge base</w:t>
      </w:r>
    </w:p>
    <w:p>
      <w:pPr>
        <w:pStyle w:val="ListParagraph"/>
        <w:numPr>
          <w:ilvl w:val="0"/>
          <w:numId w:val="2"/>
        </w:numPr>
        <w:spacing w:after="40" w:before="40"/>
      </w:pPr>
      <w:r>
        <w:rPr>
          <w:rFonts w:ascii="Arial" w:cs="Arial" w:eastAsia="Arial" w:hAnsi="Arial"/>
          <w:color w:val="333333"/>
          <w:sz w:val="20"/>
          <w:szCs w:val="20"/>
        </w:rPr>
        <w:t xml:space="preserve">Claim provenance: every assertion tracks who contributed it, from which source, with what confidence</w:t>
      </w:r>
    </w:p>
    <w:p>
      <w:pPr>
        <w:pStyle w:val="ListParagraph"/>
        <w:numPr>
          <w:ilvl w:val="0"/>
          <w:numId w:val="2"/>
        </w:numPr>
        <w:spacing w:after="40" w:before="40"/>
      </w:pPr>
      <w:r>
        <w:rPr>
          <w:rFonts w:ascii="Arial" w:cs="Arial" w:eastAsia="Arial" w:hAnsi="Arial"/>
          <w:color w:val="333333"/>
          <w:sz w:val="20"/>
          <w:szCs w:val="20"/>
        </w:rPr>
        <w:t xml:space="preserve">Multi-agent debate view: when team members disagree, the system surfaces the conflict with both chains of evidence</w:t>
      </w:r>
    </w:p>
    <w:p>
      <w:pPr>
        <w:pStyle w:val="ListParagraph"/>
        <w:numPr>
          <w:ilvl w:val="0"/>
          <w:numId w:val="2"/>
        </w:numPr>
        <w:spacing w:after="40" w:before="40"/>
      </w:pPr>
      <w:r>
        <w:rPr>
          <w:rFonts w:ascii="Arial" w:cs="Arial" w:eastAsia="Arial" w:hAnsi="Arial"/>
          <w:color w:val="333333"/>
          <w:sz w:val="20"/>
          <w:szCs w:val="20"/>
        </w:rPr>
        <w:t xml:space="preserve">Federation source management: team admins can add custom federation sources (specialized databases, institutional archives)</w:t>
      </w:r>
    </w:p>
    <w:p>
      <w:pPr>
        <w:pStyle w:val="ListParagraph"/>
        <w:numPr>
          <w:ilvl w:val="0"/>
          <w:numId w:val="2"/>
        </w:numPr>
        <w:spacing w:after="40" w:before="40"/>
      </w:pPr>
      <w:r>
        <w:rPr>
          <w:rFonts w:ascii="Arial" w:cs="Arial" w:eastAsia="Arial" w:hAnsi="Arial"/>
          <w:color w:val="333333"/>
          <w:sz w:val="20"/>
          <w:szCs w:val="20"/>
        </w:rPr>
        <w:t xml:space="preserve">Export to CIDOC-CRM: full interoperability with museum, archive, and digital humanities systems</w:t>
      </w:r>
    </w:p>
    <w:p>
      <w:pPr>
        <w:pStyle w:val="ListParagraph"/>
        <w:numPr>
          <w:ilvl w:val="0"/>
          <w:numId w:val="2"/>
        </w:numPr>
        <w:spacing w:after="40" w:before="40"/>
      </w:pPr>
      <w:r>
        <w:rPr>
          <w:rFonts w:ascii="Arial" w:cs="Arial" w:eastAsia="Arial" w:hAnsi="Arial"/>
          <w:color w:val="333333"/>
          <w:sz w:val="20"/>
          <w:szCs w:val="20"/>
        </w:rPr>
        <w:t xml:space="preserve">Cloud Neo4j instance (hosted) with backup and access control</w:t>
      </w:r>
    </w:p>
    <w:p>
      <w:pPr>
        <w:pStyle w:val="Heading1"/>
        <w:spacing w:after="120" w:before="280"/>
      </w:pPr>
      <w:r>
        <w:rPr>
          <w:rFonts w:ascii="Arial" w:cs="Arial" w:eastAsia="Arial" w:hAnsi="Arial"/>
        </w:rPr>
        <w:t xml:space="preserve">5. Revenue Model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200"/>
        <w:gridCol w:w="2340"/>
      </w:tblGrid>
      <w:tr>
        <w:tc>
          <w:tcPr>
            <w:tcW w:type="dxa" w:w="20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15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15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Margin</w:t>
            </w:r>
          </w:p>
        </w:tc>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Primary Cost</w:t>
            </w:r>
          </w:p>
        </w:tc>
        <w:tc>
          <w:tcPr>
            <w:tcW w:type="dxa" w:w="23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Target Conversion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Free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N/A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API calls (minimal)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100% of installs</w:t>
            </w:r>
          </w:p>
        </w:tc>
      </w:tr>
      <w:tr>
        <w:tc>
          <w:tcPr>
            <w:tcW w:type="dxa" w:w="20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Pro</w:t>
            </w:r>
          </w:p>
        </w:tc>
        <w:tc>
          <w:tcPr>
            <w:tcW w:type="dxa" w:w="15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$12/mo</w:t>
            </w:r>
          </w:p>
        </w:tc>
        <w:tc>
          <w:tcPr>
            <w:tcW w:type="dxa" w:w="15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~85%</w:t>
            </w:r>
          </w:p>
        </w:tc>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LLM inference for entity/relationship extraction</w:t>
            </w:r>
          </w:p>
        </w:tc>
        <w:tc>
          <w:tcPr>
            <w:tcW w:type="dxa" w:w="23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8–15% of free users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Team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$25/user/mo</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~75%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Cloud Neo4j hosting + LLM + support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2–5% of Pro users (institutional)</w:t>
            </w:r>
          </w:p>
        </w:tc>
      </w:tr>
    </w:tbl>
    <w:p>
      <w:pPr>
        <w:spacing w:after="100" w:before="200"/>
      </w:pPr>
      <w:r>
        <w:rPr>
          <w:rFonts w:ascii="Arial" w:cs="Arial" w:eastAsia="Arial" w:hAnsi="Arial"/>
          <w:color w:val="333333"/>
          <w:sz w:val="21"/>
          <w:szCs w:val="21"/>
        </w:rPr>
        <w:t xml:space="preserve">At 100K free installs with 10% Pro conversion and 3% Team conversion: ~$1.5M ARR. The free tier is the distribution engine; Pro is the revenue engine; Team is the expansion engine.</w:t>
      </w:r>
    </w:p>
    <w:p>
      <w:r>
        <w:br w:type="page"/>
      </w:r>
    </w:p>
    <w:p>
      <w:pPr>
        <w:pStyle w:val="Heading1"/>
        <w:spacing w:after="120" w:before="280"/>
      </w:pPr>
      <w:r>
        <w:rPr>
          <w:rFonts w:ascii="Arial" w:cs="Arial" w:eastAsia="Arial" w:hAnsi="Arial"/>
        </w:rPr>
        <w:t xml:space="preserve">6. Technical Architecture Overview</w:t>
      </w:r>
    </w:p>
    <w:p>
      <w:pPr>
        <w:pStyle w:val="Heading2"/>
        <w:spacing w:after="120" w:before="280"/>
      </w:pPr>
      <w:r>
        <w:rPr>
          <w:rFonts w:ascii="Arial" w:cs="Arial" w:eastAsia="Arial" w:hAnsi="Arial"/>
        </w:rPr>
        <w:t xml:space="preserve">6.1. Data Flow</w:t>
      </w:r>
    </w:p>
    <w:p>
      <w:pPr>
        <w:spacing w:after="100" w:before="100"/>
      </w:pPr>
      <w:r>
        <w:rPr>
          <w:rFonts w:ascii="Arial" w:cs="Arial" w:eastAsia="Arial" w:hAnsi="Arial"/>
          <w:color w:val="333333"/>
          <w:sz w:val="21"/>
          <w:szCs w:val="21"/>
        </w:rPr>
        <w:t xml:space="preserve">The system has four data planes that feed into each other:</w:t>
      </w:r>
    </w:p>
    <w:p>
      <w:pPr>
        <w:pStyle w:val="ListParagraph"/>
        <w:numPr>
          <w:ilvl w:val="0"/>
          <w:numId w:val="3"/>
        </w:numPr>
        <w:spacing w:after="40" w:before="40"/>
      </w:pPr>
      <w:r>
        <w:rPr>
          <w:rFonts w:ascii="Arial" w:cs="Arial" w:eastAsia="Arial" w:hAnsi="Arial"/>
          <w:color w:val="333333"/>
          <w:sz w:val="20"/>
          <w:szCs w:val="20"/>
        </w:rPr>
        <w:t xml:space="preserve">Zotero Library (via Better BibTeX JSON-RPC or Zotero local API at localhost:23119) provides bibliographic metadata, PDF annotations, collections, tags, and related items</w:t>
      </w:r>
    </w:p>
    <w:p>
      <w:pPr>
        <w:pStyle w:val="ListParagraph"/>
        <w:numPr>
          <w:ilvl w:val="0"/>
          <w:numId w:val="3"/>
        </w:numPr>
        <w:spacing w:after="40" w:before="40"/>
      </w:pPr>
      <w:r>
        <w:rPr>
          <w:rFonts w:ascii="Arial" w:cs="Arial" w:eastAsia="Arial" w:hAnsi="Arial"/>
          <w:color w:val="333333"/>
          <w:sz w:val="20"/>
          <w:szCs w:val="20"/>
        </w:rPr>
        <w:t xml:space="preserve">Bibliographic Pipeline (Open Syllabus → Open Library → OpenAlex) enriches each Work with teaching score, citation metrics, open access status, LCSH subjects, and co-assignment graph</w:t>
      </w:r>
    </w:p>
    <w:p>
      <w:pPr>
        <w:pStyle w:val="ListParagraph"/>
        <w:numPr>
          <w:ilvl w:val="0"/>
          <w:numId w:val="3"/>
        </w:numPr>
        <w:spacing w:after="40" w:before="40"/>
      </w:pPr>
      <w:r>
        <w:rPr>
          <w:rFonts w:ascii="Arial" w:cs="Arial" w:eastAsia="Arial" w:hAnsi="Arial"/>
          <w:color w:val="333333"/>
          <w:sz w:val="20"/>
          <w:szCs w:val="20"/>
        </w:rPr>
        <w:t xml:space="preserve">Obsidian Vault provides user-authored markdown with [[wikilinks]], highlights, and annotation notes</w:t>
      </w:r>
    </w:p>
    <w:p>
      <w:pPr>
        <w:pStyle w:val="ListParagraph"/>
        <w:numPr>
          <w:ilvl w:val="0"/>
          <w:numId w:val="3"/>
        </w:numPr>
        <w:spacing w:after="40" w:before="40"/>
      </w:pPr>
      <w:r>
        <w:rPr>
          <w:rFonts w:ascii="Arial" w:cs="Arial" w:eastAsia="Arial" w:hAnsi="Arial"/>
          <w:color w:val="333333"/>
          <w:sz w:val="20"/>
          <w:szCs w:val="20"/>
        </w:rPr>
        <w:t xml:space="preserve">Chrystallum Graph (local Neo4j embedded or SQLite) stores the structured knowledge: entities, relationships, claims, confidence scores, and provenance chains</w:t>
      </w:r>
    </w:p>
    <w:p>
      <w:pPr>
        <w:pStyle w:val="Heading2"/>
        <w:spacing w:after="120" w:before="280"/>
      </w:pPr>
      <w:r>
        <w:rPr>
          <w:rFonts w:ascii="Arial" w:cs="Arial" w:eastAsia="Arial" w:hAnsi="Arial"/>
        </w:rPr>
        <w:t xml:space="preserve">6.2. Processing Pipeline</w:t>
      </w:r>
    </w:p>
    <w:p>
      <w:pPr>
        <w:spacing w:after="100" w:before="100"/>
      </w:pPr>
      <w:r>
        <w:rPr>
          <w:rFonts w:ascii="Arial" w:cs="Arial" w:eastAsia="Arial" w:hAnsi="Arial"/>
          <w:color w:val="333333"/>
          <w:sz w:val="21"/>
          <w:szCs w:val="21"/>
        </w:rPr>
        <w:t xml:space="preserve">On vault scan or Zotero import, the pipeline executes:</w:t>
      </w:r>
    </w:p>
    <w:p>
      <w:pPr>
        <w:pStyle w:val="ListParagraph"/>
        <w:numPr>
          <w:ilvl w:val="0"/>
          <w:numId w:val="3"/>
        </w:numPr>
        <w:spacing w:after="40" w:before="40"/>
      </w:pPr>
      <w:r>
        <w:rPr>
          <w:rFonts w:ascii="Arial" w:cs="Arial" w:eastAsia="Arial" w:hAnsi="Arial"/>
          <w:color w:val="333333"/>
          <w:sz w:val="20"/>
          <w:szCs w:val="20"/>
        </w:rPr>
        <w:t xml:space="preserve">Work Resolution: match the source to a Work entity via ISBN, DOI, or title. Enrich via bibliographic pipeline.</w:t>
      </w:r>
    </w:p>
    <w:p>
      <w:pPr>
        <w:pStyle w:val="ListParagraph"/>
        <w:numPr>
          <w:ilvl w:val="0"/>
          <w:numId w:val="3"/>
        </w:numPr>
        <w:spacing w:after="40" w:before="40"/>
      </w:pPr>
      <w:r>
        <w:rPr>
          <w:rFonts w:ascii="Arial" w:cs="Arial" w:eastAsia="Arial" w:hAnsi="Arial"/>
          <w:color w:val="333333"/>
          <w:sz w:val="20"/>
          <w:szCs w:val="20"/>
        </w:rPr>
        <w:t xml:space="preserve">Entity Extraction (Pass 1): NER across note text and annotations. Build CO_OCCURS_WITH edges for every co-occurring entity pair. This is Layer 0.</w:t>
      </w:r>
    </w:p>
    <w:p>
      <w:pPr>
        <w:pStyle w:val="ListParagraph"/>
        <w:numPr>
          <w:ilvl w:val="0"/>
          <w:numId w:val="3"/>
        </w:numPr>
        <w:spacing w:after="40" w:before="40"/>
      </w:pPr>
      <w:r>
        <w:rPr>
          <w:rFonts w:ascii="Arial" w:cs="Arial" w:eastAsia="Arial" w:hAnsi="Arial"/>
          <w:color w:val="333333"/>
          <w:sz w:val="20"/>
          <w:szCs w:val="20"/>
        </w:rPr>
        <w:t xml:space="preserve">Predicate Classification (Pass 2): classify each co-occurrence into a typed relationship from the kernel. Apply D15 refinement rules. This is Layer 1.</w:t>
      </w:r>
    </w:p>
    <w:p>
      <w:pPr>
        <w:pStyle w:val="ListParagraph"/>
        <w:numPr>
          <w:ilvl w:val="0"/>
          <w:numId w:val="3"/>
        </w:numPr>
        <w:spacing w:after="40" w:before="40"/>
      </w:pPr>
      <w:r>
        <w:rPr>
          <w:rFonts w:ascii="Arial" w:cs="Arial" w:eastAsia="Arial" w:hAnsi="Arial"/>
          <w:color w:val="333333"/>
          <w:sz w:val="20"/>
          <w:szCs w:val="20"/>
        </w:rPr>
        <w:t xml:space="preserve">Claim Generation: create Claim nodes with subject, predicate, object, source, page, confidence, and facet assignment. This is Layer 2.</w:t>
      </w:r>
    </w:p>
    <w:p>
      <w:pPr>
        <w:pStyle w:val="ListParagraph"/>
        <w:numPr>
          <w:ilvl w:val="0"/>
          <w:numId w:val="3"/>
        </w:numPr>
        <w:spacing w:after="40" w:before="40"/>
      </w:pPr>
      <w:r>
        <w:rPr>
          <w:rFonts w:ascii="Arial" w:cs="Arial" w:eastAsia="Arial" w:hAnsi="Arial"/>
          <w:color w:val="333333"/>
          <w:sz w:val="20"/>
          <w:szCs w:val="20"/>
        </w:rPr>
        <w:t xml:space="preserve">Disagreement Detection: scan for entity pairs with conflicting predicates across different sources. Surface to user.</w:t>
      </w:r>
    </w:p>
    <w:p>
      <w:pPr>
        <w:pStyle w:val="ListParagraph"/>
        <w:numPr>
          <w:ilvl w:val="0"/>
          <w:numId w:val="3"/>
        </w:numPr>
        <w:spacing w:after="40" w:before="40"/>
      </w:pPr>
      <w:r>
        <w:rPr>
          <w:rFonts w:ascii="Arial" w:cs="Arial" w:eastAsia="Arial" w:hAnsi="Arial"/>
          <w:color w:val="333333"/>
          <w:sz w:val="20"/>
          <w:szCs w:val="20"/>
        </w:rPr>
        <w:t xml:space="preserve">Frontier Discovery: identify unknown entities with many co-occurrence links to known entities. Suggest for resolution.</w:t>
      </w:r>
    </w:p>
    <w:p>
      <w:pPr>
        <w:pStyle w:val="Heading2"/>
        <w:spacing w:after="120" w:before="280"/>
      </w:pPr>
      <w:r>
        <w:rPr>
          <w:rFonts w:ascii="Arial" w:cs="Arial" w:eastAsia="Arial" w:hAnsi="Arial"/>
        </w:rPr>
        <w:t xml:space="preserve">6.3. Storage Architecture</w:t>
      </w:r>
    </w:p>
    <w:p>
      <w:pPr>
        <w:spacing w:after="100" w:before="100"/>
      </w:pPr>
      <w:r>
        <w:rPr>
          <w:rFonts w:ascii="Arial" w:cs="Arial" w:eastAsia="Arial" w:hAnsi="Arial"/>
          <w:color w:val="333333"/>
          <w:sz w:val="21"/>
          <w:szCs w:val="21"/>
        </w:rPr>
        <w:t xml:space="preserve">The system offers two storage backends to match different user profiles:</w:t>
      </w:r>
    </w:p>
    <w:p>
      <w:pPr>
        <w:pStyle w:val="ListParagraph"/>
        <w:numPr>
          <w:ilvl w:val="0"/>
          <w:numId w:val="2"/>
        </w:numPr>
        <w:spacing w:after="40" w:before="40"/>
      </w:pPr>
      <w:r>
        <w:rPr>
          <w:rFonts w:ascii="Arial" w:cs="Arial" w:eastAsia="Arial" w:hAnsi="Arial"/>
          <w:color w:val="333333"/>
          <w:sz w:val="20"/>
          <w:szCs w:val="20"/>
        </w:rPr>
        <w:t xml:space="preserve">Neo4j Embedded (recommended for Pro/Team): full graph database with Cypher queries, native graph traversal, and Bloom-compatible visualization. Runs as a local process alongside Obsidian. Data stays on the user's machine.</w:t>
      </w:r>
    </w:p>
    <w:p>
      <w:pPr>
        <w:pStyle w:val="ListParagraph"/>
        <w:numPr>
          <w:ilvl w:val="0"/>
          <w:numId w:val="2"/>
        </w:numPr>
        <w:spacing w:after="40" w:before="40"/>
      </w:pPr>
      <w:r>
        <w:rPr>
          <w:rFonts w:ascii="Arial" w:cs="Arial" w:eastAsia="Arial" w:hAnsi="Arial"/>
          <w:color w:val="333333"/>
          <w:sz w:val="20"/>
          <w:szCs w:val="20"/>
        </w:rPr>
        <w:t xml:space="preserve">SQLite Fallback (for lightweight users): entity/relationship/claim tables with JSON properties. No graph traversal but sufficient for basic entity linking and claim tracking. Zero external dependencies.</w:t>
      </w:r>
    </w:p>
    <w:p>
      <w:pPr>
        <w:spacing w:after="100" w:before="100"/>
      </w:pPr>
      <w:r>
        <w:rPr>
          <w:rFonts w:ascii="Arial" w:cs="Arial" w:eastAsia="Arial" w:hAnsi="Arial"/>
          <w:color w:val="333333"/>
          <w:sz w:val="21"/>
          <w:szCs w:val="21"/>
        </w:rPr>
        <w:t xml:space="preserve">Both backends expose the same TypeScript API surface to the plugin. The graph view adapter renders either backend identically in Obsidian's graph view.</w:t>
      </w:r>
    </w:p>
    <w:p>
      <w:pPr>
        <w:pStyle w:val="Heading2"/>
        <w:spacing w:after="120" w:before="280"/>
      </w:pPr>
      <w:r>
        <w:rPr>
          <w:rFonts w:ascii="Arial" w:cs="Arial" w:eastAsia="Arial" w:hAnsi="Arial"/>
        </w:rPr>
        <w:t xml:space="preserve">6.4. Federation Source Architecture</w:t>
      </w:r>
    </w:p>
    <w:p>
      <w:pPr>
        <w:spacing w:after="100" w:before="100"/>
      </w:pPr>
      <w:r>
        <w:rPr>
          <w:rFonts w:ascii="Arial" w:cs="Arial" w:eastAsia="Arial" w:hAnsi="Arial"/>
          <w:color w:val="333333"/>
          <w:sz w:val="21"/>
          <w:szCs w:val="21"/>
        </w:rPr>
        <w:t xml:space="preserve">Chrystallum's federation model extends to the Obsidian plugin. Each external data source is registered with a scoping weight that determines its authority in confidence scoring:</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540"/>
      </w:tblGrid>
      <w:tr>
        <w:tc>
          <w:tcPr>
            <w:tcW w:type="dxa" w:w="2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12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Weight</w:t>
            </w:r>
          </w:p>
        </w:tc>
        <w:tc>
          <w:tcPr>
            <w:tcW w:type="dxa" w:w="260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Data Provided</w:t>
            </w:r>
          </w:p>
        </w:tc>
        <w:tc>
          <w:tcPr>
            <w:tcW w:type="dxa" w:w="3540"/>
            <w:tcBorders>
              <w:top w:val="single" w:color="AAAAAA" w:sz="1"/>
              <w:left w:val="single" w:color="AAAAAA" w:sz="1"/>
              <w:bottom w:val="single" w:color="AAAAAA" w:sz="1"/>
              <w:right w:val="single" w:color="AAAAAA" w:sz="1"/>
            </w:tcBorders>
            <w:shd w:fill="1B2A3D" w:val="clear"/>
            <w:tcMar>
              <w:top w:type="dxa" w:w="60"/>
              <w:left w:type="dxa" w:w="100"/>
              <w:bottom w:type="dxa" w:w="60"/>
              <w:right w:type="dxa" w:w="100"/>
            </w:tcMar>
          </w:tcPr>
          <w:p>
            <w:r>
              <w:rPr>
                <w:rFonts w:ascii="Arial" w:cs="Arial" w:eastAsia="Arial" w:hAnsi="Arial"/>
                <w:b/>
                <w:bCs/>
                <w:color w:val="FFFFFF"/>
                <w:sz w:val="19"/>
                <w:szCs w:val="19"/>
              </w:rPr>
              <w:t xml:space="preserve">Plugin Tier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Zotero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0.85</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Metadata, annotations, collections, tags</w:t>
            </w:r>
          </w:p>
        </w:tc>
        <w:tc>
          <w:tcPr>
            <w:tcW w:type="dxa" w:w="3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All tiers</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Open Syllabus</w:t>
            </w:r>
          </w:p>
        </w:tc>
        <w:tc>
          <w:tcPr>
            <w:tcW w:type="dxa" w:w="1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0.70</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Teaching score, co-assignments</w:t>
            </w:r>
          </w:p>
        </w:tc>
        <w:tc>
          <w:tcPr>
            <w:tcW w:type="dxa" w:w="3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Free tier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OpenAlex</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0.80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Citations, OA status, topics</w:t>
            </w:r>
          </w:p>
        </w:tc>
        <w:tc>
          <w:tcPr>
            <w:tcW w:type="dxa" w:w="3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Free tier</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Open Library</w:t>
            </w:r>
          </w:p>
        </w:tc>
        <w:tc>
          <w:tcPr>
            <w:tcW w:type="dxa" w:w="1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0.75</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ISBN bridging, LCSH subjects, full text flag</w:t>
            </w:r>
          </w:p>
        </w:tc>
        <w:tc>
          <w:tcPr>
            <w:tcW w:type="dxa" w:w="3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Free tier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333333"/>
                <w:sz w:val="19"/>
                <w:szCs w:val="19"/>
              </w:rPr>
              <w:t xml:space="preserve">Wikidata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1.00</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Entity QIDs, P-properties, authority backbone</w:t>
            </w:r>
          </w:p>
        </w:tc>
        <w:tc>
          <w:tcPr>
            <w:tcW w:type="dxa" w:w="35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333333"/>
                <w:sz w:val="19"/>
                <w:szCs w:val="19"/>
              </w:rPr>
              <w:t xml:space="preserve">Pro tier (entity resolution)</w:t>
            </w:r>
          </w:p>
        </w:tc>
      </w:tr>
      <w:tr>
        <w:tc>
          <w:tcPr>
            <w:tcW w:type="dxa" w:w="2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b/>
                <w:bCs/>
                <w:color w:val="333333"/>
                <w:sz w:val="19"/>
                <w:szCs w:val="19"/>
              </w:rPr>
              <w:t xml:space="preserve">User Vault</w:t>
            </w:r>
          </w:p>
        </w:tc>
        <w:tc>
          <w:tcPr>
            <w:tcW w:type="dxa" w:w="12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0.60</w:t>
            </w:r>
          </w:p>
        </w:tc>
        <w:tc>
          <w:tcPr>
            <w:tcW w:type="dxa" w:w="260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User-authored notes, wikilinks, highlights</w:t>
            </w:r>
          </w:p>
        </w:tc>
        <w:tc>
          <w:tcPr>
            <w:tcW w:type="dxa" w:w="3540"/>
            <w:tcBorders>
              <w:top w:val="single" w:color="AAAAAA" w:sz="1"/>
              <w:left w:val="single" w:color="AAAAAA" w:sz="1"/>
              <w:bottom w:val="single" w:color="AAAAAA" w:sz="1"/>
              <w:right w:val="single" w:color="AAAAAA" w:sz="1"/>
            </w:tcBorders>
            <w:shd w:fill="F4F7FA" w:val="clear"/>
            <w:tcMar>
              <w:top w:type="dxa" w:w="60"/>
              <w:left w:type="dxa" w:w="100"/>
              <w:bottom w:type="dxa" w:w="60"/>
              <w:right w:type="dxa" w:w="100"/>
            </w:tcMar>
          </w:tcPr>
          <w:p>
            <w:r>
              <w:rPr>
                <w:rFonts w:ascii="Arial" w:cs="Arial" w:eastAsia="Arial" w:hAnsi="Arial"/>
                <w:color w:val="333333"/>
                <w:sz w:val="19"/>
                <w:szCs w:val="19"/>
              </w:rPr>
              <w:t xml:space="preserve">Pro tier (entity extraction)</w:t>
            </w:r>
          </w:p>
        </w:tc>
      </w:tr>
    </w:tbl>
    <w:p>
      <w:r>
        <w:br w:type="page"/>
      </w:r>
    </w:p>
    <w:p>
      <w:pPr>
        <w:pStyle w:val="Heading1"/>
        <w:spacing w:after="120" w:before="280"/>
      </w:pPr>
      <w:r>
        <w:rPr>
          <w:rFonts w:ascii="Arial" w:cs="Arial" w:eastAsia="Arial" w:hAnsi="Arial"/>
        </w:rPr>
        <w:t xml:space="preserve">7. Go-to-Market Strategy</w:t>
      </w:r>
    </w:p>
    <w:p>
      <w:pPr>
        <w:pStyle w:val="Heading2"/>
        <w:spacing w:after="120" w:before="280"/>
      </w:pPr>
      <w:r>
        <w:rPr>
          <w:rFonts w:ascii="Arial" w:cs="Arial" w:eastAsia="Arial" w:hAnsi="Arial"/>
        </w:rPr>
        <w:t xml:space="preserve">7.1. Phase 1: Obsidian Community Plugin (Months 1–3)</w:t>
      </w:r>
    </w:p>
    <w:p>
      <w:pPr>
        <w:spacing w:after="100" w:before="100"/>
      </w:pPr>
      <w:r>
        <w:rPr>
          <w:rFonts w:ascii="Arial" w:cs="Arial" w:eastAsia="Arial" w:hAnsi="Arial"/>
          <w:color w:val="333333"/>
          <w:sz w:val="21"/>
          <w:szCs w:val="21"/>
        </w:rPr>
        <w:t xml:space="preserve">Ship the free tier as a community plugin in the Obsidian plugin directory. Focus on bibliographic enrichment only — zero LLM cost, zero complexity. The enrichment badges alone provide enough value to drive 10K+ installs in the first month from the Obsidian community.</w:t>
      </w:r>
    </w:p>
    <w:p>
      <w:pPr>
        <w:spacing w:after="100" w:before="100"/>
      </w:pPr>
      <w:r>
        <w:rPr>
          <w:rFonts w:ascii="Arial" w:cs="Arial" w:eastAsia="Arial" w:hAnsi="Arial"/>
          <w:color w:val="333333"/>
          <w:sz w:val="21"/>
          <w:szCs w:val="21"/>
        </w:rPr>
        <w:t xml:space="preserve">Key metric: installs and daily active users. Build the community around feature requests and beta testing.</w:t>
      </w:r>
    </w:p>
    <w:p>
      <w:pPr>
        <w:pStyle w:val="Heading2"/>
        <w:spacing w:after="120" w:before="280"/>
      </w:pPr>
      <w:r>
        <w:rPr>
          <w:rFonts w:ascii="Arial" w:cs="Arial" w:eastAsia="Arial" w:hAnsi="Arial"/>
        </w:rPr>
        <w:t xml:space="preserve">7.2. Phase 2: Pro Beta (Months 3–6)</w:t>
      </w:r>
    </w:p>
    <w:p>
      <w:pPr>
        <w:spacing w:after="100" w:before="100"/>
      </w:pPr>
      <w:r>
        <w:rPr>
          <w:rFonts w:ascii="Arial" w:cs="Arial" w:eastAsia="Arial" w:hAnsi="Arial"/>
          <w:color w:val="333333"/>
          <w:sz w:val="21"/>
          <w:szCs w:val="21"/>
        </w:rPr>
        <w:t xml:space="preserve">Invite top free-tier users to beta test entity extraction and co-occurrence graphing. Ship Pass 1 (NER + co-occurrence) first because it is cheap and impressive — users will see their vault transformed into a structured graph for the first time. Add Pass 2 (predicate classification) in the second month of beta.</w:t>
      </w:r>
    </w:p>
    <w:p>
      <w:pPr>
        <w:spacing w:after="100" w:before="100"/>
      </w:pPr>
      <w:r>
        <w:rPr>
          <w:rFonts w:ascii="Arial" w:cs="Arial" w:eastAsia="Arial" w:hAnsi="Arial"/>
          <w:color w:val="333333"/>
          <w:sz w:val="21"/>
          <w:szCs w:val="21"/>
        </w:rPr>
        <w:t xml:space="preserve">Key metric: conversion rate from free to Pro beta. Target: 15% of invited users.</w:t>
      </w:r>
    </w:p>
    <w:p>
      <w:pPr>
        <w:pStyle w:val="Heading2"/>
        <w:spacing w:after="120" w:before="280"/>
      </w:pPr>
      <w:r>
        <w:rPr>
          <w:rFonts w:ascii="Arial" w:cs="Arial" w:eastAsia="Arial" w:hAnsi="Arial"/>
        </w:rPr>
        <w:t xml:space="preserve">7.3. Phase 3: Public Launch + Team (Months 6–12)</w:t>
      </w:r>
    </w:p>
    <w:p>
      <w:pPr>
        <w:spacing w:after="100" w:before="100"/>
      </w:pPr>
      <w:r>
        <w:rPr>
          <w:rFonts w:ascii="Arial" w:cs="Arial" w:eastAsia="Arial" w:hAnsi="Arial"/>
          <w:color w:val="333333"/>
          <w:sz w:val="21"/>
          <w:szCs w:val="21"/>
        </w:rPr>
        <w:t xml:space="preserve">Public launch of Pro tier with polished claim tracker, disagreement detection, and enhanced graph view. Begin outreach to university departments and research labs for Team tier pilots. Present at Digital Humanities conferences (DH2026, ACH) and Obsidian community events.</w:t>
      </w:r>
    </w:p>
    <w:p>
      <w:pPr>
        <w:spacing w:after="100" w:before="100"/>
      </w:pPr>
      <w:r>
        <w:rPr>
          <w:rFonts w:ascii="Arial" w:cs="Arial" w:eastAsia="Arial" w:hAnsi="Arial"/>
          <w:color w:val="333333"/>
          <w:sz w:val="21"/>
          <w:szCs w:val="21"/>
        </w:rPr>
        <w:t xml:space="preserve">Key metric: MRR growth and institutional team sign-ups.</w:t>
      </w:r>
    </w:p>
    <w:p>
      <w:pPr>
        <w:pStyle w:val="Heading2"/>
        <w:spacing w:after="120" w:before="280"/>
      </w:pPr>
      <w:r>
        <w:rPr>
          <w:rFonts w:ascii="Arial" w:cs="Arial" w:eastAsia="Arial" w:hAnsi="Arial"/>
        </w:rPr>
        <w:t xml:space="preserve">7.4. Phase 4: Platform Expansion (Months 12–18)</w:t>
      </w:r>
    </w:p>
    <w:p>
      <w:pPr>
        <w:spacing w:after="100" w:before="100"/>
      </w:pPr>
      <w:r>
        <w:rPr>
          <w:rFonts w:ascii="Arial" w:cs="Arial" w:eastAsia="Arial" w:hAnsi="Arial"/>
          <w:color w:val="333333"/>
          <w:sz w:val="21"/>
          <w:szCs w:val="21"/>
        </w:rPr>
        <w:t xml:space="preserve">Extend beyond Obsidian to Logseq, Notion (via API), and VS Code. The Chrystallum graph is the platform; the editor integration is a surface. Each new surface expands the addressable market without rebuilding the core.</w:t>
      </w:r>
    </w:p>
    <w:p>
      <w:pPr>
        <w:pStyle w:val="Heading1"/>
        <w:spacing w:after="120" w:before="280"/>
      </w:pPr>
      <w:r>
        <w:rPr>
          <w:rFonts w:ascii="Arial" w:cs="Arial" w:eastAsia="Arial" w:hAnsi="Arial"/>
        </w:rPr>
        <w:t xml:space="preserve">8. Competitive Moat</w:t>
      </w:r>
    </w:p>
    <w:p>
      <w:pPr>
        <w:pStyle w:val="ListParagraph"/>
        <w:numPr>
          <w:ilvl w:val="0"/>
          <w:numId w:val="2"/>
        </w:numPr>
        <w:spacing w:after="40" w:before="40"/>
      </w:pPr>
      <w:r>
        <w:rPr>
          <w:rFonts w:ascii="Arial" w:cs="Arial" w:eastAsia="Arial" w:hAnsi="Arial"/>
          <w:color w:val="333333"/>
          <w:sz w:val="20"/>
          <w:szCs w:val="20"/>
        </w:rPr>
        <w:t xml:space="preserve">Ontological foundation: CIDOC-CRM + CRMinf formal compliance means interoperability with every major museum, archive, and digital humanities system worldwide. No competitor has this.</w:t>
      </w:r>
    </w:p>
    <w:p>
      <w:pPr>
        <w:pStyle w:val="ListParagraph"/>
        <w:numPr>
          <w:ilvl w:val="0"/>
          <w:numId w:val="2"/>
        </w:numPr>
        <w:spacing w:after="40" w:before="40"/>
      </w:pPr>
      <w:r>
        <w:rPr>
          <w:rFonts w:ascii="Arial" w:cs="Arial" w:eastAsia="Arial" w:hAnsi="Arial"/>
          <w:color w:val="333333"/>
          <w:sz w:val="20"/>
          <w:szCs w:val="20"/>
        </w:rPr>
        <w:t xml:space="preserve">Federation architecture: the federated source model means each new scholarly API integrated increases the enrichment depth for all users. Network effect on data quality.</w:t>
      </w:r>
    </w:p>
    <w:p>
      <w:pPr>
        <w:pStyle w:val="ListParagraph"/>
        <w:numPr>
          <w:ilvl w:val="0"/>
          <w:numId w:val="2"/>
        </w:numPr>
        <w:spacing w:after="40" w:before="40"/>
      </w:pPr>
      <w:r>
        <w:rPr>
          <w:rFonts w:ascii="Arial" w:cs="Arial" w:eastAsia="Arial" w:hAnsi="Arial"/>
          <w:color w:val="333333"/>
          <w:sz w:val="20"/>
          <w:szCs w:val="20"/>
        </w:rPr>
        <w:t xml:space="preserve">Confidence scoring: the 8-tier confidence rubric with 7 modifiers produces nuanced epistemological assessments that LLM-only tools cannot match. Scholars trust it because it shows its work.</w:t>
      </w:r>
    </w:p>
    <w:p>
      <w:pPr>
        <w:pStyle w:val="ListParagraph"/>
        <w:numPr>
          <w:ilvl w:val="0"/>
          <w:numId w:val="2"/>
        </w:numPr>
        <w:spacing w:after="40" w:before="40"/>
      </w:pPr>
      <w:r>
        <w:rPr>
          <w:rFonts w:ascii="Arial" w:cs="Arial" w:eastAsia="Arial" w:hAnsi="Arial"/>
          <w:color w:val="333333"/>
          <w:sz w:val="20"/>
          <w:szCs w:val="20"/>
        </w:rPr>
        <w:t xml:space="preserve">Extraction layer model: the Layer 0/1/2 architecture means the system produces useful output (co-occurrence graphs) before expensive LLM processing, making the free tier genuinely valuable.</w:t>
      </w:r>
    </w:p>
    <w:p>
      <w:pPr>
        <w:pStyle w:val="ListParagraph"/>
        <w:numPr>
          <w:ilvl w:val="0"/>
          <w:numId w:val="2"/>
        </w:numPr>
        <w:spacing w:after="40" w:before="40"/>
      </w:pPr>
      <w:r>
        <w:rPr>
          <w:rFonts w:ascii="Arial" w:cs="Arial" w:eastAsia="Arial" w:hAnsi="Arial"/>
          <w:color w:val="333333"/>
          <w:sz w:val="20"/>
          <w:szCs w:val="20"/>
        </w:rPr>
        <w:t xml:space="preserve">Community-curated relationship kernel: the 48-type relationship catalog grows as domain experts contribute new types. Each contribution benefits all users.</w:t>
      </w:r>
    </w:p>
    <w:p>
      <w:pPr>
        <w:pBdr>
          <w:bottom w:val="single" w:color="1B2A3D" w:sz="4" w:space="1"/>
        </w:pBdr>
        <w:spacing w:after="200" w:before="200"/>
      </w:pPr>
    </w:p>
    <w:p>
      <w:pPr>
        <w:spacing w:after="100" w:before="100"/>
        <w:jc w:val="center"/>
      </w:pPr>
      <w:r>
        <w:rPr>
          <w:rFonts w:ascii="Arial" w:cs="Arial" w:eastAsia="Arial" w:hAnsi="Arial"/>
          <w:color w:val="999999"/>
          <w:sz w:val="18"/>
          <w:szCs w:val="18"/>
        </w:rPr>
        <w:t xml:space="preserve">Chrystallum for Obsidian  |  Product Architecture v1.0  |  March 2026</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3D"/>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B3A4A"/>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D5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2026-03-01T22:38:20.472Z</dcterms:created>
  <dcterms:modified xsi:type="dcterms:W3CDTF">2026-03-01T22:38:20.473Z</dcterms:modified>
</cp:coreProperties>
</file>

<file path=docProps/custom.xml><?xml version="1.0" encoding="utf-8"?>
<Properties xmlns="http://schemas.openxmlformats.org/officeDocument/2006/custom-properties" xmlns:vt="http://schemas.openxmlformats.org/officeDocument/2006/docPropsVTypes"/>
</file>