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pPr>
      <w:r>
        <w:rPr>
          <w:rFonts w:ascii="Arial" w:cs="Arial" w:eastAsia="Arial" w:hAnsi="Arial"/>
          <w:b/>
          <w:bCs/>
          <w:color w:val="2E4057"/>
          <w:sz w:val="48"/>
          <w:szCs w:val="48"/>
        </w:rPr>
        <w:t xml:space="preserve">Chrystallum</w:t>
      </w:r>
    </w:p>
    <w:p>
      <w:pPr>
        <w:spacing w:after="100"/>
      </w:pPr>
      <w:r>
        <w:rPr>
          <w:rFonts w:ascii="Arial" w:cs="Arial" w:eastAsia="Arial" w:hAnsi="Arial"/>
          <w:color w:val="2E75B6"/>
          <w:sz w:val="32"/>
          <w:szCs w:val="32"/>
        </w:rPr>
        <w:t xml:space="preserve">Multi-Agent Design: Broadcast/Opt-In Pattern</w:t>
      </w:r>
    </w:p>
    <w:p>
      <w:pPr>
        <w:spacing w:after="80"/>
      </w:pPr>
      <w:r>
        <w:rPr>
          <w:rFonts w:ascii="Arial" w:cs="Arial" w:eastAsia="Arial" w:hAnsi="Arial"/>
          <w:i/>
          <w:iCs/>
          <w:color w:val="666666"/>
          <w:sz w:val="24"/>
          <w:szCs w:val="24"/>
        </w:rPr>
        <w:t xml:space="preserve">Chain of Reasoning — Origin to Architecture</w:t>
      </w:r>
    </w:p>
    <w:p>
      <w:pPr>
        <w:spacing w:after="400"/>
      </w:pPr>
      <w:r>
        <w:rPr>
          <w:rFonts w:ascii="Arial" w:cs="Arial" w:eastAsia="Arial" w:hAnsi="Arial"/>
          <w:color w:val="888888"/>
          <w:sz w:val="18"/>
          <w:szCs w:val="18"/>
        </w:rPr>
        <w:t xml:space="preserve">Session: 2026-02-25  |  Baseline commit: 6989d87  |  Status: Conceptual — not yet implemented</w:t>
      </w:r>
    </w:p>
    <w:p>
      <w:pPr>
        <w:pBdr>
          <w:bottom w:val="single" w:color="2E75B6" w:sz="6" w:space="1"/>
        </w:pBdr>
        <w:spacing w:before="200" w:after="200"/>
      </w:pPr>
    </w:p>
    <w:p>
      <w:pPr>
        <w:pStyle w:val="Heading1"/>
      </w:pPr>
      <w:r>
        <w:rPr>
          <w:rFonts w:ascii="Arial" w:cs="Arial" w:eastAsia="Arial" w:hAnsi="Arial"/>
          <w:b/>
          <w:bCs/>
          <w:sz w:val="32"/>
          <w:szCs w:val="32"/>
        </w:rPr>
        <w:t xml:space="preserve">1. Origin of This Thread</w:t>
      </w:r>
    </w:p>
    <w:p>
      <w:pPr>
        <w:spacing w:after="160"/>
      </w:pPr>
      <w:r>
        <w:rPr>
          <w:rFonts w:ascii="Arial" w:cs="Arial" w:eastAsia="Arial" w:hAnsi="Arial"/>
          <w:sz w:val="22"/>
          <w:szCs w:val="22"/>
        </w:rPr>
        <w:t xml:space="preserve">This document captures the full chain of reasoning developed in the design session of 2026-02-25, beginning with the following observation from the business owner:</w:t>
      </w:r>
    </w:p>
    <w:p>
      <w:pPr>
        <w:spacing w:before="120" w:after="120"/>
        <w:ind w:left="720" w:right="720"/>
      </w:pPr>
      <w:r>
        <w:rPr>
          <w:rFonts w:ascii="Arial" w:cs="Arial" w:eastAsia="Arial" w:hAnsi="Arial"/>
          <w:i/>
          <w:iCs/>
          <w:color w:val="2E4057"/>
          <w:sz w:val="22"/>
          <w:szCs w:val="22"/>
        </w:rPr>
        <w:t xml:space="preserve">"Most claims will come in that are very multidimensional by nature. We have siloed by facet for scope reasons. We have not developed the mechanism of what to do with the claims, outside of the assumption that the SCA is the claims manager."</w:t>
      </w:r>
    </w:p>
    <w:p>
      <w:pPr>
        <w:spacing w:after="160"/>
      </w:pPr>
      <w:r>
        <w:rPr>
          <w:rFonts w:ascii="Arial" w:cs="Arial" w:eastAsia="Arial" w:hAnsi="Arial"/>
          <w:sz w:val="22"/>
          <w:szCs w:val="22"/>
        </w:rPr>
        <w:t xml:space="preserve">Two initial visions were proposed:</w:t>
      </w:r>
    </w:p>
    <w:p>
      <w:pPr>
        <w:pStyle w:val="ListParagraph"/>
        <w:numPr>
          <w:ilvl w:val="0"/>
          <w:numId w:val="2"/>
        </w:numPr>
        <w:spacing w:after="100"/>
      </w:pPr>
      <w:r>
        <w:rPr>
          <w:rFonts w:ascii="Arial" w:cs="Arial" w:eastAsia="Arial" w:hAnsi="Arial"/>
          <w:b/>
          <w:bCs/>
          <w:sz w:val="22"/>
          <w:szCs w:val="22"/>
        </w:rPr>
        <w:t xml:space="preserve">Vision 1: </w:t>
      </w:r>
      <w:r>
        <w:rPr>
          <w:rFonts w:ascii="Arial" w:cs="Arial" w:eastAsia="Arial" w:hAnsi="Arial"/>
          <w:sz w:val="22"/>
          <w:szCs w:val="22"/>
        </w:rPr>
        <w:t xml:space="preserve">Conference — every SFA states its view of the claim, SCA moderates, each SFA agrees, disputes, or marks not applicable.</w:t>
      </w:r>
    </w:p>
    <w:p>
      <w:pPr>
        <w:pStyle w:val="ListParagraph"/>
        <w:numPr>
          <w:ilvl w:val="0"/>
          <w:numId w:val="2"/>
        </w:numPr>
        <w:spacing w:after="100"/>
      </w:pPr>
      <w:r>
        <w:rPr>
          <w:rFonts w:ascii="Arial" w:cs="Arial" w:eastAsia="Arial" w:hAnsi="Arial"/>
          <w:b/>
          <w:bCs/>
          <w:sz w:val="22"/>
          <w:szCs w:val="22"/>
        </w:rPr>
        <w:t xml:space="preserve">Vision 2: </w:t>
      </w:r>
      <w:r>
        <w:rPr>
          <w:rFonts w:ascii="Arial" w:cs="Arial" w:eastAsia="Arial" w:hAnsi="Arial"/>
          <w:sz w:val="22"/>
          <w:szCs w:val="22"/>
        </w:rPr>
        <w:t xml:space="preserve">Conversation — the system is wired so each facet works with the others in real time to develop consensus on the claim.</w:t>
      </w:r>
    </w:p>
    <w:p>
      <w:pPr>
        <w:pBdr>
          <w:bottom w:val="single" w:color="2E75B6" w:sz="6" w:space="1"/>
        </w:pBdr>
        <w:spacing w:before="200" w:after="200"/>
      </w:pPr>
    </w:p>
    <w:p>
      <w:pPr>
        <w:pStyle w:val="Heading1"/>
      </w:pPr>
      <w:r>
        <w:rPr>
          <w:rFonts w:ascii="Arial" w:cs="Arial" w:eastAsia="Arial" w:hAnsi="Arial"/>
          <w:b/>
          <w:bCs/>
          <w:sz w:val="32"/>
          <w:szCs w:val="32"/>
        </w:rPr>
        <w:t xml:space="preserve">2. Playing the Role of POLITICAL SFA</w:t>
      </w:r>
    </w:p>
    <w:p>
      <w:pPr>
        <w:spacing w:after="160"/>
      </w:pPr>
      <w:r>
        <w:rPr>
          <w:rFonts w:ascii="Arial" w:cs="Arial" w:eastAsia="Arial" w:hAnsi="Arial"/>
          <w:sz w:val="22"/>
          <w:szCs w:val="22"/>
        </w:rPr>
        <w:t xml:space="preserve">To ground the abstract discussion, the business owner asked Claude to act as the POLITICAL SFA and process a real input text:</w:t>
      </w:r>
    </w:p>
    <w:p>
      <w:pPr>
        <w:spacing w:before="120" w:after="120"/>
        <w:ind w:left="720" w:right="720"/>
      </w:pPr>
      <w:r>
        <w:rPr>
          <w:rFonts w:ascii="Arial" w:cs="Arial" w:eastAsia="Arial" w:hAnsi="Arial"/>
          <w:i/>
          <w:iCs/>
          <w:color w:val="2E4057"/>
          <w:sz w:val="22"/>
          <w:szCs w:val="22"/>
        </w:rPr>
        <w:t xml:space="preserve">"The word conservative began to take on a specific political meaning in the U.S. when anti-slavery northerners refused to honor the Fugitive Slave Act that was part of the Compromise of 1850."</w:t>
      </w:r>
    </w:p>
    <w:p>
      <w:pPr>
        <w:spacing w:after="160"/>
      </w:pPr>
      <w:r>
        <w:rPr>
          <w:rFonts w:ascii="Arial" w:cs="Arial" w:eastAsia="Arial" w:hAnsi="Arial"/>
          <w:sz w:val="22"/>
          <w:szCs w:val="22"/>
        </w:rPr>
        <w:t xml:space="preserve">Source: [book, specific edition, page number — as provided by user]</w:t>
      </w:r>
    </w:p>
    <w:p>
      <w:pPr>
        <w:pStyle w:val="Heading2"/>
      </w:pPr>
      <w:r>
        <w:rPr>
          <w:rFonts w:ascii="Arial" w:cs="Arial" w:eastAsia="Arial" w:hAnsi="Arial"/>
          <w:b/>
          <w:bCs/>
          <w:sz w:val="28"/>
          <w:szCs w:val="28"/>
        </w:rPr>
        <w:t xml:space="preserve">2.1 What POLITICAL SFA Produced</w:t>
      </w:r>
    </w:p>
    <w:p>
      <w:pPr>
        <w:spacing w:after="160"/>
      </w:pPr>
      <w:r>
        <w:rPr>
          <w:rFonts w:ascii="Arial" w:cs="Arial" w:eastAsia="Arial" w:hAnsi="Arial"/>
          <w:sz w:val="22"/>
          <w:szCs w:val="22"/>
        </w:rPr>
        <w:t xml:space="preserve">The SFA decomposed the input into five nested propositions:</w:t>
      </w:r>
    </w:p>
    <w:p>
      <w:pPr>
        <w:pStyle w:val="ListParagraph"/>
        <w:numPr>
          <w:ilvl w:val="0"/>
          <w:numId w:val="2"/>
        </w:numPr>
        <w:spacing w:after="100"/>
      </w:pPr>
      <w:r>
        <w:rPr>
          <w:rFonts w:ascii="Arial" w:cs="Arial" w:eastAsia="Arial" w:hAnsi="Arial"/>
          <w:sz w:val="22"/>
          <w:szCs w:val="22"/>
        </w:rPr>
        <w:t xml:space="preserve">C1 — "conservative" had no specific US political meaning before ~1850</w:t>
      </w:r>
    </w:p>
    <w:p>
      <w:pPr>
        <w:pStyle w:val="ListParagraph"/>
        <w:numPr>
          <w:ilvl w:val="0"/>
          <w:numId w:val="2"/>
        </w:numPr>
        <w:spacing w:after="100"/>
      </w:pPr>
      <w:r>
        <w:rPr>
          <w:rFonts w:ascii="Arial" w:cs="Arial" w:eastAsia="Arial" w:hAnsi="Arial"/>
          <w:sz w:val="22"/>
          <w:szCs w:val="22"/>
        </w:rPr>
        <w:t xml:space="preserve">C2 — Anti-slavery northerners refused to honor the Fugitive Slave Act</w:t>
      </w:r>
    </w:p>
    <w:p>
      <w:pPr>
        <w:pStyle w:val="ListParagraph"/>
        <w:numPr>
          <w:ilvl w:val="0"/>
          <w:numId w:val="2"/>
        </w:numPr>
        <w:spacing w:after="100"/>
      </w:pPr>
      <w:r>
        <w:rPr>
          <w:rFonts w:ascii="Arial" w:cs="Arial" w:eastAsia="Arial" w:hAnsi="Arial"/>
          <w:sz w:val="22"/>
          <w:szCs w:val="22"/>
        </w:rPr>
        <w:t xml:space="preserve">C3 — The Fugitive Slave Act was part of the Compromise of 1850</w:t>
      </w:r>
    </w:p>
    <w:p>
      <w:pPr>
        <w:pStyle w:val="ListParagraph"/>
        <w:numPr>
          <w:ilvl w:val="0"/>
          <w:numId w:val="2"/>
        </w:numPr>
        <w:spacing w:after="100"/>
      </w:pPr>
      <w:r>
        <w:rPr>
          <w:rFonts w:ascii="Arial" w:cs="Arial" w:eastAsia="Arial" w:hAnsi="Arial"/>
          <w:sz w:val="22"/>
          <w:szCs w:val="22"/>
        </w:rPr>
        <w:t xml:space="preserve">C4 — The act of refusal is causally connected to the word acquiring meaning</w:t>
      </w:r>
    </w:p>
    <w:p>
      <w:pPr>
        <w:pStyle w:val="ListParagraph"/>
        <w:numPr>
          <w:ilvl w:val="0"/>
          <w:numId w:val="2"/>
        </w:numPr>
        <w:spacing w:after="100"/>
      </w:pPr>
      <w:r>
        <w:rPr>
          <w:rFonts w:ascii="Arial" w:cs="Arial" w:eastAsia="Arial" w:hAnsi="Arial"/>
          <w:sz w:val="22"/>
          <w:szCs w:val="22"/>
        </w:rPr>
        <w:t xml:space="preserve">C5 — This meaning was specifically political, not social or religious</w:t>
      </w:r>
    </w:p>
    <w:p>
      <w:pPr>
        <w:spacing w:after="160"/>
      </w:pPr>
      <w:r>
        <w:rPr>
          <w:rFonts w:ascii="Arial" w:cs="Arial" w:eastAsia="Arial" w:hAnsi="Arial"/>
          <w:sz w:val="22"/>
          <w:szCs w:val="22"/>
        </w:rPr>
        <w:t xml:space="preserve">POLITICAL SFA produced a claim asserting that northern refusal to enforce the Fugitive Slave Act constituted a political identity formation event — "conservative" acquired meaning by attaching to a position of principled non-compliance with federal authority rather than through self-definition or party formation.</w:t>
      </w:r>
    </w:p>
    <w:p>
      <w:pPr>
        <w:spacing w:after="160"/>
      </w:pPr>
      <w:r>
        <w:rPr>
          <w:rFonts w:ascii="Arial" w:cs="Arial" w:eastAsia="Arial" w:hAnsi="Arial"/>
          <w:b/>
          <w:bCs/>
          <w:sz w:val="22"/>
          <w:szCs w:val="22"/>
        </w:rPr>
        <w:t xml:space="preserve">Initial confidence: </w:t>
      </w:r>
      <w:r>
        <w:rPr>
          <w:rFonts w:ascii="Arial" w:cs="Arial" w:eastAsia="Arial" w:hAnsi="Arial"/>
          <w:sz w:val="22"/>
          <w:szCs w:val="22"/>
        </w:rPr>
        <w:t xml:space="preserve">0.81</w:t>
      </w:r>
    </w:p>
    <w:p>
      <w:pPr>
        <w:pStyle w:val="Heading2"/>
      </w:pPr>
      <w:r>
        <w:rPr>
          <w:rFonts w:ascii="Arial" w:cs="Arial" w:eastAsia="Arial" w:hAnsi="Arial"/>
          <w:b/>
          <w:bCs/>
          <w:sz w:val="28"/>
          <w:szCs w:val="28"/>
        </w:rPr>
        <w:t xml:space="preserve">2.2 The Basis Problem</w:t>
      </w:r>
    </w:p>
    <w:p>
      <w:pPr>
        <w:spacing w:after="160"/>
      </w:pPr>
      <w:r>
        <w:rPr>
          <w:rFonts w:ascii="Arial" w:cs="Arial" w:eastAsia="Arial" w:hAnsi="Arial"/>
          <w:sz w:val="22"/>
          <w:szCs w:val="22"/>
        </w:rPr>
        <w:t xml:space="preserve">The business owner's key question: "As a user, how do I know the basis for your claim?"</w:t>
      </w:r>
    </w:p>
    <w:p>
      <w:pPr>
        <w:spacing w:after="160"/>
      </w:pPr>
      <w:r>
        <w:rPr>
          <w:rFonts w:ascii="Arial" w:cs="Arial" w:eastAsia="Arial" w:hAnsi="Arial"/>
          <w:sz w:val="22"/>
          <w:szCs w:val="22"/>
        </w:rPr>
        <w:t xml:space="preserve">The claim had a confidence score but no traceable reasoning. The user cannot distinguish between what was derived from the input text, what was drawn from domain knowledge, and what was inferred from pattern recognition. This is a fundamental problem for a scholarly knowledge system — a claim without traceable basis is an assertion, not evidence.</w:t>
      </w:r>
    </w:p>
    <w:p>
      <w:pPr>
        <w:spacing w:after="160"/>
      </w:pPr>
      <w:r>
        <w:rPr>
          <w:rFonts w:ascii="Arial" w:cs="Arial" w:eastAsia="Arial" w:hAnsi="Arial"/>
          <w:sz w:val="22"/>
          <w:szCs w:val="22"/>
        </w:rPr>
        <w:t xml:space="preserve">The structured basis model required:</w:t>
      </w:r>
    </w:p>
    <w:p>
      <w:pPr>
        <w:pStyle w:val="ListParagraph"/>
        <w:numPr>
          <w:ilvl w:val="0"/>
          <w:numId w:val="2"/>
        </w:numPr>
        <w:spacing w:after="100"/>
      </w:pPr>
      <w:r>
        <w:rPr>
          <w:rFonts w:ascii="Arial" w:cs="Arial" w:eastAsia="Arial" w:hAnsi="Arial"/>
          <w:b/>
          <w:bCs/>
          <w:sz w:val="22"/>
          <w:szCs w:val="22"/>
        </w:rPr>
        <w:t xml:space="preserve">Type 1: </w:t>
      </w:r>
      <w:r>
        <w:rPr>
          <w:rFonts w:ascii="Arial" w:cs="Arial" w:eastAsia="Arial" w:hAnsi="Arial"/>
          <w:sz w:val="22"/>
          <w:szCs w:val="22"/>
        </w:rPr>
        <w:t xml:space="preserve">Direct — claim derived directly from input source text. Traceable to specific text.</w:t>
      </w:r>
    </w:p>
    <w:p>
      <w:pPr>
        <w:pStyle w:val="ListParagraph"/>
        <w:numPr>
          <w:ilvl w:val="0"/>
          <w:numId w:val="2"/>
        </w:numPr>
        <w:spacing w:after="100"/>
      </w:pPr>
      <w:r>
        <w:rPr>
          <w:rFonts w:ascii="Arial" w:cs="Arial" w:eastAsia="Arial" w:hAnsi="Arial"/>
          <w:b/>
          <w:bCs/>
          <w:sz w:val="22"/>
          <w:szCs w:val="22"/>
        </w:rPr>
        <w:t xml:space="preserve">Type 2: </w:t>
      </w:r>
      <w:r>
        <w:rPr>
          <w:rFonts w:ascii="Arial" w:cs="Arial" w:eastAsia="Arial" w:hAnsi="Arial"/>
          <w:sz w:val="22"/>
          <w:szCs w:val="22"/>
        </w:rPr>
        <w:t xml:space="preserve">Contextual — claim draws on graph data, federation sources, authority file entries. Traceable to specific nodes.</w:t>
      </w:r>
    </w:p>
    <w:p>
      <w:pPr>
        <w:pStyle w:val="ListParagraph"/>
        <w:numPr>
          <w:ilvl w:val="0"/>
          <w:numId w:val="2"/>
        </w:numPr>
        <w:spacing w:after="100"/>
      </w:pPr>
      <w:r>
        <w:rPr>
          <w:rFonts w:ascii="Arial" w:cs="Arial" w:eastAsia="Arial" w:hAnsi="Arial"/>
          <w:b/>
          <w:bCs/>
          <w:sz w:val="22"/>
          <w:szCs w:val="22"/>
        </w:rPr>
        <w:t xml:space="preserve">Type 3: </w:t>
      </w:r>
      <w:r>
        <w:rPr>
          <w:rFonts w:ascii="Arial" w:cs="Arial" w:eastAsia="Arial" w:hAnsi="Arial"/>
          <w:sz w:val="22"/>
          <w:szCs w:val="22"/>
        </w:rPr>
        <w:t xml:space="preserve">Inferential — claim applies an analytical framework from SFA constitution Layer 3 bibliography. Framework must be named and citable.</w:t>
      </w:r>
    </w:p>
    <w:p>
      <w:pPr>
        <w:pStyle w:val="Heading2"/>
      </w:pPr>
      <w:r>
        <w:rPr>
          <w:rFonts w:ascii="Arial" w:cs="Arial" w:eastAsia="Arial" w:hAnsi="Arial"/>
          <w:b/>
          <w:bCs/>
          <w:sz w:val="28"/>
          <w:szCs w:val="28"/>
        </w:rPr>
        <w:t xml:space="preserve">2.3 Fischer Fallacy Check</w:t>
      </w:r>
    </w:p>
    <w:p>
      <w:pPr>
        <w:spacing w:after="160"/>
      </w:pPr>
      <w:r>
        <w:rPr>
          <w:rFonts w:ascii="Arial" w:cs="Arial" w:eastAsia="Arial" w:hAnsi="Arial"/>
          <w:sz w:val="22"/>
          <w:szCs w:val="22"/>
        </w:rPr>
        <w:t xml:space="preserve">Before producing a claim, POLITICAL SFA runs the input through historian's fallacy checks drawn from David Hackett Fischer's Historians' Fallacies (1970) — a canonical Layer 3 constitution document applicable to every SFA in every domain.</w:t>
      </w:r>
    </w:p>
    <w:p>
      <w:pPr>
        <w:spacing w:after="160"/>
      </w:pPr>
      <w:r>
        <w:rPr>
          <w:rFonts w:ascii="Arial" w:cs="Arial" w:eastAsia="Arial" w:hAnsi="Arial"/>
          <w:sz w:val="22"/>
          <w:szCs w:val="22"/>
        </w:rPr>
        <w:t xml:space="preserve">Fallacy checks on the input text:</w:t>
      </w:r>
    </w:p>
    <w:p>
      <w:pPr>
        <w:pStyle w:val="ListParagraph"/>
        <w:numPr>
          <w:ilvl w:val="0"/>
          <w:numId w:val="2"/>
        </w:numPr>
        <w:spacing w:after="100"/>
      </w:pPr>
      <w:r>
        <w:rPr>
          <w:rFonts w:ascii="Arial" w:cs="Arial" w:eastAsia="Arial" w:hAnsi="Arial"/>
          <w:b/>
          <w:bCs/>
          <w:sz w:val="22"/>
          <w:szCs w:val="22"/>
        </w:rPr>
        <w:t xml:space="preserve">Flag 1: </w:t>
      </w:r>
      <w:r>
        <w:rPr>
          <w:rFonts w:ascii="Arial" w:cs="Arial" w:eastAsia="Arial" w:hAnsi="Arial"/>
          <w:sz w:val="22"/>
          <w:szCs w:val="22"/>
        </w:rPr>
        <w:t xml:space="preserve">Historians' Fallacy (proper) — SEVERITY: HIGH. Conservative as self-conscious identity label: contemporary usage vs retrospective attribution not established in source text.</w:t>
      </w:r>
    </w:p>
    <w:p>
      <w:pPr>
        <w:pStyle w:val="ListParagraph"/>
        <w:numPr>
          <w:ilvl w:val="0"/>
          <w:numId w:val="2"/>
        </w:numPr>
        <w:spacing w:after="100"/>
      </w:pPr>
      <w:r>
        <w:rPr>
          <w:rFonts w:ascii="Arial" w:cs="Arial" w:eastAsia="Arial" w:hAnsi="Arial"/>
          <w:b/>
          <w:bCs/>
          <w:sz w:val="22"/>
          <w:szCs w:val="22"/>
        </w:rPr>
        <w:t xml:space="preserve">Flag 2: </w:t>
      </w:r>
      <w:r>
        <w:rPr>
          <w:rFonts w:ascii="Arial" w:cs="Arial" w:eastAsia="Arial" w:hAnsi="Arial"/>
          <w:sz w:val="22"/>
          <w:szCs w:val="22"/>
        </w:rPr>
        <w:t xml:space="preserve">False Cause (post hoc) — SEVERITY: HIGH. Causal link between refusal and meaning formation asserted, not evidenced. Multiple contributing factors likely.</w:t>
      </w:r>
    </w:p>
    <w:p>
      <w:pPr>
        <w:pStyle w:val="ListParagraph"/>
        <w:numPr>
          <w:ilvl w:val="0"/>
          <w:numId w:val="2"/>
        </w:numPr>
        <w:spacing w:after="100"/>
      </w:pPr>
      <w:r>
        <w:rPr>
          <w:rFonts w:ascii="Arial" w:cs="Arial" w:eastAsia="Arial" w:hAnsi="Arial"/>
          <w:b/>
          <w:bCs/>
          <w:sz w:val="22"/>
          <w:szCs w:val="22"/>
        </w:rPr>
        <w:t xml:space="preserve">Flag 3: </w:t>
      </w:r>
      <w:r>
        <w:rPr>
          <w:rFonts w:ascii="Arial" w:cs="Arial" w:eastAsia="Arial" w:hAnsi="Arial"/>
          <w:sz w:val="22"/>
          <w:szCs w:val="22"/>
        </w:rPr>
        <w:t xml:space="preserve">Composition — SEVERITY: MEDIUM. Anti-slavery northerners treated as unified actor. Internal variation not acknowledged.</w:t>
      </w:r>
    </w:p>
    <w:p>
      <w:pPr>
        <w:pStyle w:val="ListParagraph"/>
        <w:numPr>
          <w:ilvl w:val="0"/>
          <w:numId w:val="2"/>
        </w:numPr>
        <w:spacing w:after="100"/>
      </w:pPr>
      <w:r>
        <w:rPr>
          <w:rFonts w:ascii="Arial" w:cs="Arial" w:eastAsia="Arial" w:hAnsi="Arial"/>
          <w:b/>
          <w:bCs/>
          <w:sz w:val="22"/>
          <w:szCs w:val="22"/>
        </w:rPr>
        <w:t xml:space="preserve">Flag 4: </w:t>
      </w:r>
      <w:r>
        <w:rPr>
          <w:rFonts w:ascii="Arial" w:cs="Arial" w:eastAsia="Arial" w:hAnsi="Arial"/>
          <w:sz w:val="22"/>
          <w:szCs w:val="22"/>
        </w:rPr>
        <w:t xml:space="preserve">Presentism — SEVERITY: MEDIUM. Modern meaning of conservative may be imported by reader. 1850 semantic content needs explicit establishment.</w:t>
      </w:r>
    </w:p>
    <w:p>
      <w:pPr>
        <w:pStyle w:val="ListParagraph"/>
        <w:numPr>
          <w:ilvl w:val="0"/>
          <w:numId w:val="2"/>
        </w:numPr>
        <w:spacing w:after="100"/>
      </w:pPr>
      <w:r>
        <w:rPr>
          <w:rFonts w:ascii="Arial" w:cs="Arial" w:eastAsia="Arial" w:hAnsi="Arial"/>
          <w:b/>
          <w:bCs/>
          <w:sz w:val="22"/>
          <w:szCs w:val="22"/>
        </w:rPr>
        <w:t xml:space="preserve">Flag 5: </w:t>
      </w:r>
      <w:r>
        <w:rPr>
          <w:rFonts w:ascii="Arial" w:cs="Arial" w:eastAsia="Arial" w:hAnsi="Arial"/>
          <w:sz w:val="22"/>
          <w:szCs w:val="22"/>
        </w:rPr>
        <w:t xml:space="preserve">Semantic Fallacy — SEVERITY: NONE. Text correctly uses "began to take on" — appropriately hedged.</w:t>
      </w:r>
    </w:p>
    <w:p>
      <w:pPr>
        <w:spacing w:after="160"/>
      </w:pPr>
      <w:r>
        <w:rPr>
          <w:rFonts w:ascii="Arial" w:cs="Arial" w:eastAsia="Arial" w:hAnsi="Arial"/>
          <w:b/>
          <w:bCs/>
          <w:sz w:val="22"/>
          <w:szCs w:val="22"/>
        </w:rPr>
        <w:t xml:space="preserve">Revised confidence after Fischer checks: </w:t>
      </w:r>
      <w:r>
        <w:rPr>
          <w:rFonts w:ascii="Arial" w:cs="Arial" w:eastAsia="Arial" w:hAnsi="Arial"/>
          <w:sz w:val="22"/>
          <w:szCs w:val="22"/>
        </w:rPr>
        <w:t xml:space="preserve">0.71  (reduced from 0.81 — HIGH severity flags on C4 causal claim and retrospective attribution)</w:t>
      </w:r>
    </w:p>
    <w:p>
      <w:pPr>
        <w:spacing w:after="160"/>
      </w:pPr>
      <w:r>
        <w:rPr>
          <w:rFonts w:ascii="Arial" w:cs="Arial" w:eastAsia="Arial" w:hAnsi="Arial"/>
          <w:sz w:val="22"/>
          <w:szCs w:val="22"/>
        </w:rPr>
        <w:t xml:space="preserve">Fischer's Historians' Fallacies is a cross-domain methodological reference — not facet-specific. It belongs in SYS_BibliographyRegistry as a shared Layer 3M (methodological) document available to all SFAs across all domains.</w:t>
      </w:r>
    </w:p>
    <w:p>
      <w:pPr>
        <w:pBdr>
          <w:bottom w:val="single" w:color="2E75B6" w:sz="6" w:space="1"/>
        </w:pBdr>
        <w:spacing w:before="200" w:after="200"/>
      </w:pPr>
    </w:p>
    <w:p>
      <w:pPr>
        <w:pStyle w:val="Heading1"/>
      </w:pPr>
      <w:r>
        <w:rPr>
          <w:rFonts w:ascii="Arial" w:cs="Arial" w:eastAsia="Arial" w:hAnsi="Arial"/>
          <w:b/>
          <w:bCs/>
          <w:sz w:val="32"/>
          <w:szCs w:val="32"/>
        </w:rPr>
        <w:t xml:space="preserve">3. Architectural Corrections During Roleplay</w:t>
      </w:r>
    </w:p>
    <w:p>
      <w:pPr>
        <w:pStyle w:val="Heading2"/>
      </w:pPr>
      <w:r>
        <w:rPr>
          <w:rFonts w:ascii="Arial" w:cs="Arial" w:eastAsia="Arial" w:hAnsi="Arial"/>
          <w:b/>
          <w:bCs/>
          <w:sz w:val="28"/>
          <w:szCs w:val="28"/>
        </w:rPr>
        <w:t xml:space="preserve">3.1 What SCA Actually Is</w:t>
      </w:r>
    </w:p>
    <w:p>
      <w:pPr>
        <w:spacing w:after="160"/>
      </w:pPr>
      <w:r>
        <w:rPr>
          <w:rFonts w:ascii="Arial" w:cs="Arial" w:eastAsia="Arial" w:hAnsi="Arial"/>
          <w:sz w:val="22"/>
          <w:szCs w:val="22"/>
        </w:rPr>
        <w:t xml:space="preserve">A critical correction emerged during the roleplay: S in SCA stands for Subject — tied to the FAST backbone. There is one SCA instance per SubjectConcept node, not one SCA for the entire system. 61 SubjectConcept nodes means up to 61 potential SCA instances.</w:t>
      </w:r>
    </w:p>
    <w:p>
      <w:pPr>
        <w:spacing w:after="160"/>
      </w:pPr>
      <w:r>
        <w:rPr>
          <w:rFonts w:ascii="Arial" w:cs="Arial" w:eastAsia="Arial" w:hAnsi="Arial"/>
          <w:sz w:val="22"/>
          <w:szCs w:val="22"/>
        </w:rPr>
        <w:t xml:space="preserve">The question therefore is not "which facets" — it is "which SCA" or "which SCAs" should receive the incoming claim.</w:t>
      </w:r>
    </w:p>
    <w:p>
      <w:pPr>
        <w:pStyle w:val="Heading2"/>
      </w:pPr>
      <w:r>
        <w:rPr>
          <w:rFonts w:ascii="Arial" w:cs="Arial" w:eastAsia="Arial" w:hAnsi="Arial"/>
          <w:b/>
          <w:bCs/>
          <w:sz w:val="28"/>
          <w:szCs w:val="28"/>
        </w:rPr>
        <w:t xml:space="preserve">3.2 The Two Routing Models</w:t>
      </w:r>
    </w:p>
    <w:p>
      <w:pPr>
        <w:spacing w:after="160"/>
      </w:pPr>
      <w:r>
        <w:rPr>
          <w:rFonts w:ascii="Arial" w:cs="Arial" w:eastAsia="Arial" w:hAnsi="Arial"/>
          <w:sz w:val="22"/>
          <w:szCs w:val="22"/>
        </w:rPr>
        <w:t xml:space="preserve">Two routing models were considered for delivering a claim to the right SCA(s):</w:t>
      </w:r>
    </w:p>
    <w:p>
      <w:pPr>
        <w:pStyle w:val="ListParagraph"/>
        <w:numPr>
          <w:ilvl w:val="0"/>
          <w:numId w:val="2"/>
        </w:numPr>
        <w:spacing w:after="100"/>
      </w:pPr>
      <w:r>
        <w:rPr>
          <w:rFonts w:ascii="Arial" w:cs="Arial" w:eastAsia="Arial" w:hAnsi="Arial"/>
          <w:b/>
          <w:bCs/>
          <w:sz w:val="22"/>
          <w:szCs w:val="22"/>
        </w:rPr>
        <w:t xml:space="preserve">Model 1: </w:t>
      </w:r>
      <w:r>
        <w:rPr>
          <w:rFonts w:ascii="Arial" w:cs="Arial" w:eastAsia="Arial" w:hAnsi="Arial"/>
          <w:sz w:val="22"/>
          <w:szCs w:val="22"/>
        </w:rPr>
        <w:t xml:space="preserve">Triage up front — a routing agent reads the raw text, reasons about it, queries the SubjectConcept registry, and determines which SCA(s) should receive it. Requires a concierge agent. Low priority for current prototype.</w:t>
      </w:r>
    </w:p>
    <w:p>
      <w:pPr>
        <w:pStyle w:val="ListParagraph"/>
        <w:numPr>
          <w:ilvl w:val="0"/>
          <w:numId w:val="2"/>
        </w:numPr>
        <w:spacing w:after="100"/>
      </w:pPr>
      <w:r>
        <w:rPr>
          <w:rFonts w:ascii="Arial" w:cs="Arial" w:eastAsia="Arial" w:hAnsi="Arial"/>
          <w:b/>
          <w:bCs/>
          <w:sz w:val="22"/>
          <w:szCs w:val="22"/>
        </w:rPr>
        <w:t xml:space="preserve">Model 2: </w:t>
      </w:r>
      <w:r>
        <w:rPr>
          <w:rFonts w:ascii="Arial" w:cs="Arial" w:eastAsia="Arial" w:hAnsi="Arial"/>
          <w:sz w:val="22"/>
          <w:szCs w:val="22"/>
        </w:rPr>
        <w:t xml:space="preserve">Broadcast and opt-in — the claim is broadcast to all SCAs. Each SCA evaluates relevance independently against its SubjectConcept anchor and FAST tags. Self-selecting SCAs spawn their SFAs. Others stay silent.</w:t>
      </w:r>
    </w:p>
    <w:p>
      <w:pPr>
        <w:spacing w:after="160"/>
      </w:pPr>
      <w:r>
        <w:rPr>
          <w:rFonts w:ascii="Arial" w:cs="Arial" w:eastAsia="Arial" w:hAnsi="Arial"/>
          <w:sz w:val="22"/>
          <w:szCs w:val="22"/>
        </w:rPr>
        <w:t xml:space="preserve">Broadcast and opt-in was selected as the correct near-term model because it requires no new agent, SCAs already know their SubjectConcept, and FAST backbone makes relevance evaluation a graph lookup rather than inference.</w:t>
      </w:r>
    </w:p>
    <w:p>
      <w:pPr>
        <w:pStyle w:val="Heading2"/>
      </w:pPr>
      <w:r>
        <w:rPr>
          <w:rFonts w:ascii="Arial" w:cs="Arial" w:eastAsia="Arial" w:hAnsi="Arial"/>
          <w:b/>
          <w:bCs/>
          <w:sz w:val="28"/>
          <w:szCs w:val="28"/>
        </w:rPr>
        <w:t xml:space="preserve">3.3 You Are the Concierge</w:t>
      </w:r>
    </w:p>
    <w:p>
      <w:pPr>
        <w:spacing w:after="160"/>
      </w:pPr>
      <w:r>
        <w:rPr>
          <w:rFonts w:ascii="Arial" w:cs="Arial" w:eastAsia="Arial" w:hAnsi="Arial"/>
          <w:sz w:val="22"/>
          <w:szCs w:val="22"/>
        </w:rPr>
        <w:t xml:space="preserve">The business owner clarified: in the startup model, the business owner acts as the concierge. QIDs representing broad subject areas are passed directly. There is no need to parse text — the domain expert is invoking a function.</w:t>
      </w:r>
    </w:p>
    <w:p>
      <w:pPr>
        <w:spacing w:before="80" w:after="80"/>
        <w:ind w:left="720"/>
      </w:pPr>
      <w:r>
        <w:rPr>
          <w:rFonts w:ascii="Courier New" w:cs="Courier New" w:eastAsia="Courier New" w:hAnsi="Courier New"/>
          <w:color w:val="2E4057"/>
          <w:sz w:val="18"/>
          <w:szCs w:val="18"/>
        </w:rPr>
        <w:t xml:space="preserve">You → QID → Broadcast to all SCAs → Self-selecting SCAs spawn SFAs → Claims produced → You navigate results</w:t>
      </w:r>
    </w:p>
    <w:p>
      <w:pPr>
        <w:spacing w:after="160"/>
      </w:pPr>
      <w:r>
        <w:rPr>
          <w:rFonts w:ascii="Arial" w:cs="Arial" w:eastAsia="Arial" w:hAnsi="Arial"/>
          <w:sz w:val="22"/>
          <w:szCs w:val="22"/>
        </w:rPr>
        <w:t xml:space="preserve">Phase 4 Concierge Agent is low priority because the business owner performs this function manually for the prototype. When Phase 3 Library Authority Integration is complete, FAST tags make the concierge's routing judgment automatable — FAST facets map directly to SFA assignments and LCSH headings suggest SubjectConcept candidates.</w:t>
      </w:r>
    </w:p>
    <w:p>
      <w:pPr>
        <w:pBdr>
          <w:bottom w:val="single" w:color="2E75B6" w:sz="6" w:space="1"/>
        </w:pBdr>
        <w:spacing w:before="200" w:after="200"/>
      </w:pPr>
    </w:p>
    <w:p>
      <w:pPr>
        <w:pStyle w:val="Heading1"/>
      </w:pPr>
      <w:r>
        <w:rPr>
          <w:rFonts w:ascii="Arial" w:cs="Arial" w:eastAsia="Arial" w:hAnsi="Arial"/>
          <w:b/>
          <w:bCs/>
          <w:sz w:val="32"/>
          <w:szCs w:val="32"/>
        </w:rPr>
        <w:t xml:space="preserve">4. Vertex Jumping vs Traversal</w:t>
      </w:r>
    </w:p>
    <w:p>
      <w:pPr>
        <w:spacing w:after="160"/>
      </w:pPr>
      <w:r>
        <w:rPr>
          <w:rFonts w:ascii="Arial" w:cs="Arial" w:eastAsia="Arial" w:hAnsi="Arial"/>
          <w:sz w:val="22"/>
          <w:szCs w:val="22"/>
        </w:rPr>
        <w:t xml:space="preserve">A key architectural insight emerged: the multi-agent pattern implements vertex jumping, not graph traversal.</w:t>
      </w:r>
    </w:p>
    <w:p>
      <w:pPr>
        <w:pStyle w:val="ListParagraph"/>
        <w:numPr>
          <w:ilvl w:val="0"/>
          <w:numId w:val="2"/>
        </w:numPr>
        <w:spacing w:after="100"/>
      </w:pPr>
      <w:r>
        <w:rPr>
          <w:rFonts w:ascii="Arial" w:cs="Arial" w:eastAsia="Arial" w:hAnsi="Arial"/>
          <w:b/>
          <w:bCs/>
          <w:sz w:val="22"/>
          <w:szCs w:val="22"/>
        </w:rPr>
        <w:t xml:space="preserve">Traversal: </w:t>
      </w:r>
      <w:r>
        <w:rPr>
          <w:rFonts w:ascii="Arial" w:cs="Arial" w:eastAsia="Arial" w:hAnsi="Arial"/>
          <w:sz w:val="22"/>
          <w:szCs w:val="22"/>
        </w:rPr>
        <w:t xml:space="preserve">Traversal — finds what is connected. Discovers nodes by following edges. Graph distance determines reachability.</w:t>
      </w:r>
    </w:p>
    <w:p>
      <w:pPr>
        <w:pStyle w:val="ListParagraph"/>
        <w:numPr>
          <w:ilvl w:val="0"/>
          <w:numId w:val="2"/>
        </w:numPr>
        <w:spacing w:after="100"/>
      </w:pPr>
      <w:r>
        <w:rPr>
          <w:rFonts w:ascii="Arial" w:cs="Arial" w:eastAsia="Arial" w:hAnsi="Arial"/>
          <w:b/>
          <w:bCs/>
          <w:sz w:val="22"/>
          <w:szCs w:val="22"/>
        </w:rPr>
        <w:t xml:space="preserve">Vertex jumping: </w:t>
      </w:r>
      <w:r>
        <w:rPr>
          <w:rFonts w:ascii="Arial" w:cs="Arial" w:eastAsia="Arial" w:hAnsi="Arial"/>
          <w:sz w:val="22"/>
          <w:szCs w:val="22"/>
        </w:rPr>
        <w:t xml:space="preserve">Vertex jumping — finds what is semantically relevant regardless of graph distance. QID resolution and FAST tag matching provide direct address to any node in the graph.</w:t>
      </w:r>
    </w:p>
    <w:p>
      <w:pPr>
        <w:spacing w:after="160"/>
      </w:pPr>
      <w:r>
        <w:rPr>
          <w:rFonts w:ascii="Arial" w:cs="Arial" w:eastAsia="Arial" w:hAnsi="Arial"/>
          <w:sz w:val="22"/>
          <w:szCs w:val="22"/>
        </w:rPr>
        <w:t xml:space="preserve">The primary SCA doesn't traverse to find relevant nodes. It jumps directly to the vertices identified by the incoming QID and its FAST-backed SubjectConcept anchor. The initial subcluster boundary is defined by semantic coherence, not graph topology.</w:t>
      </w:r>
    </w:p>
    <w:p>
      <w:pPr>
        <w:spacing w:after="160"/>
      </w:pPr>
      <w:r>
        <w:rPr>
          <w:rFonts w:ascii="Arial" w:cs="Arial" w:eastAsia="Arial" w:hAnsi="Arial"/>
          <w:sz w:val="22"/>
          <w:szCs w:val="22"/>
        </w:rPr>
        <w:t xml:space="preserve">Secondary SFAs jump to the same vertices and evaluate from their facet perspective. No traversal. No path computation. Direct address.</w:t>
      </w:r>
    </w:p>
    <w:p>
      <w:pPr>
        <w:spacing w:after="160"/>
      </w:pPr>
      <w:r>
        <w:rPr>
          <w:rFonts w:ascii="Arial" w:cs="Arial" w:eastAsia="Arial" w:hAnsi="Arial"/>
          <w:sz w:val="22"/>
          <w:szCs w:val="22"/>
        </w:rPr>
        <w:t xml:space="preserve">This is why the FAST backbone is architecturally critical — FAST tags are the semantic addressing system that makes vertex jumping precise.</w:t>
      </w:r>
    </w:p>
    <w:p>
      <w:pPr>
        <w:pBdr>
          <w:bottom w:val="single" w:color="2E75B6" w:sz="6" w:space="1"/>
        </w:pBdr>
        <w:spacing w:before="200" w:after="200"/>
      </w:pPr>
    </w:p>
    <w:p>
      <w:pPr>
        <w:pStyle w:val="Heading1"/>
      </w:pPr>
      <w:r>
        <w:rPr>
          <w:rFonts w:ascii="Arial" w:cs="Arial" w:eastAsia="Arial" w:hAnsi="Arial"/>
          <w:b/>
          <w:bCs/>
          <w:sz w:val="32"/>
          <w:szCs w:val="32"/>
        </w:rPr>
        <w:t xml:space="preserve">5. The Four Cipher States</w:t>
      </w:r>
    </w:p>
    <w:p>
      <w:pPr>
        <w:spacing w:after="160"/>
      </w:pPr>
      <w:r>
        <w:rPr>
          <w:rFonts w:ascii="Arial" w:cs="Arial" w:eastAsia="Arial" w:hAnsi="Arial"/>
          <w:sz w:val="22"/>
          <w:szCs w:val="22"/>
        </w:rPr>
        <w:t xml:space="preserve">When a SCA/SFA lands on the subcluster, it cannot assume that nodes or claims already exist. The cipher — a content-addressable key derived from claim content and source — determines which of four states applies:</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Cipher Match</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Nodes Exist</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Exact — same source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No-op. Already fully captured.</w:t>
            </w:r>
          </w:p>
        </w:tc>
      </w:tr>
      <w:tr>
        <w:tc>
          <w:tcPr>
            <w:tcW w:type="dxa" w:w="2340"/>
            <w:tcBorders>
              <w:top w:val="single" w:color="CCCCCC" w:sz="1"/>
              <w:left w:val="single" w:color="CCCCCC" w:sz="1"/>
              <w:bottom w:val="single" w:color="CCCCCC" w:sz="1"/>
              <w:right w:val="single" w:color="CCCCCC" w:sz="1"/>
            </w:tcBorders>
            <w:shd w:fill="EEF2F5" w:val="clear"/>
            <w:tcMar>
              <w:top w:type="dxa" w:w="80"/>
              <w:left w:type="dxa" w:w="120"/>
              <w:bottom w:type="dxa" w:w="80"/>
              <w:right w:type="dxa" w:w="120"/>
            </w:tcMar>
          </w:tcPr>
          <w:p>
            <w:r>
              <w:rPr>
                <w:rFonts w:ascii="Arial" w:cs="Arial" w:eastAsia="Arial" w:hAnsi="Arial"/>
                <w:b/>
                <w:bCs/>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Exact — different source</w:t>
            </w:r>
          </w:p>
        </w:tc>
        <w:tc>
          <w:tcPr>
            <w:tcW w:type="dxa" w:w="2340"/>
            <w:tcBorders>
              <w:top w:val="single" w:color="CCCCCC" w:sz="1"/>
              <w:left w:val="single" w:color="CCCCCC" w:sz="1"/>
              <w:bottom w:val="single" w:color="CCCCCC" w:sz="1"/>
              <w:right w:val="single" w:color="CCCCCC" w:sz="1"/>
            </w:tcBorders>
            <w:shd w:fill="EEF2F5"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shd w:fill="EEF2F5" w:val="clear"/>
            <w:tcMar>
              <w:top w:type="dxa" w:w="80"/>
              <w:left w:type="dxa" w:w="120"/>
              <w:bottom w:type="dxa" w:w="80"/>
              <w:right w:type="dxa" w:w="120"/>
            </w:tcMar>
          </w:tcPr>
          <w:p>
            <w:r>
              <w:rPr>
                <w:rFonts w:ascii="Arial" w:cs="Arial" w:eastAsia="Arial" w:hAnsi="Arial"/>
                <w:b w:val="false"/>
                <w:bCs w:val="false"/>
                <w:sz w:val="20"/>
                <w:szCs w:val="20"/>
              </w:rPr>
              <w:t xml:space="preserve">Add source to provenance. Confidence increases. No new node.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match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SFA proposes new claim. Governance pipeline. Subcluster extended.</w:t>
            </w:r>
          </w:p>
        </w:tc>
      </w:tr>
      <w:tr>
        <w:tc>
          <w:tcPr>
            <w:tcW w:type="dxa" w:w="2340"/>
            <w:tcBorders>
              <w:top w:val="single" w:color="CCCCCC" w:sz="1"/>
              <w:left w:val="single" w:color="CCCCCC" w:sz="1"/>
              <w:bottom w:val="single" w:color="CCCCCC" w:sz="1"/>
              <w:right w:val="single" w:color="CCCCCC" w:sz="1"/>
            </w:tcBorders>
            <w:shd w:fill="EEF2F5" w:val="clear"/>
            <w:tcMar>
              <w:top w:type="dxa" w:w="80"/>
              <w:left w:type="dxa" w:w="120"/>
              <w:bottom w:type="dxa" w:w="80"/>
              <w:right w:type="dxa" w:w="120"/>
            </w:tcMar>
          </w:tcPr>
          <w:p>
            <w:r>
              <w:rPr>
                <w:rFonts w:ascii="Arial" w:cs="Arial" w:eastAsia="Arial" w:hAnsi="Arial"/>
                <w:b/>
                <w:bCs/>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match</w:t>
            </w:r>
          </w:p>
        </w:tc>
        <w:tc>
          <w:tcPr>
            <w:tcW w:type="dxa" w:w="2340"/>
            <w:tcBorders>
              <w:top w:val="single" w:color="CCCCCC" w:sz="1"/>
              <w:left w:val="single" w:color="CCCCCC" w:sz="1"/>
              <w:bottom w:val="single" w:color="CCCCCC" w:sz="1"/>
              <w:right w:val="single" w:color="CCCCCC" w:sz="1"/>
            </w:tcBorders>
            <w:shd w:fill="EEF2F5"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2340"/>
            <w:tcBorders>
              <w:top w:val="single" w:color="CCCCCC" w:sz="1"/>
              <w:left w:val="single" w:color="CCCCCC" w:sz="1"/>
              <w:bottom w:val="single" w:color="CCCCCC" w:sz="1"/>
              <w:right w:val="single" w:color="CCCCCC" w:sz="1"/>
            </w:tcBorders>
            <w:shd w:fill="EEF2F5" w:val="clear"/>
            <w:tcMar>
              <w:top w:type="dxa" w:w="80"/>
              <w:left w:type="dxa" w:w="120"/>
              <w:bottom w:type="dxa" w:w="80"/>
              <w:right w:type="dxa" w:w="120"/>
            </w:tcMar>
          </w:tcPr>
          <w:p>
            <w:r>
              <w:rPr>
                <w:rFonts w:ascii="Arial" w:cs="Arial" w:eastAsia="Arial" w:hAnsi="Arial"/>
                <w:b w:val="false"/>
                <w:bCs w:val="false"/>
                <w:sz w:val="20"/>
                <w:szCs w:val="20"/>
              </w:rPr>
              <w:t xml:space="preserve">SCA creates nodes at mid/leaf level. Then follows State 3 path.</w:t>
            </w:r>
          </w:p>
        </w:tc>
      </w:tr>
    </w:tbl>
    <w:p>
      <w:pPr>
        <w:spacing w:before="160" w:after="160"/>
      </w:pPr>
    </w:p>
    <w:p>
      <w:pPr>
        <w:pStyle w:val="Heading2"/>
      </w:pPr>
      <w:r>
        <w:rPr>
          <w:rFonts w:ascii="Arial" w:cs="Arial" w:eastAsia="Arial" w:hAnsi="Arial"/>
          <w:b/>
          <w:bCs/>
          <w:sz w:val="28"/>
          <w:szCs w:val="28"/>
        </w:rPr>
        <w:t xml:space="preserve">5.1 State 2 Detail — Different Source, Same Claim</w:t>
      </w:r>
    </w:p>
    <w:p>
      <w:pPr>
        <w:spacing w:after="160"/>
      </w:pPr>
      <w:r>
        <w:rPr>
          <w:rFonts w:ascii="Arial" w:cs="Arial" w:eastAsia="Arial" w:hAnsi="Arial"/>
          <w:sz w:val="22"/>
          <w:szCs w:val="22"/>
        </w:rPr>
        <w:t xml:space="preserve">State 2 is particularly important. When the same claim arrives from a different source, this is independent corroboration — one of the most valuable signals in historical scholarship. The action is not human review but automatic confidence increase. The source is added to the claim's provenance. No new claim node is created. GPS writes a source relationship only.</w:t>
      </w:r>
    </w:p>
    <w:p>
      <w:pPr>
        <w:pStyle w:val="Heading2"/>
      </w:pPr>
      <w:r>
        <w:rPr>
          <w:rFonts w:ascii="Arial" w:cs="Arial" w:eastAsia="Arial" w:hAnsi="Arial"/>
          <w:b/>
          <w:bCs/>
          <w:sz w:val="28"/>
          <w:szCs w:val="28"/>
        </w:rPr>
        <w:t xml:space="preserve">5.2 State 4 Detail — SCA Creates Nodes</w:t>
      </w:r>
    </w:p>
    <w:p>
      <w:pPr>
        <w:spacing w:after="160"/>
      </w:pPr>
      <w:r>
        <w:rPr>
          <w:rFonts w:ascii="Arial" w:cs="Arial" w:eastAsia="Arial" w:hAnsi="Arial"/>
          <w:sz w:val="22"/>
          <w:szCs w:val="22"/>
        </w:rPr>
        <w:t xml:space="preserve">When entities referenced in the claim don't exist in the graph, SCA creates them at the appropriate hierarchy level:</w:t>
      </w:r>
    </w:p>
    <w:p>
      <w:pPr>
        <w:pStyle w:val="ListParagraph"/>
        <w:numPr>
          <w:ilvl w:val="0"/>
          <w:numId w:val="2"/>
        </w:numPr>
        <w:spacing w:after="100"/>
      </w:pPr>
      <w:r>
        <w:rPr>
          <w:rFonts w:ascii="Arial" w:cs="Arial" w:eastAsia="Arial" w:hAnsi="Arial"/>
          <w:sz w:val="22"/>
          <w:szCs w:val="22"/>
        </w:rPr>
        <w:t xml:space="preserve">SubjectConcept level — architect decision only. SCA cannot create SubjectConcept nodes autonomously.</w:t>
      </w:r>
    </w:p>
    <w:p>
      <w:pPr>
        <w:pStyle w:val="ListParagraph"/>
        <w:numPr>
          <w:ilvl w:val="0"/>
          <w:numId w:val="2"/>
        </w:numPr>
        <w:spacing w:after="100"/>
      </w:pPr>
      <w:r>
        <w:rPr>
          <w:rFonts w:ascii="Arial" w:cs="Arial" w:eastAsia="Arial" w:hAnsi="Arial"/>
          <w:sz w:val="22"/>
          <w:szCs w:val="22"/>
        </w:rPr>
        <w:t xml:space="preserve">Entity level (mid-level cluster member) — SCA can propose and create.</w:t>
      </w:r>
    </w:p>
    <w:p>
      <w:pPr>
        <w:pStyle w:val="ListParagraph"/>
        <w:numPr>
          <w:ilvl w:val="0"/>
          <w:numId w:val="2"/>
        </w:numPr>
        <w:spacing w:after="100"/>
      </w:pPr>
      <w:r>
        <w:rPr>
          <w:rFonts w:ascii="Arial" w:cs="Arial" w:eastAsia="Arial" w:hAnsi="Arial"/>
          <w:sz w:val="22"/>
          <w:szCs w:val="22"/>
        </w:rPr>
        <w:t xml:space="preserve">Property value (leaf level) — SCA can propose and create directly.</w:t>
      </w:r>
    </w:p>
    <w:p>
      <w:pPr>
        <w:spacing w:after="160"/>
      </w:pPr>
      <w:r>
        <w:rPr>
          <w:rFonts w:ascii="Arial" w:cs="Arial" w:eastAsia="Arial" w:hAnsi="Arial"/>
          <w:sz w:val="22"/>
          <w:szCs w:val="22"/>
        </w:rPr>
        <w:t xml:space="preserve">After node creation, State 4 follows the State 3 path — claim proposed against newly created nodes, enters governance pipeline.</w:t>
      </w:r>
    </w:p>
    <w:p>
      <w:pPr>
        <w:pStyle w:val="Heading2"/>
      </w:pPr>
      <w:r>
        <w:rPr>
          <w:rFonts w:ascii="Arial" w:cs="Arial" w:eastAsia="Arial" w:hAnsi="Arial"/>
          <w:b/>
          <w:bCs/>
          <w:sz w:val="28"/>
          <w:szCs w:val="28"/>
        </w:rPr>
        <w:t xml:space="preserve">5.3 Concurrence and Enrichment</w:t>
      </w:r>
    </w:p>
    <w:p>
      <w:pPr>
        <w:spacing w:after="160"/>
      </w:pPr>
      <w:r>
        <w:rPr>
          <w:rFonts w:ascii="Arial" w:cs="Arial" w:eastAsia="Arial" w:hAnsi="Arial"/>
          <w:sz w:val="22"/>
          <w:szCs w:val="22"/>
        </w:rPr>
        <w:t xml:space="preserve">When secondary SFAs evaluate the primary SCA's initial subcluster, three outcomes are possible:</w:t>
      </w:r>
    </w:p>
    <w:p>
      <w:pPr>
        <w:pStyle w:val="ListParagraph"/>
        <w:numPr>
          <w:ilvl w:val="0"/>
          <w:numId w:val="2"/>
        </w:numPr>
        <w:spacing w:after="100"/>
      </w:pPr>
      <w:r>
        <w:rPr>
          <w:rFonts w:ascii="Arial" w:cs="Arial" w:eastAsia="Arial" w:hAnsi="Arial"/>
          <w:sz w:val="22"/>
          <w:szCs w:val="22"/>
        </w:rPr>
        <w:t xml:space="preserve">Concur — subcluster is coherent from this facet's perspective. No new nodes needed. Composite confidence increases.</w:t>
      </w:r>
    </w:p>
    <w:p>
      <w:pPr>
        <w:pStyle w:val="ListParagraph"/>
        <w:numPr>
          <w:ilvl w:val="0"/>
          <w:numId w:val="2"/>
        </w:numPr>
        <w:spacing w:after="100"/>
      </w:pPr>
      <w:r>
        <w:rPr>
          <w:rFonts w:ascii="Arial" w:cs="Arial" w:eastAsia="Arial" w:hAnsi="Arial"/>
          <w:sz w:val="22"/>
          <w:szCs w:val="22"/>
        </w:rPr>
        <w:t xml:space="preserve">Enrich — subcluster is incomplete from this facet's perspective. SFA proposes a specific missing node or relationship. Composite held in assembling state until enrichment is done. No human review required.</w:t>
      </w:r>
    </w:p>
    <w:p>
      <w:pPr>
        <w:pStyle w:val="ListParagraph"/>
        <w:numPr>
          <w:ilvl w:val="0"/>
          <w:numId w:val="2"/>
        </w:numPr>
        <w:spacing w:after="100"/>
      </w:pPr>
      <w:r>
        <w:rPr>
          <w:rFonts w:ascii="Arial" w:cs="Arial" w:eastAsia="Arial" w:hAnsi="Arial"/>
          <w:sz w:val="22"/>
          <w:szCs w:val="22"/>
        </w:rPr>
        <w:t xml:space="preserve">Reject — subcluster contains a claim this facet actively contradicts. Conflict flagged for human review. Composite not auto-promoted.</w:t>
      </w:r>
    </w:p>
    <w:p>
      <w:pPr>
        <w:pBdr>
          <w:bottom w:val="single" w:color="2E75B6" w:sz="6" w:space="1"/>
        </w:pBdr>
        <w:spacing w:before="200" w:after="200"/>
      </w:pPr>
    </w:p>
    <w:p>
      <w:pPr>
        <w:pStyle w:val="Heading1"/>
      </w:pPr>
      <w:r>
        <w:rPr>
          <w:rFonts w:ascii="Arial" w:cs="Arial" w:eastAsia="Arial" w:hAnsi="Arial"/>
          <w:b/>
          <w:bCs/>
          <w:sz w:val="32"/>
          <w:szCs w:val="32"/>
        </w:rPr>
        <w:t xml:space="preserve">6. Graph Implications of the Input Text</w:t>
      </w:r>
    </w:p>
    <w:p>
      <w:pPr>
        <w:spacing w:after="160"/>
      </w:pPr>
      <w:r>
        <w:rPr>
          <w:rFonts w:ascii="Arial" w:cs="Arial" w:eastAsia="Arial" w:hAnsi="Arial"/>
          <w:sz w:val="22"/>
          <w:szCs w:val="22"/>
        </w:rPr>
        <w:t xml:space="preserve">The input text, once processed, should produce the following nodes and relationships in the graph:</w:t>
      </w:r>
    </w:p>
    <w:p>
      <w:pPr>
        <w:pStyle w:val="Heading2"/>
      </w:pPr>
      <w:r>
        <w:rPr>
          <w:rFonts w:ascii="Arial" w:cs="Arial" w:eastAsia="Arial" w:hAnsi="Arial"/>
          <w:b/>
          <w:bCs/>
          <w:sz w:val="28"/>
          <w:szCs w:val="28"/>
        </w:rPr>
        <w:t xml:space="preserve">6.1 Entity Nodes</w:t>
      </w:r>
    </w:p>
    <w:p>
      <w:pPr>
        <w:spacing w:before="80" w:after="80"/>
        <w:ind w:left="720"/>
      </w:pPr>
      <w:r>
        <w:rPr>
          <w:rFonts w:ascii="Courier New" w:cs="Courier New" w:eastAsia="Courier New" w:hAnsi="Courier New"/>
          <w:color w:val="2E4057"/>
          <w:sz w:val="18"/>
          <w:szCs w:val="18"/>
        </w:rPr>
        <w:t xml:space="preserve">Entity: Q744448 — Fugitive Slave Act</w:t>
      </w:r>
    </w:p>
    <w:p>
      <w:pPr>
        <w:spacing w:before="80" w:after="80"/>
        <w:ind w:left="720"/>
      </w:pPr>
      <w:r>
        <w:rPr>
          <w:rFonts w:ascii="Courier New" w:cs="Courier New" w:eastAsia="Courier New" w:hAnsi="Courier New"/>
          <w:color w:val="2E4057"/>
          <w:sz w:val="18"/>
          <w:szCs w:val="18"/>
        </w:rPr>
        <w:t xml:space="preserve">Entity: Q224095 — Compromise of 1850</w:t>
      </w:r>
    </w:p>
    <w:p>
      <w:pPr>
        <w:spacing w:before="80" w:after="80"/>
        <w:ind w:left="720"/>
      </w:pPr>
      <w:r>
        <w:rPr>
          <w:rFonts w:ascii="Courier New" w:cs="Courier New" w:eastAsia="Courier New" w:hAnsi="Courier New"/>
          <w:color w:val="2E4057"/>
          <w:sz w:val="18"/>
          <w:szCs w:val="18"/>
        </w:rPr>
        <w:t xml:space="preserve">Entity: Q30     — United States</w:t>
      </w:r>
    </w:p>
    <w:p>
      <w:pPr>
        <w:pStyle w:val="Heading2"/>
      </w:pPr>
      <w:r>
        <w:rPr>
          <w:rFonts w:ascii="Arial" w:cs="Arial" w:eastAsia="Arial" w:hAnsi="Arial"/>
          <w:b/>
          <w:bCs/>
          <w:sz w:val="28"/>
          <w:szCs w:val="28"/>
        </w:rPr>
        <w:t xml:space="preserve">6.2 Relationships</w:t>
      </w:r>
    </w:p>
    <w:p>
      <w:pPr>
        <w:spacing w:before="80" w:after="80"/>
        <w:ind w:left="720"/>
      </w:pPr>
      <w:r>
        <w:rPr>
          <w:rFonts w:ascii="Courier New" w:cs="Courier New" w:eastAsia="Courier New" w:hAnsi="Courier New"/>
          <w:color w:val="2E4057"/>
          <w:sz w:val="18"/>
          <w:szCs w:val="18"/>
        </w:rPr>
        <w:t xml:space="preserve">(Fugitive Slave Act)-[:PART_OF]-&gt;(Compromise of 1850)</w:t>
      </w:r>
    </w:p>
    <w:p>
      <w:pPr>
        <w:spacing w:before="80" w:after="80"/>
        <w:ind w:left="720"/>
      </w:pPr>
      <w:r>
        <w:rPr>
          <w:rFonts w:ascii="Courier New" w:cs="Courier New" w:eastAsia="Courier New" w:hAnsi="Courier New"/>
          <w:color w:val="2E4057"/>
          <w:sz w:val="18"/>
          <w:szCs w:val="18"/>
        </w:rPr>
        <w:t xml:space="preserve">(Fugitive Slave Act)-[:JURISDICTION]-&gt;(United States)</w:t>
      </w:r>
    </w:p>
    <w:p>
      <w:pPr>
        <w:pStyle w:val="Heading2"/>
      </w:pPr>
      <w:r>
        <w:rPr>
          <w:rFonts w:ascii="Arial" w:cs="Arial" w:eastAsia="Arial" w:hAnsi="Arial"/>
          <w:b/>
          <w:bCs/>
          <w:sz w:val="28"/>
          <w:szCs w:val="28"/>
        </w:rPr>
        <w:t xml:space="preserve">6.3 Claim Node with Full Provenance</w:t>
      </w:r>
    </w:p>
    <w:p>
      <w:pPr>
        <w:spacing w:before="80" w:after="80"/>
        <w:ind w:left="720"/>
      </w:pPr>
      <w:r>
        <w:rPr>
          <w:rFonts w:ascii="Courier New" w:cs="Courier New" w:eastAsia="Courier New" w:hAnsi="Courier New"/>
          <w:color w:val="2E4057"/>
          <w:sz w:val="18"/>
          <w:szCs w:val="18"/>
        </w:rPr>
        <w:t xml:space="preserve">(POLITICAL SFA Claim)-[:ABOUT]-&gt;(Fugitive Slave Act)</w:t>
      </w:r>
    </w:p>
    <w:p>
      <w:pPr>
        <w:spacing w:before="80" w:after="80"/>
        <w:ind w:left="720"/>
      </w:pPr>
      <w:r>
        <w:rPr>
          <w:rFonts w:ascii="Courier New" w:cs="Courier New" w:eastAsia="Courier New" w:hAnsi="Courier New"/>
          <w:color w:val="2E4057"/>
          <w:sz w:val="18"/>
          <w:szCs w:val="18"/>
        </w:rPr>
        <w:t xml:space="preserve">(POLITICAL SFA Claim)-[:ABOUT]-&gt;(Compromise of 1850)</w:t>
      </w:r>
    </w:p>
    <w:p>
      <w:pPr>
        <w:spacing w:before="80" w:after="80"/>
        <w:ind w:left="720"/>
      </w:pPr>
      <w:r>
        <w:rPr>
          <w:rFonts w:ascii="Courier New" w:cs="Courier New" w:eastAsia="Courier New" w:hAnsi="Courier New"/>
          <w:color w:val="2E4057"/>
          <w:sz w:val="18"/>
          <w:szCs w:val="18"/>
        </w:rPr>
        <w:t xml:space="preserve">(POLITICAL SFA Claim)-[:ASSERTS]-&gt;(SubjectConcept: US Political Identity Formation)</w:t>
      </w:r>
    </w:p>
    <w:p>
      <w:pPr>
        <w:spacing w:before="80" w:after="80"/>
        <w:ind w:left="720"/>
      </w:pPr>
      <w:r>
        <w:rPr>
          <w:rFonts w:ascii="Courier New" w:cs="Courier New" w:eastAsia="Courier New" w:hAnsi="Courier New"/>
          <w:color w:val="2E4057"/>
          <w:sz w:val="18"/>
          <w:szCs w:val="18"/>
        </w:rPr>
        <w:t xml:space="preserve">(POLITICAL SFA Claim)-[:SOURCED_FROM]-&gt;(source provenance node)</w:t>
      </w:r>
    </w:p>
    <w:p>
      <w:pPr>
        <w:spacing w:before="80" w:after="80"/>
        <w:ind w:left="720"/>
      </w:pPr>
      <w:r>
        <w:rPr>
          <w:rFonts w:ascii="Courier New" w:cs="Courier New" w:eastAsia="Courier New" w:hAnsi="Courier New"/>
          <w:color w:val="2E4057"/>
          <w:sz w:val="18"/>
          <w:szCs w:val="18"/>
        </w:rPr>
        <w:t xml:space="preserve">(POLITICAL SFA Claim)-[:FLAGGED_BY]-&gt;(FischerFallacy: False Cause)</w:t>
      </w:r>
    </w:p>
    <w:p>
      <w:pPr>
        <w:spacing w:before="80" w:after="80"/>
        <w:ind w:left="720"/>
      </w:pPr>
      <w:r>
        <w:rPr>
          <w:rFonts w:ascii="Courier New" w:cs="Courier New" w:eastAsia="Courier New" w:hAnsi="Courier New"/>
          <w:color w:val="2E4057"/>
          <w:sz w:val="18"/>
          <w:szCs w:val="18"/>
        </w:rPr>
        <w:t xml:space="preserve">(POLITICAL SFA Claim)-[:FLAGGED_BY]-&gt;(FischerFallacy: Composition)</w:t>
      </w:r>
    </w:p>
    <w:p>
      <w:pPr>
        <w:spacing w:after="160"/>
      </w:pPr>
      <w:r>
        <w:rPr>
          <w:rFonts w:ascii="Arial" w:cs="Arial" w:eastAsia="Arial" w:hAnsi="Arial"/>
          <w:sz w:val="22"/>
          <w:szCs w:val="22"/>
        </w:rPr>
        <w:t xml:space="preserve">The user navigating Cytoscape sees not a claim in isolation but the entity nodes already in the graph, the claim attached to those nodes, the fallacy flags as navigable relationships, and the source as a navigable node. The graph answers "what is the basis for this claim" by letting the user traverse to the answer.</w:t>
      </w:r>
    </w:p>
    <w:p>
      <w:pPr>
        <w:pBdr>
          <w:bottom w:val="single" w:color="2E75B6" w:sz="6" w:space="1"/>
        </w:pBdr>
        <w:spacing w:before="200" w:after="200"/>
      </w:pPr>
    </w:p>
    <w:p>
      <w:pPr>
        <w:pStyle w:val="Heading1"/>
      </w:pPr>
      <w:r>
        <w:rPr>
          <w:rFonts w:ascii="Arial" w:cs="Arial" w:eastAsia="Arial" w:hAnsi="Arial"/>
          <w:b/>
          <w:bCs/>
          <w:sz w:val="32"/>
          <w:szCs w:val="32"/>
        </w:rPr>
        <w:t xml:space="preserve">7. Constitution Layer Extension — Layer 3M</w:t>
      </w:r>
    </w:p>
    <w:p>
      <w:pPr>
        <w:spacing w:after="160"/>
      </w:pPr>
      <w:r>
        <w:rPr>
          <w:rFonts w:ascii="Arial" w:cs="Arial" w:eastAsia="Arial" w:hAnsi="Arial"/>
          <w:sz w:val="22"/>
          <w:szCs w:val="22"/>
        </w:rPr>
        <w:t xml:space="preserve">The Fischer fallacy check revealed a new distinction in the SFA constitution layer structure:</w:t>
      </w:r>
    </w:p>
    <w:p>
      <w:pPr>
        <w:pStyle w:val="ListParagraph"/>
        <w:numPr>
          <w:ilvl w:val="0"/>
          <w:numId w:val="2"/>
        </w:numPr>
        <w:spacing w:after="100"/>
      </w:pPr>
      <w:r>
        <w:rPr>
          <w:rFonts w:ascii="Arial" w:cs="Arial" w:eastAsia="Arial" w:hAnsi="Arial"/>
          <w:b/>
          <w:bCs/>
          <w:sz w:val="22"/>
          <w:szCs w:val="22"/>
        </w:rPr>
        <w:t xml:space="preserve">Layer 1: </w:t>
      </w:r>
      <w:r>
        <w:rPr>
          <w:rFonts w:ascii="Arial" w:cs="Arial" w:eastAsia="Arial" w:hAnsi="Arial"/>
          <w:sz w:val="22"/>
          <w:szCs w:val="22"/>
        </w:rPr>
        <w:t xml:space="preserve">Layer 1 — Graph domain data. Always Neo4j. Domain and facet specific.</w:t>
      </w:r>
    </w:p>
    <w:p>
      <w:pPr>
        <w:pStyle w:val="ListParagraph"/>
        <w:numPr>
          <w:ilvl w:val="0"/>
          <w:numId w:val="2"/>
        </w:numPr>
        <w:spacing w:after="100"/>
      </w:pPr>
      <w:r>
        <w:rPr>
          <w:rFonts w:ascii="Arial" w:cs="Arial" w:eastAsia="Arial" w:hAnsi="Arial"/>
          <w:b/>
          <w:bCs/>
          <w:sz w:val="22"/>
          <w:szCs w:val="22"/>
        </w:rPr>
        <w:t xml:space="preserve">Layer 2: </w:t>
      </w:r>
      <w:r>
        <w:rPr>
          <w:rFonts w:ascii="Arial" w:cs="Arial" w:eastAsia="Arial" w:hAnsi="Arial"/>
          <w:sz w:val="22"/>
          <w:szCs w:val="22"/>
        </w:rPr>
        <w:t xml:space="preserve">Layer 2 — Primary sources. Perseus + facet-specific supplements (Pleiades for GEOGRAPHIC, JSTOR for ARCHAEOLOGICAL).</w:t>
      </w:r>
    </w:p>
    <w:p>
      <w:pPr>
        <w:pStyle w:val="ListParagraph"/>
        <w:numPr>
          <w:ilvl w:val="0"/>
          <w:numId w:val="2"/>
        </w:numPr>
        <w:spacing w:after="100"/>
      </w:pPr>
      <w:r>
        <w:rPr>
          <w:rFonts w:ascii="Arial" w:cs="Arial" w:eastAsia="Arial" w:hAnsi="Arial"/>
          <w:b/>
          <w:bCs/>
          <w:sz w:val="22"/>
          <w:szCs w:val="22"/>
        </w:rPr>
        <w:t xml:space="preserve">Layer 3: </w:t>
      </w:r>
      <w:r>
        <w:rPr>
          <w:rFonts w:ascii="Arial" w:cs="Arial" w:eastAsia="Arial" w:hAnsi="Arial"/>
          <w:sz w:val="22"/>
          <w:szCs w:val="22"/>
        </w:rPr>
        <w:t xml:space="preserve">Layer 3 — Facet-specific bibliography. Domain expert owned. Facet and domain dependent.</w:t>
      </w:r>
    </w:p>
    <w:p>
      <w:pPr>
        <w:pStyle w:val="ListParagraph"/>
        <w:numPr>
          <w:ilvl w:val="0"/>
          <w:numId w:val="2"/>
        </w:numPr>
        <w:spacing w:after="100"/>
      </w:pPr>
      <w:r>
        <w:rPr>
          <w:rFonts w:ascii="Arial" w:cs="Arial" w:eastAsia="Arial" w:hAnsi="Arial"/>
          <w:b/>
          <w:bCs/>
          <w:sz w:val="22"/>
          <w:szCs w:val="22"/>
        </w:rPr>
        <w:t xml:space="preserve">Layer 3M (new): </w:t>
      </w:r>
      <w:r>
        <w:rPr>
          <w:rFonts w:ascii="Arial" w:cs="Arial" w:eastAsia="Arial" w:hAnsi="Arial"/>
          <w:sz w:val="22"/>
          <w:szCs w:val="22"/>
        </w:rPr>
        <w:t xml:space="preserve">Layer 3M — Methodological bibliography. Cross-domain. Available to all SFAs across all domains.</w:t>
      </w:r>
    </w:p>
    <w:p>
      <w:pPr>
        <w:spacing w:after="160"/>
      </w:pPr>
      <w:r>
        <w:rPr>
          <w:rFonts w:ascii="Arial" w:cs="Arial" w:eastAsia="Arial" w:hAnsi="Arial"/>
          <w:sz w:val="22"/>
          <w:szCs w:val="22"/>
        </w:rPr>
        <w:t xml:space="preserve">Layer 3M canonical entries include:</w:t>
      </w:r>
    </w:p>
    <w:p>
      <w:pPr>
        <w:pStyle w:val="ListParagraph"/>
        <w:numPr>
          <w:ilvl w:val="0"/>
          <w:numId w:val="2"/>
        </w:numPr>
        <w:spacing w:after="100"/>
      </w:pPr>
      <w:r>
        <w:rPr>
          <w:rFonts w:ascii="Arial" w:cs="Arial" w:eastAsia="Arial" w:hAnsi="Arial"/>
          <w:sz w:val="22"/>
          <w:szCs w:val="22"/>
        </w:rPr>
        <w:t xml:space="preserve">Fischer, D.H. (1970). Historians' Fallacies: Toward a Logic of Historical Thought.</w:t>
      </w:r>
    </w:p>
    <w:p>
      <w:pPr>
        <w:pStyle w:val="ListParagraph"/>
        <w:numPr>
          <w:ilvl w:val="0"/>
          <w:numId w:val="2"/>
        </w:numPr>
        <w:spacing w:after="100"/>
      </w:pPr>
      <w:r>
        <w:rPr>
          <w:rFonts w:ascii="Arial" w:cs="Arial" w:eastAsia="Arial" w:hAnsi="Arial"/>
          <w:sz w:val="22"/>
          <w:szCs w:val="22"/>
        </w:rPr>
        <w:t xml:space="preserve">Tosh, J. The Pursuit of History.</w:t>
      </w:r>
    </w:p>
    <w:p>
      <w:pPr>
        <w:pStyle w:val="ListParagraph"/>
        <w:numPr>
          <w:ilvl w:val="0"/>
          <w:numId w:val="2"/>
        </w:numPr>
        <w:spacing w:after="100"/>
      </w:pPr>
      <w:r>
        <w:rPr>
          <w:rFonts w:ascii="Arial" w:cs="Arial" w:eastAsia="Arial" w:hAnsi="Arial"/>
          <w:sz w:val="22"/>
          <w:szCs w:val="22"/>
        </w:rPr>
        <w:t xml:space="preserve">Collingwood, R.G. The Idea of History.</w:t>
      </w:r>
    </w:p>
    <w:p>
      <w:pPr>
        <w:spacing w:after="160"/>
      </w:pPr>
      <w:r>
        <w:rPr>
          <w:rFonts w:ascii="Arial" w:cs="Arial" w:eastAsia="Arial" w:hAnsi="Arial"/>
          <w:sz w:val="22"/>
          <w:szCs w:val="22"/>
        </w:rPr>
        <w:t xml:space="preserve">Layer 3M belongs in SYS_BibliographyRegistry as a shared methodological resource — not under any single facet's bibliography.</w:t>
      </w:r>
    </w:p>
    <w:p>
      <w:pPr>
        <w:pBdr>
          <w:bottom w:val="single" w:color="2E75B6" w:sz="6" w:space="1"/>
        </w:pBdr>
        <w:spacing w:before="200" w:after="200"/>
      </w:pPr>
    </w:p>
    <w:p>
      <w:pPr>
        <w:pStyle w:val="Heading1"/>
      </w:pPr>
      <w:r>
        <w:rPr>
          <w:rFonts w:ascii="Arial" w:cs="Arial" w:eastAsia="Arial" w:hAnsi="Arial"/>
          <w:b/>
          <w:bCs/>
          <w:sz w:val="32"/>
          <w:szCs w:val="32"/>
        </w:rPr>
        <w:t xml:space="preserve">8. ECONOMIC SFA — Parallel Processing</w:t>
      </w:r>
    </w:p>
    <w:p>
      <w:pPr>
        <w:spacing w:after="160"/>
      </w:pPr>
      <w:r>
        <w:rPr>
          <w:rFonts w:ascii="Arial" w:cs="Arial" w:eastAsia="Arial" w:hAnsi="Arial"/>
          <w:sz w:val="22"/>
          <w:szCs w:val="22"/>
        </w:rPr>
        <w:t xml:space="preserve">While POLITICAL SFA processed the input as primary, ECONOMIC SFA ran in parallel against the same broadcast, same cipher check, same four-state logic — but through its own facet lens.</w:t>
      </w:r>
    </w:p>
    <w:p>
      <w:pPr>
        <w:pStyle w:val="Heading2"/>
      </w:pPr>
      <w:r>
        <w:rPr>
          <w:rFonts w:ascii="Arial" w:cs="Arial" w:eastAsia="Arial" w:hAnsi="Arial"/>
          <w:b/>
          <w:bCs/>
          <w:sz w:val="28"/>
          <w:szCs w:val="28"/>
        </w:rPr>
        <w:t xml:space="preserve">8.1 Relevance Evaluation</w:t>
      </w:r>
    </w:p>
    <w:p>
      <w:pPr>
        <w:spacing w:after="160"/>
      </w:pPr>
      <w:r>
        <w:rPr>
          <w:rFonts w:ascii="Arial" w:cs="Arial" w:eastAsia="Arial" w:hAnsi="Arial"/>
          <w:b/>
          <w:bCs/>
          <w:sz w:val="22"/>
          <w:szCs w:val="22"/>
        </w:rPr>
        <w:t xml:space="preserve">Relevance score: </w:t>
      </w:r>
      <w:r>
        <w:rPr>
          <w:rFonts w:ascii="Arial" w:cs="Arial" w:eastAsia="Arial" w:hAnsi="Arial"/>
          <w:sz w:val="22"/>
          <w:szCs w:val="22"/>
        </w:rPr>
        <w:t xml:space="preserve">0.68 — relevant but not primary territory. ECONOMIC self-selects as secondary SFA.</w:t>
      </w:r>
    </w:p>
    <w:p>
      <w:pPr>
        <w:pStyle w:val="ListParagraph"/>
        <w:numPr>
          <w:ilvl w:val="0"/>
          <w:numId w:val="2"/>
        </w:numPr>
        <w:spacing w:after="100"/>
      </w:pPr>
      <w:r>
        <w:rPr>
          <w:rFonts w:ascii="Arial" w:cs="Arial" w:eastAsia="Arial" w:hAnsi="Arial"/>
          <w:sz w:val="22"/>
          <w:szCs w:val="22"/>
        </w:rPr>
        <w:t xml:space="preserve">The Fugitive Slave Act had direct economic implications — compliance costs, disruption to free Black labor force.</w:t>
      </w:r>
    </w:p>
    <w:p>
      <w:pPr>
        <w:pStyle w:val="ListParagraph"/>
        <w:numPr>
          <w:ilvl w:val="0"/>
          <w:numId w:val="2"/>
        </w:numPr>
        <w:spacing w:after="100"/>
      </w:pPr>
      <w:r>
        <w:rPr>
          <w:rFonts w:ascii="Arial" w:cs="Arial" w:eastAsia="Arial" w:hAnsi="Arial"/>
          <w:sz w:val="22"/>
          <w:szCs w:val="22"/>
        </w:rPr>
        <w:t xml:space="preserve">Northern manufacturing had complex relationships with southern cotton — the Compromise of 1850 was partly economic accommodation.</w:t>
      </w:r>
    </w:p>
    <w:p>
      <w:pPr>
        <w:pStyle w:val="ListParagraph"/>
        <w:numPr>
          <w:ilvl w:val="0"/>
          <w:numId w:val="2"/>
        </w:numPr>
        <w:spacing w:after="100"/>
      </w:pPr>
      <w:r>
        <w:rPr>
          <w:rFonts w:ascii="Arial" w:cs="Arial" w:eastAsia="Arial" w:hAnsi="Arial"/>
          <w:sz w:val="22"/>
          <w:szCs w:val="22"/>
        </w:rPr>
        <w:t xml:space="preserve">The political identity forming around refusal had an economic constituency — northern free labor ideology vs southern slave economy.</w:t>
      </w:r>
    </w:p>
    <w:p>
      <w:pPr>
        <w:pStyle w:val="Heading2"/>
      </w:pPr>
      <w:r>
        <w:rPr>
          <w:rFonts w:ascii="Arial" w:cs="Arial" w:eastAsia="Arial" w:hAnsi="Arial"/>
          <w:b/>
          <w:bCs/>
          <w:sz w:val="28"/>
          <w:szCs w:val="28"/>
        </w:rPr>
        <w:t xml:space="preserve">8.2 Cipher Check</w:t>
      </w:r>
    </w:p>
    <w:p>
      <w:pPr>
        <w:spacing w:after="160"/>
      </w:pPr>
      <w:r>
        <w:rPr>
          <w:rFonts w:ascii="Arial" w:cs="Arial" w:eastAsia="Arial" w:hAnsi="Arial"/>
          <w:b/>
          <w:bCs/>
          <w:sz w:val="22"/>
          <w:szCs w:val="22"/>
        </w:rPr>
        <w:t xml:space="preserve">State: </w:t>
      </w:r>
      <w:r>
        <w:rPr>
          <w:rFonts w:ascii="Arial" w:cs="Arial" w:eastAsia="Arial" w:hAnsi="Arial"/>
          <w:sz w:val="22"/>
          <w:szCs w:val="22"/>
        </w:rPr>
        <w:t xml:space="preserve">3 — nodes exist (Q744448, Q224095, Q30), no cipher match on ECONOMIC facet. Proceeds to analysis.</w:t>
      </w:r>
    </w:p>
    <w:p>
      <w:pPr>
        <w:pStyle w:val="Heading2"/>
      </w:pPr>
      <w:r>
        <w:rPr>
          <w:rFonts w:ascii="Arial" w:cs="Arial" w:eastAsia="Arial" w:hAnsi="Arial"/>
          <w:b/>
          <w:bCs/>
          <w:sz w:val="28"/>
          <w:szCs w:val="28"/>
        </w:rPr>
        <w:t xml:space="preserve">8.3 Fischer Fallacy Check — ECONOMIC Lens</w:t>
      </w:r>
    </w:p>
    <w:p>
      <w:pPr>
        <w:spacing w:after="160"/>
      </w:pPr>
      <w:r>
        <w:rPr>
          <w:rFonts w:ascii="Arial" w:cs="Arial" w:eastAsia="Arial" w:hAnsi="Arial"/>
          <w:sz w:val="22"/>
          <w:szCs w:val="22"/>
        </w:rPr>
        <w:t xml:space="preserve">Same input text, but the fallacy profile differs significantly from POLITICAL SFA:</w:t>
      </w:r>
    </w:p>
    <w:p>
      <w:pPr>
        <w:pStyle w:val="ListParagraph"/>
        <w:numPr>
          <w:ilvl w:val="0"/>
          <w:numId w:val="2"/>
        </w:numPr>
        <w:spacing w:after="100"/>
      </w:pPr>
      <w:r>
        <w:rPr>
          <w:rFonts w:ascii="Arial" w:cs="Arial" w:eastAsia="Arial" w:hAnsi="Arial"/>
          <w:b/>
          <w:bCs/>
          <w:sz w:val="22"/>
          <w:szCs w:val="22"/>
        </w:rPr>
        <w:t xml:space="preserve">Flag 1: </w:t>
      </w:r>
      <w:r>
        <w:rPr>
          <w:rFonts w:ascii="Arial" w:cs="Arial" w:eastAsia="Arial" w:hAnsi="Arial"/>
          <w:sz w:val="22"/>
          <w:szCs w:val="22"/>
        </w:rPr>
        <w:t xml:space="preserve">False Cause — SEVERITY: HIGH. Economic pressure on northern compliance may be as causally significant as moral or political conviction. Multiple causal chains operate simultaneously.</w:t>
      </w:r>
    </w:p>
    <w:p>
      <w:pPr>
        <w:pStyle w:val="ListParagraph"/>
        <w:numPr>
          <w:ilvl w:val="0"/>
          <w:numId w:val="2"/>
        </w:numPr>
        <w:spacing w:after="100"/>
      </w:pPr>
      <w:r>
        <w:rPr>
          <w:rFonts w:ascii="Arial" w:cs="Arial" w:eastAsia="Arial" w:hAnsi="Arial"/>
          <w:b/>
          <w:bCs/>
          <w:sz w:val="22"/>
          <w:szCs w:val="22"/>
        </w:rPr>
        <w:t xml:space="preserve">Flag 2: </w:t>
      </w:r>
      <w:r>
        <w:rPr>
          <w:rFonts w:ascii="Arial" w:cs="Arial" w:eastAsia="Arial" w:hAnsi="Arial"/>
          <w:sz w:val="22"/>
          <w:szCs w:val="22"/>
        </w:rPr>
        <w:t xml:space="preserve">Composition — SEVERITY: HIGH (stronger than POLITICAL SFA's MEDIUM). Northern textile manufacturers had economic incentive to preserve southern cotton. Northern free laborers had economic incentive to oppose slave labor competition. These are contradictory economic positions within the same geographic group.</w:t>
      </w:r>
    </w:p>
    <w:p>
      <w:pPr>
        <w:pStyle w:val="ListParagraph"/>
        <w:numPr>
          <w:ilvl w:val="0"/>
          <w:numId w:val="2"/>
        </w:numPr>
        <w:spacing w:after="100"/>
      </w:pPr>
      <w:r>
        <w:rPr>
          <w:rFonts w:ascii="Arial" w:cs="Arial" w:eastAsia="Arial" w:hAnsi="Arial"/>
          <w:b/>
          <w:bCs/>
          <w:sz w:val="22"/>
          <w:szCs w:val="22"/>
        </w:rPr>
        <w:t xml:space="preserve">Flag 3: </w:t>
      </w:r>
      <w:r>
        <w:rPr>
          <w:rFonts w:ascii="Arial" w:cs="Arial" w:eastAsia="Arial" w:hAnsi="Arial"/>
          <w:sz w:val="22"/>
          <w:szCs w:val="22"/>
        </w:rPr>
        <w:t xml:space="preserve">Anachronism — SEVERITY: MEDIUM. The economic structures of 1850 differ significantly from modern projection. The meaning of economic interest in 1850 needs grounding in period-specific conditions.</w:t>
      </w:r>
    </w:p>
    <w:p>
      <w:pPr>
        <w:pStyle w:val="Heading2"/>
      </w:pPr>
      <w:r>
        <w:rPr>
          <w:rFonts w:ascii="Arial" w:cs="Arial" w:eastAsia="Arial" w:hAnsi="Arial"/>
          <w:b/>
          <w:bCs/>
          <w:sz w:val="28"/>
          <w:szCs w:val="28"/>
        </w:rPr>
        <w:t xml:space="preserve">8.4 Claim Produced</w:t>
      </w:r>
    </w:p>
    <w:p>
      <w:pPr>
        <w:spacing w:before="120" w:after="120"/>
        <w:ind w:left="720" w:right="720"/>
      </w:pPr>
      <w:r>
        <w:rPr>
          <w:rFonts w:ascii="Arial" w:cs="Arial" w:eastAsia="Arial" w:hAnsi="Arial"/>
          <w:i/>
          <w:iCs/>
          <w:color w:val="2E4057"/>
          <w:sz w:val="22"/>
          <w:szCs w:val="22"/>
        </w:rPr>
        <w:t xml:space="preserve">Northern refusal to enforce the Fugitive Slave Act operated within a contested economic landscape. Anti-slavery northerners were not economically unified. Northern free labor ideology directly conflicted with northern manufacturing interests dependent on southern cotton. The political identity forming around refusal drew its economic base primarily from the free labor constituency, not from manufacturing capital.</w:t>
      </w:r>
    </w:p>
    <w:p>
      <w:pPr>
        <w:spacing w:after="160"/>
      </w:pPr>
      <w:r>
        <w:rPr>
          <w:rFonts w:ascii="Arial" w:cs="Arial" w:eastAsia="Arial" w:hAnsi="Arial"/>
          <w:b/>
          <w:bCs/>
          <w:sz w:val="22"/>
          <w:szCs w:val="22"/>
        </w:rPr>
        <w:t xml:space="preserve">Confidence: </w:t>
      </w:r>
      <w:r>
        <w:rPr>
          <w:rFonts w:ascii="Arial" w:cs="Arial" w:eastAsia="Arial" w:hAnsi="Arial"/>
          <w:sz w:val="22"/>
          <w:szCs w:val="22"/>
        </w:rPr>
        <w:t xml:space="preserve">0.65</w:t>
      </w:r>
    </w:p>
    <w:p>
      <w:pPr>
        <w:spacing w:after="160"/>
      </w:pPr>
      <w:r>
        <w:rPr>
          <w:rFonts w:ascii="Arial" w:cs="Arial" w:eastAsia="Arial" w:hAnsi="Arial"/>
          <w:sz w:val="22"/>
          <w:szCs w:val="22"/>
        </w:rPr>
        <w:t xml:space="preserve">Gaps: Northern manufacturing capital position not established. Free labor movement economic base not quantified. Cost of compliance vs refusal not addressed in source text.</w:t>
      </w:r>
    </w:p>
    <w:p>
      <w:pPr>
        <w:pStyle w:val="Heading2"/>
      </w:pPr>
      <w:r>
        <w:rPr>
          <w:rFonts w:ascii="Arial" w:cs="Arial" w:eastAsia="Arial" w:hAnsi="Arial"/>
          <w:b/>
          <w:bCs/>
          <w:sz w:val="28"/>
          <w:szCs w:val="28"/>
        </w:rPr>
        <w:t xml:space="preserve">8.5 Enrichment Proposal to Primary SCA</w:t>
      </w:r>
    </w:p>
    <w:p>
      <w:pPr>
        <w:spacing w:after="160"/>
      </w:pPr>
      <w:r>
        <w:rPr>
          <w:rFonts w:ascii="Arial" w:cs="Arial" w:eastAsia="Arial" w:hAnsi="Arial"/>
          <w:sz w:val="22"/>
          <w:szCs w:val="22"/>
        </w:rPr>
        <w:t xml:space="preserve">ECONOMIC SFA passed its claim to POLITICAL SFA (primary) with a specific enrichment proposal:</w:t>
      </w:r>
    </w:p>
    <w:p>
      <w:pPr>
        <w:spacing w:before="80" w:after="80"/>
        <w:ind w:left="720"/>
      </w:pPr>
      <w:r>
        <w:rPr>
          <w:rFonts w:ascii="Courier New" w:cs="Courier New" w:eastAsia="Courier New" w:hAnsi="Courier New"/>
          <w:color w:val="2E4057"/>
          <w:sz w:val="18"/>
          <w:szCs w:val="18"/>
        </w:rPr>
        <w:t xml:space="preserve">enrichment_proposed: true</w:t>
      </w:r>
    </w:p>
    <w:p>
      <w:pPr>
        <w:spacing w:before="80" w:after="80"/>
        <w:ind w:left="720"/>
      </w:pPr>
      <w:r>
        <w:rPr>
          <w:rFonts w:ascii="Courier New" w:cs="Courier New" w:eastAsia="Courier New" w:hAnsi="Courier New"/>
          <w:color w:val="2E4057"/>
          <w:sz w:val="18"/>
          <w:szCs w:val="18"/>
        </w:rPr>
        <w:t xml:space="preserve">proposed_node: Northern Free Labor Movement — economic constituency</w:t>
      </w:r>
    </w:p>
    <w:p>
      <w:pPr>
        <w:spacing w:before="80" w:after="80"/>
        <w:ind w:left="720"/>
      </w:pPr>
      <w:r>
        <w:rPr>
          <w:rFonts w:ascii="Courier New" w:cs="Courier New" w:eastAsia="Courier New" w:hAnsi="Courier New"/>
          <w:color w:val="2E4057"/>
          <w:sz w:val="18"/>
          <w:szCs w:val="18"/>
        </w:rPr>
        <w:t xml:space="preserve">proposed_relationship: [:ECONOMIC_BASE_OF]-&gt;(SubjectConcept: US Political Identity Formation)</w:t>
      </w:r>
    </w:p>
    <w:p>
      <w:pPr>
        <w:spacing w:before="80" w:after="80"/>
        <w:ind w:left="720"/>
      </w:pPr>
      <w:r>
        <w:rPr>
          <w:rFonts w:ascii="Courier New" w:cs="Courier New" w:eastAsia="Courier New" w:hAnsi="Courier New"/>
          <w:color w:val="2E4057"/>
          <w:sz w:val="18"/>
          <w:szCs w:val="18"/>
        </w:rPr>
        <w:t xml:space="preserve">concurrence_on_political_claim: PARTIAL</w:t>
      </w:r>
    </w:p>
    <w:p>
      <w:pPr>
        <w:spacing w:after="160"/>
      </w:pPr>
      <w:r>
        <w:rPr>
          <w:rFonts w:ascii="Arial" w:cs="Arial" w:eastAsia="Arial" w:hAnsi="Arial"/>
          <w:sz w:val="22"/>
          <w:szCs w:val="22"/>
        </w:rPr>
        <w:t xml:space="preserve">The enrichment asserts the POLITICAL SFA claim is coherent but incomplete. The subcluster cannot be submitted without either adding the free labor node or documenting a deliberate decision to exclude it.</w:t>
      </w:r>
    </w:p>
    <w:p>
      <w:pPr>
        <w:pBdr>
          <w:bottom w:val="single" w:color="2E75B6" w:sz="6" w:space="1"/>
        </w:pBdr>
        <w:spacing w:before="200" w:after="200"/>
      </w:pPr>
    </w:p>
    <w:p>
      <w:pPr>
        <w:pStyle w:val="Heading1"/>
      </w:pPr>
      <w:r>
        <w:rPr>
          <w:rFonts w:ascii="Arial" w:cs="Arial" w:eastAsia="Arial" w:hAnsi="Arial"/>
          <w:b/>
          <w:bCs/>
          <w:sz w:val="32"/>
          <w:szCs w:val="32"/>
        </w:rPr>
        <w:t xml:space="preserve">9. Parallel SFA Comparison — What Two Facets Reveal Together</w:t>
      </w:r>
    </w:p>
    <w:p>
      <w:pPr>
        <w:pStyle w:val="Heading2"/>
      </w:pPr>
      <w:r>
        <w:rPr>
          <w:rFonts w:ascii="Arial" w:cs="Arial" w:eastAsia="Arial" w:hAnsi="Arial"/>
          <w:b/>
          <w:bCs/>
          <w:sz w:val="28"/>
          <w:szCs w:val="28"/>
        </w:rPr>
        <w:t xml:space="preserve">9.1 Divergent Severity on the Same Fallacy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Fallacy</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POLITICAL SFA</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ECONOMIC SFA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 Cause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HIGH — different causal mechanism</w:t>
            </w:r>
          </w:p>
        </w:tc>
      </w:tr>
      <w:tr>
        <w:tc>
          <w:tcPr>
            <w:tcW w:type="dxa" w:w="3120"/>
            <w:tcBorders>
              <w:top w:val="single" w:color="CCCCCC" w:sz="1"/>
              <w:left w:val="single" w:color="CCCCCC" w:sz="1"/>
              <w:bottom w:val="single" w:color="CCCCCC" w:sz="1"/>
              <w:right w:val="single" w:color="CCCCCC" w:sz="1"/>
            </w:tcBorders>
            <w:shd w:fill="EEF2F5" w:val="clear"/>
            <w:tcMar>
              <w:top w:type="dxa" w:w="80"/>
              <w:left w:type="dxa" w:w="120"/>
              <w:bottom w:type="dxa" w:w="80"/>
              <w:right w:type="dxa" w:w="120"/>
            </w:tcMar>
          </w:tcPr>
          <w:p>
            <w:r>
              <w:rPr>
                <w:rFonts w:ascii="Arial" w:cs="Arial" w:eastAsia="Arial" w:hAnsi="Arial"/>
                <w:sz w:val="20"/>
                <w:szCs w:val="20"/>
              </w:rPr>
              <w:t xml:space="preserve">Composition</w:t>
            </w:r>
          </w:p>
        </w:tc>
        <w:tc>
          <w:tcPr>
            <w:tcW w:type="dxa" w:w="3120"/>
            <w:tcBorders>
              <w:top w:val="single" w:color="CCCCCC" w:sz="1"/>
              <w:left w:val="single" w:color="CCCCCC" w:sz="1"/>
              <w:bottom w:val="single" w:color="CCCCCC" w:sz="1"/>
              <w:right w:val="single" w:color="CCCCCC" w:sz="1"/>
            </w:tcBorders>
            <w:shd w:fill="EEF2F5" w:val="clear"/>
            <w:tcMar>
              <w:top w:type="dxa" w:w="80"/>
              <w:left w:type="dxa" w:w="120"/>
              <w:bottom w:type="dxa" w:w="80"/>
              <w:right w:type="dxa" w:w="120"/>
            </w:tcMar>
          </w:tcPr>
          <w:p>
            <w:r>
              <w:rPr>
                <w:rFonts w:ascii="Arial" w:cs="Arial" w:eastAsia="Arial" w:hAnsi="Arial"/>
                <w:color w:val="CC7700"/>
                <w:sz w:val="20"/>
                <w:szCs w:val="20"/>
              </w:rPr>
              <w:t xml:space="preserve">MEDIUM</w:t>
            </w:r>
          </w:p>
        </w:tc>
        <w:tc>
          <w:tcPr>
            <w:tcW w:type="dxa" w:w="3120"/>
            <w:tcBorders>
              <w:top w:val="single" w:color="CCCCCC" w:sz="1"/>
              <w:left w:val="single" w:color="CCCCCC" w:sz="1"/>
              <w:bottom w:val="single" w:color="CCCCCC" w:sz="1"/>
              <w:right w:val="single" w:color="CCCCCC" w:sz="1"/>
            </w:tcBorders>
            <w:shd w:fill="EEF2F5" w:val="clear"/>
            <w:tcMar>
              <w:top w:type="dxa" w:w="80"/>
              <w:left w:type="dxa" w:w="120"/>
              <w:bottom w:type="dxa" w:w="80"/>
              <w:right w:type="dxa" w:w="120"/>
            </w:tcMar>
          </w:tcPr>
          <w:p>
            <w:r>
              <w:rPr>
                <w:rFonts w:ascii="Arial" w:cs="Arial" w:eastAsia="Arial" w:hAnsi="Arial"/>
                <w:color w:val="CC0000"/>
                <w:sz w:val="20"/>
                <w:szCs w:val="20"/>
              </w:rPr>
              <w:t xml:space="preserve">HIGH — economic fracture is severe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Historians Fallacy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0000"/>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888888"/>
                <w:sz w:val="20"/>
                <w:szCs w:val="20"/>
              </w:rPr>
              <w:t xml:space="preserve">Not flagged — not ECONOMIC territory</w:t>
            </w:r>
          </w:p>
        </w:tc>
      </w:tr>
      <w:tr>
        <w:tc>
          <w:tcPr>
            <w:tcW w:type="dxa" w:w="3120"/>
            <w:tcBorders>
              <w:top w:val="single" w:color="CCCCCC" w:sz="1"/>
              <w:left w:val="single" w:color="CCCCCC" w:sz="1"/>
              <w:bottom w:val="single" w:color="CCCCCC" w:sz="1"/>
              <w:right w:val="single" w:color="CCCCCC" w:sz="1"/>
            </w:tcBorders>
            <w:shd w:fill="EEF2F5" w:val="clear"/>
            <w:tcMar>
              <w:top w:type="dxa" w:w="80"/>
              <w:left w:type="dxa" w:w="120"/>
              <w:bottom w:type="dxa" w:w="80"/>
              <w:right w:type="dxa" w:w="120"/>
            </w:tcMar>
          </w:tcPr>
          <w:p>
            <w:r>
              <w:rPr>
                <w:rFonts w:ascii="Arial" w:cs="Arial" w:eastAsia="Arial" w:hAnsi="Arial"/>
                <w:sz w:val="20"/>
                <w:szCs w:val="20"/>
              </w:rPr>
              <w:t xml:space="preserve">Anachronism</w:t>
            </w:r>
          </w:p>
        </w:tc>
        <w:tc>
          <w:tcPr>
            <w:tcW w:type="dxa" w:w="3120"/>
            <w:tcBorders>
              <w:top w:val="single" w:color="CCCCCC" w:sz="1"/>
              <w:left w:val="single" w:color="CCCCCC" w:sz="1"/>
              <w:bottom w:val="single" w:color="CCCCCC" w:sz="1"/>
              <w:right w:val="single" w:color="CCCCCC" w:sz="1"/>
            </w:tcBorders>
            <w:shd w:fill="EEF2F5" w:val="clear"/>
            <w:tcMar>
              <w:top w:type="dxa" w:w="80"/>
              <w:left w:type="dxa" w:w="120"/>
              <w:bottom w:type="dxa" w:w="80"/>
              <w:right w:type="dxa" w:w="120"/>
            </w:tcMar>
          </w:tcPr>
          <w:p>
            <w:r>
              <w:rPr>
                <w:rFonts w:ascii="Arial" w:cs="Arial" w:eastAsia="Arial" w:hAnsi="Arial"/>
                <w:color w:val="888888"/>
                <w:sz w:val="20"/>
                <w:szCs w:val="20"/>
              </w:rPr>
              <w:t xml:space="preserve">Not flagged</w:t>
            </w:r>
          </w:p>
        </w:tc>
        <w:tc>
          <w:tcPr>
            <w:tcW w:type="dxa" w:w="3120"/>
            <w:tcBorders>
              <w:top w:val="single" w:color="CCCCCC" w:sz="1"/>
              <w:left w:val="single" w:color="CCCCCC" w:sz="1"/>
              <w:bottom w:val="single" w:color="CCCCCC" w:sz="1"/>
              <w:right w:val="single" w:color="CCCCCC" w:sz="1"/>
            </w:tcBorders>
            <w:shd w:fill="EEF2F5" w:val="clear"/>
            <w:tcMar>
              <w:top w:type="dxa" w:w="80"/>
              <w:left w:type="dxa" w:w="120"/>
              <w:bottom w:type="dxa" w:w="80"/>
              <w:right w:type="dxa" w:w="120"/>
            </w:tcMar>
          </w:tcPr>
          <w:p>
            <w:r>
              <w:rPr>
                <w:rFonts w:ascii="Arial" w:cs="Arial" w:eastAsia="Arial" w:hAnsi="Arial"/>
                <w:color w:val="CC7700"/>
                <w:sz w:val="20"/>
                <w:szCs w:val="20"/>
              </w:rPr>
              <w:t xml:space="preserve">MEDIUM — 1850 economic structures differ</w:t>
            </w:r>
          </w:p>
        </w:tc>
      </w:tr>
    </w:tbl>
    <w:p>
      <w:pPr>
        <w:spacing w:before="160" w:after="160"/>
      </w:pPr>
    </w:p>
    <w:p>
      <w:pPr>
        <w:spacing w:after="160"/>
      </w:pPr>
      <w:r>
        <w:rPr>
          <w:rFonts w:ascii="Arial" w:cs="Arial" w:eastAsia="Arial" w:hAnsi="Arial"/>
          <w:sz w:val="22"/>
          <w:szCs w:val="22"/>
        </w:rPr>
        <w:t xml:space="preserve">The divergence in Composition severity is the most important finding. POLITICAL SFA saw a unified political actor. ECONOMIC SFA saw a fractured economic landscape. Both are correct within their facet. The composite is more accurate than either alone.</w:t>
      </w:r>
    </w:p>
    <w:p>
      <w:pPr>
        <w:pStyle w:val="Heading2"/>
      </w:pPr>
      <w:r>
        <w:rPr>
          <w:rFonts w:ascii="Arial" w:cs="Arial" w:eastAsia="Arial" w:hAnsi="Arial"/>
          <w:b/>
          <w:bCs/>
          <w:sz w:val="28"/>
          <w:szCs w:val="28"/>
        </w:rPr>
        <w:t xml:space="preserve">9.2 Composite State After Two SFAs</w:t>
      </w:r>
    </w:p>
    <w:p>
      <w:pPr>
        <w:spacing w:before="80" w:after="80"/>
        <w:ind w:left="720"/>
      </w:pPr>
      <w:r>
        <w:rPr>
          <w:rFonts w:ascii="Courier New" w:cs="Courier New" w:eastAsia="Courier New" w:hAnsi="Courier New"/>
          <w:color w:val="2E4057"/>
          <w:sz w:val="18"/>
          <w:szCs w:val="18"/>
        </w:rPr>
        <w:t xml:space="preserve">primary_sca: POLITICAL (confidence 0.71)</w:t>
      </w:r>
    </w:p>
    <w:p>
      <w:pPr>
        <w:spacing w:before="80" w:after="80"/>
        <w:ind w:left="720"/>
      </w:pPr>
      <w:r>
        <w:rPr>
          <w:rFonts w:ascii="Courier New" w:cs="Courier New" w:eastAsia="Courier New" w:hAnsi="Courier New"/>
          <w:color w:val="2E4057"/>
          <w:sz w:val="18"/>
          <w:szCs w:val="18"/>
        </w:rPr>
        <w:t xml:space="preserve">secondary_sca: ECONOMIC (confidence 0.65, enrichment proposed)</w:t>
      </w:r>
    </w:p>
    <w:p>
      <w:pPr>
        <w:spacing w:before="80" w:after="80"/>
        <w:ind w:left="720"/>
      </w:pPr>
      <w:r>
        <w:rPr>
          <w:rFonts w:ascii="Courier New" w:cs="Courier New" w:eastAsia="Courier New" w:hAnsi="Courier New"/>
          <w:color w:val="2E4057"/>
          <w:sz w:val="18"/>
          <w:szCs w:val="18"/>
        </w:rPr>
        <w:t xml:space="preserve">composite_status: assembling</w:t>
      </w:r>
    </w:p>
    <w:p>
      <w:pPr>
        <w:spacing w:before="80" w:after="80"/>
        <w:ind w:left="720"/>
      </w:pPr>
      <w:r>
        <w:rPr>
          <w:rFonts w:ascii="Courier New" w:cs="Courier New" w:eastAsia="Courier New" w:hAnsi="Courier New"/>
          <w:color w:val="2E4057"/>
          <w:sz w:val="18"/>
          <w:szCs w:val="18"/>
        </w:rPr>
        <w:t xml:space="preserve">pending: enrichment decision on Northern Free Labor Movement node</w:t>
      </w:r>
    </w:p>
    <w:p>
      <w:pPr>
        <w:spacing w:before="80" w:after="80"/>
        <w:ind w:left="720"/>
      </w:pPr>
      <w:r>
        <w:rPr>
          <w:rFonts w:ascii="Courier New" w:cs="Courier New" w:eastAsia="Courier New" w:hAnsi="Courier New"/>
          <w:color w:val="2E4057"/>
          <w:sz w:val="18"/>
          <w:szCs w:val="18"/>
        </w:rPr>
        <w:t xml:space="preserve">pending: LEGAL, SOCIAL, GEOGRAPHIC SFAs still running in parallel</w:t>
      </w:r>
    </w:p>
    <w:p>
      <w:pPr>
        <w:spacing w:after="160"/>
      </w:pPr>
      <w:r>
        <w:rPr>
          <w:rFonts w:ascii="Arial" w:cs="Arial" w:eastAsia="Arial" w:hAnsi="Arial"/>
          <w:sz w:val="22"/>
          <w:szCs w:val="22"/>
        </w:rPr>
        <w:t xml:space="preserve">The primary SCA must decide on the enrichment proposal before the composite can advance to coherence check. This decision is logged as part of the composite provenance. No enrichment proposal is ignored.</w:t>
      </w:r>
    </w:p>
    <w:p>
      <w:pPr>
        <w:pStyle w:val="Heading2"/>
      </w:pPr>
      <w:r>
        <w:rPr>
          <w:rFonts w:ascii="Arial" w:cs="Arial" w:eastAsia="Arial" w:hAnsi="Arial"/>
          <w:b/>
          <w:bCs/>
          <w:sz w:val="28"/>
          <w:szCs w:val="28"/>
        </w:rPr>
        <w:t xml:space="preserve">9.3 What Parallel Processing Reveals</w:t>
      </w:r>
    </w:p>
    <w:p>
      <w:pPr>
        <w:pStyle w:val="ListParagraph"/>
        <w:numPr>
          <w:ilvl w:val="0"/>
          <w:numId w:val="2"/>
        </w:numPr>
        <w:spacing w:after="100"/>
      </w:pPr>
      <w:r>
        <w:rPr>
          <w:rFonts w:ascii="Arial" w:cs="Arial" w:eastAsia="Arial" w:hAnsi="Arial"/>
          <w:sz w:val="22"/>
          <w:szCs w:val="22"/>
        </w:rPr>
        <w:t xml:space="preserve">Facet isolation is correct — each SFA sees what it is scoped to see. Neither overreaches.</w:t>
      </w:r>
    </w:p>
    <w:p>
      <w:pPr>
        <w:pStyle w:val="ListParagraph"/>
        <w:numPr>
          <w:ilvl w:val="0"/>
          <w:numId w:val="2"/>
        </w:numPr>
        <w:spacing w:after="100"/>
      </w:pPr>
      <w:r>
        <w:rPr>
          <w:rFonts w:ascii="Arial" w:cs="Arial" w:eastAsia="Arial" w:hAnsi="Arial"/>
          <w:sz w:val="22"/>
          <w:szCs w:val="22"/>
        </w:rPr>
        <w:t xml:space="preserve">Enrichment proposals are the productive mechanism — not votes, not confidence averaging. The proposed node changes the shape of the subcluster.</w:t>
      </w:r>
    </w:p>
    <w:p>
      <w:pPr>
        <w:pStyle w:val="ListParagraph"/>
        <w:numPr>
          <w:ilvl w:val="0"/>
          <w:numId w:val="2"/>
        </w:numPr>
        <w:spacing w:after="100"/>
      </w:pPr>
      <w:r>
        <w:rPr>
          <w:rFonts w:ascii="Arial" w:cs="Arial" w:eastAsia="Arial" w:hAnsi="Arial"/>
          <w:sz w:val="22"/>
          <w:szCs w:val="22"/>
        </w:rPr>
        <w:t xml:space="preserve">Fallacy severity is facet-dependent — the same fallacy can be more or less severe depending on lens. The composite fallacy record is richer than any single facet produces.</w:t>
      </w:r>
    </w:p>
    <w:p>
      <w:pPr>
        <w:pBdr>
          <w:bottom w:val="single" w:color="2E75B6" w:sz="6" w:space="1"/>
        </w:pBdr>
        <w:spacing w:before="200" w:after="200"/>
      </w:pPr>
    </w:p>
    <w:p>
      <w:pPr>
        <w:pStyle w:val="Heading1"/>
      </w:pPr>
      <w:r>
        <w:rPr>
          <w:rFonts w:ascii="Arial" w:cs="Arial" w:eastAsia="Arial" w:hAnsi="Arial"/>
          <w:b/>
          <w:bCs/>
          <w:sz w:val="32"/>
          <w:szCs w:val="32"/>
        </w:rPr>
        <w:t xml:space="preserve">16b. Formal Mathematical Grounding — D-036 Addition</w:t>
      </w:r>
    </w:p>
    <w:p>
      <w:pPr>
        <w:spacing w:after="160"/>
      </w:pPr>
      <w:r>
        <w:rPr>
          <w:rFonts w:ascii="Arial" w:cs="Arial" w:eastAsia="Arial" w:hAnsi="Arial"/>
          <w:sz w:val="22"/>
          <w:szCs w:val="22"/>
        </w:rPr>
        <w:t xml:space="preserve">After the theoretical framework was established, a formal mathematical treatment of governed Bayesian claim update was reviewed. It independently arrived at the same architecture, providing precise grounding for what had been built empirically.</w:t>
      </w:r>
    </w:p>
    <w:p>
      <w:pPr>
        <w:pStyle w:val="Heading2"/>
      </w:pPr>
      <w:r>
        <w:rPr>
          <w:rFonts w:ascii="Arial" w:cs="Arial" w:eastAsia="Arial" w:hAnsi="Arial"/>
          <w:b/>
          <w:bCs/>
          <w:sz w:val="28"/>
          <w:szCs w:val="28"/>
        </w:rPr>
        <w:t xml:space="preserve">Notation Mapping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Formal</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Chrystallum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 = (V, 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Neo4j knowledge graph</w:t>
            </w:r>
          </w:p>
        </w:tc>
      </w:tr>
      <w:tr>
        <w:tc>
          <w:tcPr>
            <w:tcW w:type="dxa" w:w="2800"/>
            <w:tcBorders>
              <w:top w:val="single" w:color="CCCCCC" w:sz="1"/>
              <w:left w:val="single" w:color="CCCCCC" w:sz="1"/>
              <w:bottom w:val="single" w:color="CCCCCC" w:sz="1"/>
              <w:right w:val="single" w:color="CCCCCC" w:sz="1"/>
            </w:tcBorders>
            <w:shd w:fill="EEF2F5" w:val="clear"/>
            <w:tcMar>
              <w:top w:type="dxa" w:w="80"/>
              <w:left w:type="dxa" w:w="120"/>
              <w:bottom w:type="dxa" w:w="80"/>
              <w:right w:type="dxa" w:w="120"/>
            </w:tcMar>
          </w:tcPr>
          <w:p>
            <w:r>
              <w:rPr>
                <w:rFonts w:ascii="Courier New" w:cs="Courier New" w:eastAsia="Courier New" w:hAnsi="Courier New"/>
                <w:sz w:val="20"/>
                <w:szCs w:val="20"/>
              </w:rPr>
              <w:t xml:space="preserve">c ∈ V</w:t>
            </w:r>
          </w:p>
        </w:tc>
        <w:tc>
          <w:tcPr>
            <w:tcW w:type="dxa" w:w="6560"/>
            <w:tcBorders>
              <w:top w:val="single" w:color="CCCCCC" w:sz="1"/>
              <w:left w:val="single" w:color="CCCCCC" w:sz="1"/>
              <w:bottom w:val="single" w:color="CCCCCC" w:sz="1"/>
              <w:right w:val="single" w:color="CCCCCC" w:sz="1"/>
            </w:tcBorders>
            <w:shd w:fill="EEF2F5" w:val="clear"/>
            <w:tcMar>
              <w:top w:type="dxa" w:w="80"/>
              <w:left w:type="dxa" w:w="120"/>
              <w:bottom w:type="dxa" w:w="80"/>
              <w:right w:type="dxa" w:w="120"/>
            </w:tcMar>
          </w:tcPr>
          <w:p>
            <w:r>
              <w:rPr>
                <w:rFonts w:ascii="Arial" w:cs="Arial" w:eastAsia="Arial" w:hAnsi="Arial"/>
                <w:sz w:val="20"/>
                <w:szCs w:val="20"/>
              </w:rPr>
              <w:t xml:space="preserve">Claim node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H_c = G[U_c]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Subcluster — induced subgraph on traversal-defined node set</w:t>
            </w:r>
          </w:p>
        </w:tc>
      </w:tr>
      <w:tr>
        <w:tc>
          <w:tcPr>
            <w:tcW w:type="dxa" w:w="2800"/>
            <w:tcBorders>
              <w:top w:val="single" w:color="CCCCCC" w:sz="1"/>
              <w:left w:val="single" w:color="CCCCCC" w:sz="1"/>
              <w:bottom w:val="single" w:color="CCCCCC" w:sz="1"/>
              <w:right w:val="single" w:color="CCCCCC" w:sz="1"/>
            </w:tcBorders>
            <w:shd w:fill="EEF2F5" w:val="clear"/>
            <w:tcMar>
              <w:top w:type="dxa" w:w="80"/>
              <w:left w:type="dxa" w:w="120"/>
              <w:bottom w:type="dxa" w:w="80"/>
              <w:right w:type="dxa" w:w="120"/>
            </w:tcMar>
          </w:tcPr>
          <w:p>
            <w:r>
              <w:rPr>
                <w:rFonts w:ascii="Courier New" w:cs="Courier New" w:eastAsia="Courier New" w:hAnsi="Courier New"/>
                <w:sz w:val="20"/>
                <w:szCs w:val="20"/>
              </w:rPr>
              <w:t xml:space="preserve">Γ</w:t>
            </w:r>
          </w:p>
        </w:tc>
        <w:tc>
          <w:tcPr>
            <w:tcW w:type="dxa" w:w="6560"/>
            <w:tcBorders>
              <w:top w:val="single" w:color="CCCCCC" w:sz="1"/>
              <w:left w:val="single" w:color="CCCCCC" w:sz="1"/>
              <w:bottom w:val="single" w:color="CCCCCC" w:sz="1"/>
              <w:right w:val="single" w:color="CCCCCC" w:sz="1"/>
            </w:tcBorders>
            <w:shd w:fill="EEF2F5" w:val="clear"/>
            <w:tcMar>
              <w:top w:type="dxa" w:w="80"/>
              <w:left w:type="dxa" w:w="120"/>
              <w:bottom w:type="dxa" w:w="80"/>
              <w:right w:type="dxa" w:w="120"/>
            </w:tcMar>
          </w:tcPr>
          <w:p>
            <w:r>
              <w:rPr>
                <w:rFonts w:ascii="Arial" w:cs="Arial" w:eastAsia="Arial" w:hAnsi="Arial"/>
                <w:sz w:val="20"/>
                <w:szCs w:val="20"/>
              </w:rPr>
              <w:t xml:space="preserve">Governance rules — D10/D11 + Fischer checks as executable Cypher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 = H̃_c  H_c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EvidenceDelta — what is new in the proposed subcluster</w:t>
            </w:r>
          </w:p>
        </w:tc>
      </w:tr>
      <w:tr>
        <w:tc>
          <w:tcPr>
            <w:tcW w:type="dxa" w:w="2800"/>
            <w:tcBorders>
              <w:top w:val="single" w:color="CCCCCC" w:sz="1"/>
              <w:left w:val="single" w:color="CCCCCC" w:sz="1"/>
              <w:bottom w:val="single" w:color="CCCCCC" w:sz="1"/>
              <w:right w:val="single" w:color="CCCCCC" w:sz="1"/>
            </w:tcBorders>
            <w:shd w:fill="EEF2F5" w:val="clear"/>
            <w:tcMar>
              <w:top w:type="dxa" w:w="80"/>
              <w:left w:type="dxa" w:w="120"/>
              <w:bottom w:type="dxa" w:w="80"/>
              <w:right w:type="dxa" w:w="120"/>
            </w:tcMar>
          </w:tcPr>
          <w:p>
            <w:r>
              <w:rPr>
                <w:rFonts w:ascii="Courier New" w:cs="Courier New" w:eastAsia="Courier New" w:hAnsi="Courier New"/>
                <w:sz w:val="20"/>
                <w:szCs w:val="20"/>
              </w:rPr>
              <w:t xml:space="preserve">P_t(c)</w:t>
            </w:r>
          </w:p>
        </w:tc>
        <w:tc>
          <w:tcPr>
            <w:tcW w:type="dxa" w:w="6560"/>
            <w:tcBorders>
              <w:top w:val="single" w:color="CCCCCC" w:sz="1"/>
              <w:left w:val="single" w:color="CCCCCC" w:sz="1"/>
              <w:bottom w:val="single" w:color="CCCCCC" w:sz="1"/>
              <w:right w:val="single" w:color="CCCCCC" w:sz="1"/>
            </w:tcBorders>
            <w:shd w:fill="EEF2F5" w:val="clear"/>
            <w:tcMar>
              <w:top w:type="dxa" w:w="80"/>
              <w:left w:type="dxa" w:w="120"/>
              <w:bottom w:type="dxa" w:w="80"/>
              <w:right w:type="dxa" w:w="120"/>
            </w:tcMar>
          </w:tcPr>
          <w:p>
            <w:r>
              <w:rPr>
                <w:rFonts w:ascii="Arial" w:cs="Arial" w:eastAsia="Arial" w:hAnsi="Arial"/>
                <w:sz w:val="20"/>
                <w:szCs w:val="20"/>
              </w:rPr>
              <w:t xml:space="preserve">Claim.credence — current belief score (rename from confidence)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P_t(E|c)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Claim.likelihood — probability of this evidence given the claim is true. Determined by subclaim_type.</w:t>
            </w:r>
          </w:p>
        </w:tc>
      </w:tr>
      <w:tr>
        <w:tc>
          <w:tcPr>
            <w:tcW w:type="dxa" w:w="2800"/>
            <w:tcBorders>
              <w:top w:val="single" w:color="CCCCCC" w:sz="1"/>
              <w:left w:val="single" w:color="CCCCCC" w:sz="1"/>
              <w:bottom w:val="single" w:color="CCCCCC" w:sz="1"/>
              <w:right w:val="single" w:color="CCCCCC" w:sz="1"/>
            </w:tcBorders>
            <w:shd w:fill="EEF2F5" w:val="clear"/>
            <w:tcMar>
              <w:top w:type="dxa" w:w="80"/>
              <w:left w:type="dxa" w:w="120"/>
              <w:bottom w:type="dxa" w:w="80"/>
              <w:right w:type="dxa" w:w="120"/>
            </w:tcMar>
          </w:tcPr>
          <w:p>
            <w:r>
              <w:rPr>
                <w:rFonts w:ascii="Courier New" w:cs="Courier New" w:eastAsia="Courier New" w:hAnsi="Courier New"/>
                <w:sz w:val="20"/>
                <w:szCs w:val="20"/>
              </w:rPr>
              <w:t xml:space="preserve">P_t(E)</w:t>
            </w:r>
          </w:p>
        </w:tc>
        <w:tc>
          <w:tcPr>
            <w:tcW w:type="dxa" w:w="6560"/>
            <w:tcBorders>
              <w:top w:val="single" w:color="CCCCCC" w:sz="1"/>
              <w:left w:val="single" w:color="CCCCCC" w:sz="1"/>
              <w:bottom w:val="single" w:color="CCCCCC" w:sz="1"/>
              <w:right w:val="single" w:color="CCCCCC" w:sz="1"/>
            </w:tcBorders>
            <w:shd w:fill="EEF2F5" w:val="clear"/>
            <w:tcMar>
              <w:top w:type="dxa" w:w="80"/>
              <w:left w:type="dxa" w:w="120"/>
              <w:bottom w:type="dxa" w:w="80"/>
              <w:right w:type="dxa" w:w="120"/>
            </w:tcMar>
          </w:tcPr>
          <w:p>
            <w:r>
              <w:rPr>
                <w:rFonts w:ascii="Arial" w:cs="Arial" w:eastAsia="Arial" w:hAnsi="Arial"/>
                <w:sz w:val="20"/>
                <w:szCs w:val="20"/>
              </w:rPr>
              <w:t xml:space="preserve">Claim.marginal — f(Source.independence_score). Independent sources lower the marginal, producing larger credence updates.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U_Γ(H_c, H̃_c)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CipherStateMachine — the four cipher states</w:t>
            </w:r>
          </w:p>
        </w:tc>
      </w:tr>
    </w:tbl>
    <w:p>
      <w:pPr>
        <w:spacing w:before="160" w:after="80"/>
      </w:pPr>
    </w:p>
    <w:p>
      <w:pPr>
        <w:pStyle w:val="Heading2"/>
      </w:pPr>
      <w:r>
        <w:rPr>
          <w:rFonts w:ascii="Arial" w:cs="Arial" w:eastAsia="Arial" w:hAnsi="Arial"/>
          <w:b/>
          <w:bCs/>
          <w:sz w:val="28"/>
          <w:szCs w:val="28"/>
        </w:rPr>
        <w:t xml:space="preserve">The Governed Bayesian Update</w:t>
      </w:r>
    </w:p>
    <w:p>
      <w:pPr>
        <w:spacing w:before="80" w:after="80"/>
        <w:ind w:left="720"/>
      </w:pPr>
      <w:r>
        <w:rPr>
          <w:rFonts w:ascii="Courier New" w:cs="Courier New" w:eastAsia="Courier New" w:hAnsi="Courier New"/>
          <w:color w:val="2E4057"/>
          <w:sz w:val="18"/>
          <w:szCs w:val="18"/>
        </w:rPr>
        <w:t xml:space="preserve">IF E admissible (H̃_c |= Gamma):</w:t>
      </w:r>
    </w:p>
    <w:p>
      <w:pPr>
        <w:spacing w:before="80" w:after="80"/>
        <w:ind w:left="720"/>
      </w:pPr>
      <w:r>
        <w:rPr>
          <w:rFonts w:ascii="Courier New" w:cs="Courier New" w:eastAsia="Courier New" w:hAnsi="Courier New"/>
          <w:color w:val="2E4057"/>
          <w:sz w:val="18"/>
          <w:szCs w:val="18"/>
        </w:rPr>
        <w:t xml:space="preserve">  P_t+1(c) = P_t(E|c) * P_t(c) / P_t(E)</w:t>
      </w:r>
    </w:p>
    <w:p>
      <w:pPr>
        <w:spacing w:before="80" w:after="80"/>
        <w:ind w:left="720"/>
      </w:pPr>
      <w:r>
        <w:rPr>
          <w:rFonts w:ascii="Courier New" w:cs="Courier New" w:eastAsia="Courier New" w:hAnsi="Courier New"/>
          <w:color w:val="2E4057"/>
          <w:sz w:val="18"/>
          <w:szCs w:val="18"/>
        </w:rPr>
        <w:t xml:space="preserve">ELSE:</w:t>
      </w:r>
    </w:p>
    <w:p>
      <w:pPr>
        <w:spacing w:before="80" w:after="80"/>
        <w:ind w:left="720"/>
      </w:pPr>
      <w:r>
        <w:rPr>
          <w:rFonts w:ascii="Courier New" w:cs="Courier New" w:eastAsia="Courier New" w:hAnsi="Courier New"/>
          <w:color w:val="2E4057"/>
          <w:sz w:val="18"/>
          <w:szCs w:val="18"/>
        </w:rPr>
        <w:t xml:space="preserve">  P_t+1(c) = P_t(c)    [no change, no graph write]</w:t>
      </w:r>
    </w:p>
    <w:p>
      <w:pPr>
        <w:pStyle w:val="Heading2"/>
      </w:pPr>
      <w:r>
        <w:rPr>
          <w:rFonts w:ascii="Arial" w:cs="Arial" w:eastAsia="Arial" w:hAnsi="Arial"/>
          <w:b/>
          <w:bCs/>
          <w:sz w:val="28"/>
          <w:szCs w:val="28"/>
        </w:rPr>
        <w:t xml:space="preserve">Three Architectural Additions from the Formalism</w:t>
      </w:r>
    </w:p>
    <w:p>
      <w:pPr>
        <w:spacing w:after="160"/>
      </w:pPr>
      <w:r>
        <w:rPr>
          <w:rFonts w:ascii="Arial" w:cs="Arial" w:eastAsia="Arial" w:hAnsi="Arial"/>
          <w:b/>
          <w:bCs/>
          <w:sz w:val="22"/>
          <w:szCs w:val="22"/>
        </w:rPr>
        <w:t xml:space="preserve">Addition 1 — Likelihood model. </w:t>
      </w:r>
      <w:r>
        <w:rPr>
          <w:rFonts w:ascii="Arial" w:cs="Arial" w:eastAsia="Arial" w:hAnsi="Arial"/>
          <w:sz w:val="22"/>
          <w:szCs w:val="22"/>
        </w:rPr>
        <w:t xml:space="preserve">P_t(E|c) is determined by subclaim_type. Causal subclaims (C4) have high likelihood weight (0.6-0.9) — discriminating evidence. Factual subclaims (C3) have low likelihood weight (0.2-0.4) — support structure. This is the formal grounding for D-019 subclaim confidence propagation weights.</w:t>
      </w:r>
    </w:p>
    <w:p>
      <w:pPr>
        <w:spacing w:after="160"/>
      </w:pPr>
      <w:r>
        <w:rPr>
          <w:rFonts w:ascii="Arial" w:cs="Arial" w:eastAsia="Arial" w:hAnsi="Arial"/>
          <w:b/>
          <w:bCs/>
          <w:sz w:val="22"/>
          <w:szCs w:val="22"/>
        </w:rPr>
        <w:t xml:space="preserve">Addition 2 — Source independence weighting. </w:t>
      </w:r>
      <w:r>
        <w:rPr>
          <w:rFonts w:ascii="Arial" w:cs="Arial" w:eastAsia="Arial" w:hAnsi="Arial"/>
          <w:sz w:val="22"/>
          <w:szCs w:val="22"/>
        </w:rPr>
        <w:t xml:space="preserve">P_t(E) is a function of Source.independence_score. Independent sources lower the marginal, producing larger credence updates. All State 2 events are not equal. This is why Phase 3 VIAF/LCNAF integration is architecturally necessary — authority file identity resolution makes source independence computable.</w:t>
      </w:r>
    </w:p>
    <w:p>
      <w:pPr>
        <w:spacing w:after="160"/>
      </w:pPr>
      <w:r>
        <w:rPr>
          <w:rFonts w:ascii="Arial" w:cs="Arial" w:eastAsia="Arial" w:hAnsi="Arial"/>
          <w:b/>
          <w:bCs/>
          <w:sz w:val="22"/>
          <w:szCs w:val="22"/>
        </w:rPr>
        <w:t xml:space="preserve">Addition 3 — Gamma as executable Cypher. </w:t>
      </w:r>
      <w:r>
        <w:rPr>
          <w:rFonts w:ascii="Arial" w:cs="Arial" w:eastAsia="Arial" w:hAnsi="Arial"/>
          <w:sz w:val="22"/>
          <w:szCs w:val="22"/>
        </w:rPr>
        <w:t xml:space="preserve">H |= Gamma does not mean passing a human review step. It means all :GovernanceRule Cypher queries return zero rows. D10/D11 DMN tables must generate executable Cypher checks. SFA runs pre-commit validation before GPS writes.</w:t>
      </w:r>
    </w:p>
    <w:p>
      <w:pPr>
        <w:pStyle w:val="Heading2"/>
      </w:pPr>
      <w:r>
        <w:rPr>
          <w:rFonts w:ascii="Arial" w:cs="Arial" w:eastAsia="Arial" w:hAnsi="Arial"/>
          <w:b/>
          <w:bCs/>
          <w:sz w:val="28"/>
          <w:szCs w:val="28"/>
        </w:rPr>
        <w:t xml:space="preserve">SysML Expression</w:t>
      </w:r>
    </w:p>
    <w:p>
      <w:pPr>
        <w:spacing w:after="160"/>
      </w:pPr>
      <w:r>
        <w:rPr>
          <w:rFonts w:ascii="Arial" w:cs="Arial" w:eastAsia="Arial" w:hAnsi="Arial"/>
          <w:sz w:val="22"/>
          <w:szCs w:val="22"/>
        </w:rPr>
        <w:t xml:space="preserve">The formalism is expressed directly in the model as typed constraints and value properties — not as commentary. See sysml/claim_bayesian_formal.xmi which contains:</w:t>
      </w:r>
    </w:p>
    <w:p>
      <w:pPr>
        <w:pStyle w:val="ListParagraph"/>
        <w:numPr>
          <w:ilvl w:val="0"/>
          <w:numId w:val="2"/>
        </w:numPr>
        <w:spacing w:after="100"/>
      </w:pPr>
      <w:r>
        <w:rPr>
          <w:rFonts w:ascii="Arial" w:cs="Arial" w:eastAsia="Arial" w:hAnsi="Arial"/>
          <w:sz w:val="22"/>
          <w:szCs w:val="22"/>
        </w:rPr>
        <w:t xml:space="preserve">Claim block — credence, likelihood, marginal, fractal_dimension, boundary_status, life_pattern with OCL constraints expressing the Bayesian update rule</w:t>
      </w:r>
    </w:p>
    <w:p>
      <w:pPr>
        <w:pStyle w:val="ListParagraph"/>
        <w:numPr>
          <w:ilvl w:val="0"/>
          <w:numId w:val="2"/>
        </w:numPr>
        <w:spacing w:after="100"/>
      </w:pPr>
      <w:r>
        <w:rPr>
          <w:rFonts w:ascii="Arial" w:cs="Arial" w:eastAsia="Arial" w:hAnsi="Arial"/>
          <w:sz w:val="22"/>
          <w:szCs w:val="22"/>
        </w:rPr>
        <w:t xml:space="preserve">Source block — independence_score with constraint expressing how independence affects the marginal P_t(E)</w:t>
      </w:r>
    </w:p>
    <w:p>
      <w:pPr>
        <w:pStyle w:val="ListParagraph"/>
        <w:numPr>
          <w:ilvl w:val="0"/>
          <w:numId w:val="2"/>
        </w:numPr>
        <w:spacing w:after="100"/>
      </w:pPr>
      <w:r>
        <w:rPr>
          <w:rFonts w:ascii="Arial" w:cs="Arial" w:eastAsia="Arial" w:hAnsi="Arial"/>
          <w:sz w:val="22"/>
          <w:szCs w:val="22"/>
        </w:rPr>
        <w:t xml:space="preserve">EvidenceDelta block — CipherStateMachine expressing the four cipher states as a formal state machine</w:t>
      </w:r>
    </w:p>
    <w:p>
      <w:pPr>
        <w:pStyle w:val="ListParagraph"/>
        <w:numPr>
          <w:ilvl w:val="0"/>
          <w:numId w:val="2"/>
        </w:numPr>
        <w:spacing w:after="100"/>
      </w:pPr>
      <w:r>
        <w:rPr>
          <w:rFonts w:ascii="Arial" w:cs="Arial" w:eastAsia="Arial" w:hAnsi="Arial"/>
          <w:sz w:val="22"/>
          <w:szCs w:val="22"/>
        </w:rPr>
        <w:t xml:space="preserve">ClaimLifecycleService — governanceCheck() and computeCredenceUpdate() as typed operations with formal pre/postconditions</w:t>
      </w:r>
    </w:p>
    <w:p>
      <w:pPr>
        <w:pStyle w:val="ListParagraph"/>
        <w:numPr>
          <w:ilvl w:val="0"/>
          <w:numId w:val="2"/>
        </w:numPr>
        <w:spacing w:after="100"/>
      </w:pPr>
      <w:r>
        <w:rPr>
          <w:rFonts w:ascii="Arial" w:cs="Arial" w:eastAsia="Arial" w:hAnsi="Arial"/>
          <w:sz w:val="22"/>
          <w:szCs w:val="22"/>
        </w:rPr>
        <w:t xml:space="preserve">SCAEngine — computeDelta(), evaluateGovernance(), monitorConvergence(), detectOscillation() as typed operations</w:t>
      </w:r>
    </w:p>
    <w:p>
      <w:pPr>
        <w:pStyle w:val="ListParagraph"/>
        <w:numPr>
          <w:ilvl w:val="0"/>
          <w:numId w:val="2"/>
        </w:numPr>
        <w:spacing w:after="100"/>
      </w:pPr>
      <w:r>
        <w:rPr>
          <w:rFonts w:ascii="Arial" w:cs="Arial" w:eastAsia="Arial" w:hAnsi="Arial"/>
          <w:sz w:val="22"/>
          <w:szCs w:val="22"/>
        </w:rPr>
        <w:t xml:space="preserve">SubclaimRelationship — subclaim_type and likelihood_weight formalising the [:SUBCLAIM_OF] relationship</w:t>
      </w:r>
    </w:p>
    <w:p>
      <w:pPr>
        <w:pBdr>
          <w:bottom w:val="single" w:color="2E75B6" w:sz="6" w:space="1"/>
        </w:pBdr>
        <w:spacing w:before="200" w:after="200"/>
      </w:pPr>
    </w:p>
    <w:p>
      <w:pPr>
        <w:pStyle w:val="Heading1"/>
      </w:pPr>
      <w:r>
        <w:rPr>
          <w:rFonts w:ascii="Arial" w:cs="Arial" w:eastAsia="Arial" w:hAnsi="Arial"/>
          <w:b/>
          <w:bCs/>
          <w:sz w:val="32"/>
          <w:szCs w:val="32"/>
        </w:rPr>
        <w:t xml:space="preserve">16c. Framework Applicability and Fischer Flag Lifecycle</w:t>
      </w:r>
    </w:p>
    <w:p>
      <w:pPr>
        <w:spacing w:after="160"/>
      </w:pPr>
      <w:r>
        <w:rPr>
          <w:rFonts w:ascii="Arial" w:cs="Arial" w:eastAsia="Arial" w:hAnsi="Arial"/>
          <w:sz w:val="22"/>
          <w:szCs w:val="22"/>
        </w:rPr>
        <w:t xml:space="preserve">A critical refinement: Fischer and Bayes are perspectives — analytical plugins the SFA constitution loads where applicable. They are not mandatory passes on every claim.</w:t>
      </w:r>
    </w:p>
    <w:p>
      <w:pPr>
        <w:pStyle w:val="Heading2"/>
      </w:pPr>
      <w:r>
        <w:rPr>
          <w:rFonts w:ascii="Arial" w:cs="Arial" w:eastAsia="Arial" w:hAnsi="Arial"/>
          <w:b/>
          <w:bCs/>
          <w:sz w:val="28"/>
          <w:szCs w:val="28"/>
        </w:rPr>
        <w:t xml:space="preserve">16c.1 Fischer and Bayes as Constitution Layer Plugins</w:t>
      </w:r>
    </w:p>
    <w:p>
      <w:pPr>
        <w:spacing w:after="160"/>
      </w:pPr>
      <w:r>
        <w:rPr>
          <w:rFonts w:ascii="Arial" w:cs="Arial" w:eastAsia="Arial" w:hAnsi="Arial"/>
          <w:sz w:val="22"/>
          <w:szCs w:val="22"/>
        </w:rPr>
        <w:t xml:space="preserve">Fischer applies to historical claims where the author makes causal or interpretive arguments. It does not apply to a purely documentary claim — the Fugitive Slave Act was passed on September 18, 1850 — no fallacy check needed on a date and a fact.</w:t>
      </w:r>
    </w:p>
    <w:p>
      <w:pPr>
        <w:spacing w:after="160"/>
      </w:pPr>
      <w:r>
        <w:rPr>
          <w:rFonts w:ascii="Arial" w:cs="Arial" w:eastAsia="Arial" w:hAnsi="Arial"/>
          <w:sz w:val="22"/>
          <w:szCs w:val="22"/>
        </w:rPr>
        <w:t xml:space="preserve">Bayes applies when there is a prior belief to update and new evidence to update it with. It does not apply when a claim is being established for the first time with no meaningful prior.</w:t>
      </w:r>
    </w:p>
    <w:p>
      <w:pPr>
        <w:spacing w:before="80" w:after="80"/>
        <w:ind w:left="720"/>
      </w:pPr>
      <w:r>
        <w:rPr>
          <w:rFonts w:ascii="Courier New" w:cs="Courier New" w:eastAsia="Courier New" w:hAnsi="Courier New"/>
          <w:color w:val="2E4057"/>
          <w:sz w:val="18"/>
          <w:szCs w:val="18"/>
        </w:rPr>
        <w:t xml:space="preserve">Before applying Fischer: evaluate does_fischer_apply(claim_type, source_type)</w:t>
      </w:r>
    </w:p>
    <w:p>
      <w:pPr>
        <w:spacing w:before="80" w:after="80"/>
        <w:ind w:left="720"/>
      </w:pPr>
      <w:r>
        <w:rPr>
          <w:rFonts w:ascii="Courier New" w:cs="Courier New" w:eastAsia="Courier New" w:hAnsi="Courier New"/>
          <w:color w:val="2E4057"/>
          <w:sz w:val="18"/>
          <w:szCs w:val="18"/>
        </w:rPr>
        <w:t xml:space="preserve">  applicable:     historical_causal, historical_interpretive</w:t>
      </w:r>
    </w:p>
    <w:p>
      <w:pPr>
        <w:spacing w:before="80" w:after="80"/>
        <w:ind w:left="720"/>
      </w:pPr>
      <w:r>
        <w:rPr>
          <w:rFonts w:ascii="Courier New" w:cs="Courier New" w:eastAsia="Courier New" w:hAnsi="Courier New"/>
          <w:color w:val="2E4057"/>
          <w:sz w:val="18"/>
          <w:szCs w:val="18"/>
        </w:rPr>
        <w:t xml:space="preserve">  not applicable: documentary, definitional, quantitative</w:t>
      </w:r>
    </w:p>
    <w:p>
      <w:pPr>
        <w:spacing w:before="80" w:after="80"/>
        <w:ind w:left="720"/>
      </w:pPr>
      <w:r>
        <w:rPr>
          <w:rFonts w:ascii="Courier New" w:cs="Courier New" w:eastAsia="Courier New" w:hAnsi="Courier New"/>
          <w:color w:val="2E4057"/>
          <w:sz w:val="18"/>
          <w:szCs w:val="18"/>
        </w:rPr>
        <w:t xml:space="preserve"/>
      </w:r>
    </w:p>
    <w:p>
      <w:pPr>
        <w:spacing w:before="80" w:after="80"/>
        <w:ind w:left="720"/>
      </w:pPr>
      <w:r>
        <w:rPr>
          <w:rFonts w:ascii="Courier New" w:cs="Courier New" w:eastAsia="Courier New" w:hAnsi="Courier New"/>
          <w:color w:val="2E4057"/>
          <w:sz w:val="18"/>
          <w:szCs w:val="18"/>
        </w:rPr>
        <w:t xml:space="preserve">Before applying Bayes: evaluate is_prior_meaningful(claim, credence_history)</w:t>
      </w:r>
    </w:p>
    <w:p>
      <w:pPr>
        <w:spacing w:before="80" w:after="80"/>
        <w:ind w:left="720"/>
      </w:pPr>
      <w:r>
        <w:rPr>
          <w:rFonts w:ascii="Courier New" w:cs="Courier New" w:eastAsia="Courier New" w:hAnsi="Courier New"/>
          <w:color w:val="2E4057"/>
          <w:sz w:val="18"/>
          <w:szCs w:val="18"/>
        </w:rPr>
        <w:t xml:space="preserve">  applicable:     any claim with credence history and prior</w:t>
      </w:r>
    </w:p>
    <w:p>
      <w:pPr>
        <w:spacing w:before="80" w:after="80"/>
        <w:ind w:left="720"/>
      </w:pPr>
      <w:r>
        <w:rPr>
          <w:rFonts w:ascii="Courier New" w:cs="Courier New" w:eastAsia="Courier New" w:hAnsi="Courier New"/>
          <w:color w:val="2E4057"/>
          <w:sz w:val="18"/>
          <w:szCs w:val="18"/>
        </w:rPr>
        <w:t xml:space="preserve">  not applicable: first_occurrence with no prior established</w:t>
      </w:r>
    </w:p>
    <w:p>
      <w:pPr>
        <w:spacing w:before="80" w:after="80"/>
        <w:ind w:left="720"/>
      </w:pPr>
      <w:r>
        <w:rPr>
          <w:rFonts w:ascii="Courier New" w:cs="Courier New" w:eastAsia="Courier New" w:hAnsi="Courier New"/>
          <w:color w:val="2E4057"/>
          <w:sz w:val="18"/>
          <w:szCs w:val="18"/>
        </w:rPr>
        <w:t xml:space="preserve"/>
      </w:r>
    </w:p>
    <w:p>
      <w:pPr>
        <w:spacing w:before="80" w:after="80"/>
        <w:ind w:left="720"/>
      </w:pPr>
      <w:r>
        <w:rPr>
          <w:rFonts w:ascii="Courier New" w:cs="Courier New" w:eastAsia="Courier New" w:hAnsi="Courier New"/>
          <w:color w:val="2E4057"/>
          <w:sz w:val="18"/>
          <w:szCs w:val="18"/>
        </w:rPr>
        <w:t xml:space="preserve">If framework does not apply: skip — log framework_not_applicable, reason</w:t>
      </w:r>
    </w:p>
    <w:p>
      <w:pPr>
        <w:pStyle w:val="Heading2"/>
      </w:pPr>
      <w:r>
        <w:rPr>
          <w:rFonts w:ascii="Arial" w:cs="Arial" w:eastAsia="Arial" w:hAnsi="Arial"/>
          <w:b/>
          <w:bCs/>
          <w:sz w:val="28"/>
          <w:szCs w:val="28"/>
        </w:rPr>
        <w:t xml:space="preserve">16c.2 Fischer Flags Are Hypotheses, Not Verdicts</w:t>
      </w:r>
    </w:p>
    <w:p>
      <w:pPr>
        <w:spacing w:after="160"/>
      </w:pPr>
      <w:r>
        <w:rPr>
          <w:rFonts w:ascii="Arial" w:cs="Arial" w:eastAsia="Arial" w:hAnsi="Arial"/>
          <w:sz w:val="22"/>
          <w:szCs w:val="22"/>
        </w:rPr>
        <w:t xml:space="preserve">A Fischer flag at claim creation is a hypothesis about what is missing from the evidence at that moment. It is not a permanent judgment on the source. As the subcluster grows the flag is recomputed.</w:t>
      </w:r>
    </w:p>
    <w:p>
      <w:pPr>
        <w:spacing w:before="120" w:after="120"/>
        <w:ind w:left="720" w:right="720"/>
      </w:pPr>
      <w:r>
        <w:rPr>
          <w:rFonts w:ascii="Arial" w:cs="Arial" w:eastAsia="Arial" w:hAnsi="Arial"/>
          <w:i/>
          <w:iCs/>
          <w:color w:val="2E4057"/>
          <w:sz w:val="22"/>
          <w:szCs w:val="22"/>
        </w:rPr>
        <w:t xml:space="preserve">Paragraph 1: False Cause flag raised on C4 (causal claim) — status: active, severity: HIGH, credence reduced 0.81 to 0.71. Paragraph 2 from same source provides causal mechanism evidence. False Cause flag recomputed — status: resolved. Credence recalculated with updated likelihood.</w:t>
      </w:r>
    </w:p>
    <w:p>
      <w:pPr>
        <w:spacing w:after="160"/>
      </w:pPr>
      <w:r>
        <w:rPr>
          <w:rFonts w:ascii="Arial" w:cs="Arial" w:eastAsia="Arial" w:hAnsi="Arial"/>
          <w:sz w:val="22"/>
          <w:szCs w:val="22"/>
        </w:rPr>
        <w:t xml:space="preserve">A False Cause flag that resolves as evidence accumulates is not a failure. The claim was appropriately tentative at paragraph 1. The system is working correctly. Fischer flags are resolved — not overruled — when the missing evidence arrives.</w:t>
      </w:r>
    </w:p>
    <w:p>
      <w:pPr>
        <w:pStyle w:val="Heading2"/>
      </w:pPr>
      <w:r>
        <w:rPr>
          <w:rFonts w:ascii="Arial" w:cs="Arial" w:eastAsia="Arial" w:hAnsi="Arial"/>
          <w:b/>
          <w:bCs/>
          <w:sz w:val="28"/>
          <w:szCs w:val="28"/>
        </w:rPr>
        <w:t xml:space="preserve">16c.3 Fischer Flag Lifecycle</w:t>
      </w:r>
    </w:p>
    <w:p>
      <w:pPr>
        <w:pStyle w:val="ListParagraph"/>
        <w:numPr>
          <w:ilvl w:val="0"/>
          <w:numId w:val="2"/>
        </w:numPr>
        <w:spacing w:after="100"/>
      </w:pPr>
      <w:r>
        <w:rPr>
          <w:rFonts w:ascii="Arial" w:cs="Arial" w:eastAsia="Arial" w:hAnsi="Arial"/>
          <w:b/>
          <w:bCs/>
          <w:sz w:val="22"/>
          <w:szCs w:val="22"/>
        </w:rPr>
        <w:t xml:space="preserve">active: </w:t>
      </w:r>
      <w:r>
        <w:rPr>
          <w:rFonts w:ascii="Arial" w:cs="Arial" w:eastAsia="Arial" w:hAnsi="Arial"/>
          <w:sz w:val="22"/>
          <w:szCs w:val="22"/>
        </w:rPr>
        <w:t xml:space="preserve">active — evidential gap identified, not yet filled. Reduces likelihood weight on affected subclaims.</w:t>
      </w:r>
    </w:p>
    <w:p>
      <w:pPr>
        <w:pStyle w:val="ListParagraph"/>
        <w:numPr>
          <w:ilvl w:val="0"/>
          <w:numId w:val="2"/>
        </w:numPr>
        <w:spacing w:after="100"/>
      </w:pPr>
      <w:r>
        <w:rPr>
          <w:rFonts w:ascii="Arial" w:cs="Arial" w:eastAsia="Arial" w:hAnsi="Arial"/>
          <w:b/>
          <w:bCs/>
          <w:sz w:val="22"/>
          <w:szCs w:val="22"/>
        </w:rPr>
        <w:t xml:space="preserve">resolved: </w:t>
      </w:r>
      <w:r>
        <w:rPr>
          <w:rFonts w:ascii="Arial" w:cs="Arial" w:eastAsia="Arial" w:hAnsi="Arial"/>
          <w:sz w:val="22"/>
          <w:szCs w:val="22"/>
        </w:rPr>
        <w:t xml:space="preserve">resolved — subsequent evidence provided the missing mechanism, corroboration, or qualification. resolved_by records the EvidenceDelta cipher that closed the gap.</w:t>
      </w:r>
    </w:p>
    <w:p>
      <w:pPr>
        <w:pStyle w:val="ListParagraph"/>
        <w:numPr>
          <w:ilvl w:val="0"/>
          <w:numId w:val="2"/>
        </w:numPr>
        <w:spacing w:after="100"/>
      </w:pPr>
      <w:r>
        <w:rPr>
          <w:rFonts w:ascii="Arial" w:cs="Arial" w:eastAsia="Arial" w:hAnsi="Arial"/>
          <w:b/>
          <w:bCs/>
          <w:sz w:val="22"/>
          <w:szCs w:val="22"/>
        </w:rPr>
        <w:t xml:space="preserve">weakened: </w:t>
      </w:r>
      <w:r>
        <w:rPr>
          <w:rFonts w:ascii="Arial" w:cs="Arial" w:eastAsia="Arial" w:hAnsi="Arial"/>
          <w:sz w:val="22"/>
          <w:szCs w:val="22"/>
        </w:rPr>
        <w:t xml:space="preserve">weakened — evidence partially addressed the gap. Flag remains but at reduced severity.</w:t>
      </w:r>
    </w:p>
    <w:p>
      <w:pPr>
        <w:pStyle w:val="ListParagraph"/>
        <w:numPr>
          <w:ilvl w:val="0"/>
          <w:numId w:val="2"/>
        </w:numPr>
        <w:spacing w:after="100"/>
      </w:pPr>
      <w:r>
        <w:rPr>
          <w:rFonts w:ascii="Arial" w:cs="Arial" w:eastAsia="Arial" w:hAnsi="Arial"/>
          <w:b/>
          <w:bCs/>
          <w:sz w:val="22"/>
          <w:szCs w:val="22"/>
        </w:rPr>
        <w:t xml:space="preserve">strengthened: </w:t>
      </w:r>
      <w:r>
        <w:rPr>
          <w:rFonts w:ascii="Arial" w:cs="Arial" w:eastAsia="Arial" w:hAnsi="Arial"/>
          <w:sz w:val="22"/>
          <w:szCs w:val="22"/>
        </w:rPr>
        <w:t xml:space="preserve">strengthened — new evidence reveals the gap is deeper than originally assessed.</w:t>
      </w:r>
    </w:p>
    <w:p>
      <w:pPr>
        <w:pStyle w:val="Heading2"/>
      </w:pPr>
      <w:r>
        <w:rPr>
          <w:rFonts w:ascii="Arial" w:cs="Arial" w:eastAsia="Arial" w:hAnsi="Arial"/>
          <w:b/>
          <w:bCs/>
          <w:sz w:val="28"/>
          <w:szCs w:val="28"/>
        </w:rPr>
        <w:t xml:space="preserve">16c.4 Fischer-Bayes Coupling</w:t>
      </w:r>
    </w:p>
    <w:p>
      <w:pPr>
        <w:spacing w:after="160"/>
      </w:pPr>
      <w:r>
        <w:rPr>
          <w:rFonts w:ascii="Arial" w:cs="Arial" w:eastAsia="Arial" w:hAnsi="Arial"/>
          <w:sz w:val="22"/>
          <w:szCs w:val="22"/>
        </w:rPr>
        <w:t xml:space="preserve">The Fischer assessment and the Bayesian update are not sequential — they are a single coupled update. When a Fischer flag changes status, it changes the likelihood weight P_t(E|c) on affected subclaims, which changes the Bayesian update on the parent claim.</w:t>
      </w:r>
    </w:p>
    <w:p>
      <w:pPr>
        <w:spacing w:before="80" w:after="80"/>
        <w:ind w:left="720"/>
      </w:pPr>
      <w:r>
        <w:rPr>
          <w:rFonts w:ascii="Courier New" w:cs="Courier New" w:eastAsia="Courier New" w:hAnsi="Courier New"/>
          <w:color w:val="2E4057"/>
          <w:sz w:val="18"/>
          <w:szCs w:val="18"/>
        </w:rPr>
        <w:t xml:space="preserve">On each State 2 or State 3 event:</w:t>
      </w:r>
    </w:p>
    <w:p>
      <w:pPr>
        <w:spacing w:before="80" w:after="80"/>
        <w:ind w:left="720"/>
      </w:pPr>
      <w:r>
        <w:rPr>
          <w:rFonts w:ascii="Courier New" w:cs="Courier New" w:eastAsia="Courier New" w:hAnsi="Courier New"/>
          <w:color w:val="2E4057"/>
          <w:sz w:val="18"/>
          <w:szCs w:val="18"/>
        </w:rPr>
        <w:t xml:space="preserve">  1. recompute FischerFlags (resolve, weaken, strengthen, or unchanged)</w:t>
      </w:r>
    </w:p>
    <w:p>
      <w:pPr>
        <w:spacing w:before="80" w:after="80"/>
        <w:ind w:left="720"/>
      </w:pPr>
      <w:r>
        <w:rPr>
          <w:rFonts w:ascii="Courier New" w:cs="Courier New" w:eastAsia="Courier New" w:hAnsi="Courier New"/>
          <w:color w:val="2E4057"/>
          <w:sz w:val="18"/>
          <w:szCs w:val="18"/>
        </w:rPr>
        <w:t xml:space="preserve">  2. update subclaim likelihood_weights per flag status changes</w:t>
      </w:r>
    </w:p>
    <w:p>
      <w:pPr>
        <w:spacing w:before="80" w:after="80"/>
        <w:ind w:left="720"/>
      </w:pPr>
      <w:r>
        <w:rPr>
          <w:rFonts w:ascii="Courier New" w:cs="Courier New" w:eastAsia="Courier New" w:hAnsi="Courier New"/>
          <w:color w:val="2E4057"/>
          <w:sz w:val="18"/>
          <w:szCs w:val="18"/>
        </w:rPr>
        <w:t xml:space="preserve">  3. recompute Claim.likelihood from updated subclaim weights</w:t>
      </w:r>
    </w:p>
    <w:p>
      <w:pPr>
        <w:spacing w:before="80" w:after="80"/>
        <w:ind w:left="720"/>
      </w:pPr>
      <w:r>
        <w:rPr>
          <w:rFonts w:ascii="Courier New" w:cs="Courier New" w:eastAsia="Courier New" w:hAnsi="Courier New"/>
          <w:color w:val="2E4057"/>
          <w:sz w:val="18"/>
          <w:szCs w:val="18"/>
        </w:rPr>
        <w:t xml:space="preserve">  4. compute Source.independence_score effect on marginal P_t(E)</w:t>
      </w:r>
    </w:p>
    <w:p>
      <w:pPr>
        <w:spacing w:before="80" w:after="80"/>
        <w:ind w:left="720"/>
      </w:pPr>
      <w:r>
        <w:rPr>
          <w:rFonts w:ascii="Courier New" w:cs="Courier New" w:eastAsia="Courier New" w:hAnsi="Courier New"/>
          <w:color w:val="2E4057"/>
          <w:sz w:val="18"/>
          <w:szCs w:val="18"/>
        </w:rPr>
        <w:t xml:space="preserve">  5. apply Bayesian update: credence_new = (likelihood_new * credence_old) / marginal</w:t>
      </w:r>
    </w:p>
    <w:p>
      <w:pPr>
        <w:spacing w:after="160"/>
      </w:pPr>
      <w:r>
        <w:rPr>
          <w:rFonts w:ascii="Arial" w:cs="Arial" w:eastAsia="Arial" w:hAnsi="Arial"/>
          <w:sz w:val="22"/>
          <w:szCs w:val="22"/>
        </w:rPr>
        <w:t xml:space="preserve">The credence update incorporates both the new evidence and the updated methodological assessment simultaneously. A source that resolves a Fischer flag and adds independent corroboration produces a larger credence bump than one that only adds corroboration. The system rewards epistemically virtuous evidence.</w:t>
      </w:r>
    </w:p>
    <w:p>
      <w:pPr>
        <w:pStyle w:val="Heading2"/>
      </w:pPr>
      <w:r>
        <w:rPr>
          <w:rFonts w:ascii="Arial" w:cs="Arial" w:eastAsia="Arial" w:hAnsi="Arial"/>
          <w:b/>
          <w:bCs/>
          <w:sz w:val="28"/>
          <w:szCs w:val="28"/>
        </w:rPr>
        <w:t xml:space="preserve">16c.5 XMI Additions</w:t>
      </w:r>
    </w:p>
    <w:p>
      <w:pPr>
        <w:spacing w:after="160"/>
      </w:pPr>
      <w:r>
        <w:rPr>
          <w:rFonts w:ascii="Arial" w:cs="Arial" w:eastAsia="Arial" w:hAnsi="Arial"/>
          <w:sz w:val="22"/>
          <w:szCs w:val="22"/>
        </w:rPr>
        <w:t xml:space="preserve">sysml/claim_bayesian_formal.xmi updated with:</w:t>
      </w:r>
    </w:p>
    <w:p>
      <w:pPr>
        <w:pStyle w:val="ListParagraph"/>
        <w:numPr>
          <w:ilvl w:val="0"/>
          <w:numId w:val="2"/>
        </w:numPr>
        <w:spacing w:after="100"/>
      </w:pPr>
      <w:r>
        <w:rPr>
          <w:rFonts w:ascii="Arial" w:cs="Arial" w:eastAsia="Arial" w:hAnsi="Arial"/>
          <w:sz w:val="22"/>
          <w:szCs w:val="22"/>
        </w:rPr>
        <w:t xml:space="preserve">FischerFlagStatus enumeration: active, resolved, weakened, strengthened</w:t>
      </w:r>
    </w:p>
    <w:p>
      <w:pPr>
        <w:pStyle w:val="ListParagraph"/>
        <w:numPr>
          <w:ilvl w:val="0"/>
          <w:numId w:val="2"/>
        </w:numPr>
        <w:spacing w:after="100"/>
      </w:pPr>
      <w:r>
        <w:rPr>
          <w:rFonts w:ascii="Arial" w:cs="Arial" w:eastAsia="Arial" w:hAnsi="Arial"/>
          <w:sz w:val="22"/>
          <w:szCs w:val="22"/>
        </w:rPr>
        <w:t xml:space="preserve">ClaimType enumeration: historical_causal, historical_interpretive, documentary, definitional, quantitative — determines Fischer and Bayes applicability</w:t>
      </w:r>
    </w:p>
    <w:p>
      <w:pPr>
        <w:pStyle w:val="ListParagraph"/>
        <w:numPr>
          <w:ilvl w:val="0"/>
          <w:numId w:val="2"/>
        </w:numPr>
        <w:spacing w:after="100"/>
      </w:pPr>
      <w:r>
        <w:rPr>
          <w:rFonts w:ascii="Arial" w:cs="Arial" w:eastAsia="Arial" w:hAnsi="Arial"/>
          <w:sz w:val="22"/>
          <w:szCs w:val="22"/>
        </w:rPr>
        <w:t xml:space="preserve">Layer3MFramework block: applicable_to, not_applicable_to, trigger_condition, recompute_on — the registry pattern for methodological plugins</w:t>
      </w:r>
    </w:p>
    <w:p>
      <w:pPr>
        <w:pStyle w:val="ListParagraph"/>
        <w:numPr>
          <w:ilvl w:val="0"/>
          <w:numId w:val="2"/>
        </w:numPr>
        <w:spacing w:after="100"/>
      </w:pPr>
      <w:r>
        <w:rPr>
          <w:rFonts w:ascii="Arial" w:cs="Arial" w:eastAsia="Arial" w:hAnsi="Arial"/>
          <w:sz w:val="22"/>
          <w:szCs w:val="22"/>
        </w:rPr>
        <w:t xml:space="preserve">FischerFlag block: status, resolved_by, evidential_gap, likelihood_impact — with OCL constraint for recomputation on subcluster growth and Fischer-Bayes coupling</w:t>
      </w:r>
    </w:p>
    <w:p>
      <w:pPr>
        <w:pStyle w:val="ListParagraph"/>
        <w:numPr>
          <w:ilvl w:val="0"/>
          <w:numId w:val="2"/>
        </w:numPr>
        <w:spacing w:after="100"/>
      </w:pPr>
      <w:r>
        <w:rPr>
          <w:rFonts w:ascii="Arial" w:cs="Arial" w:eastAsia="Arial" w:hAnsi="Arial"/>
          <w:sz w:val="22"/>
          <w:szCs w:val="22"/>
        </w:rPr>
        <w:t xml:space="preserve">SCAEngine extension: recomputeFischerFlags(), selectApplicableFrameworks()</w:t>
      </w:r>
    </w:p>
    <w:p>
      <w:pPr>
        <w:pBdr>
          <w:bottom w:val="single" w:color="2E75B6" w:sz="6" w:space="1"/>
        </w:pBdr>
        <w:spacing w:before="200" w:after="200"/>
      </w:pPr>
    </w:p>
    <w:p>
      <w:pPr>
        <w:pStyle w:val="Heading1"/>
      </w:pPr>
      <w:r>
        <w:rPr>
          <w:rFonts w:ascii="Arial" w:cs="Arial" w:eastAsia="Arial" w:hAnsi="Arial"/>
          <w:b/>
          <w:bCs/>
          <w:sz w:val="32"/>
          <w:szCs w:val="32"/>
        </w:rPr>
        <w:t xml:space="preserve">17. Open Questions Captured in Proposed XMI</w:t>
      </w:r>
    </w:p>
    <w:p>
      <w:pPr>
        <w:spacing w:after="160"/>
      </w:pPr>
      <w:r>
        <w:rPr>
          <w:rFonts w:ascii="Arial" w:cs="Arial" w:eastAsia="Arial" w:hAnsi="Arial"/>
          <w:sz w:val="22"/>
          <w:szCs w:val="22"/>
        </w:rPr>
        <w:t xml:space="preserve">The proposed SysML model (sysml/proposed_multiagent_broadcast_optin.xmi) captures five open questions that require resolution before this pattern can be implemented:</w:t>
      </w:r>
    </w:p>
    <w:p>
      <w:pPr>
        <w:pStyle w:val="ListParagraph"/>
        <w:numPr>
          <w:ilvl w:val="0"/>
          <w:numId w:val="2"/>
        </w:numPr>
        <w:spacing w:after="100"/>
      </w:pPr>
      <w:r>
        <w:rPr>
          <w:rFonts w:ascii="Arial" w:cs="Arial" w:eastAsia="Arial" w:hAnsi="Arial"/>
          <w:sz w:val="22"/>
          <w:szCs w:val="22"/>
        </w:rPr>
        <w:t xml:space="preserve">OQ1 — Should BroadcastChannel apply a temporal scope pre-filter before full evaluateRelevance() is called, or do all SCAs always evaluate?</w:t>
      </w:r>
    </w:p>
    <w:p>
      <w:pPr>
        <w:pStyle w:val="ListParagraph"/>
        <w:numPr>
          <w:ilvl w:val="0"/>
          <w:numId w:val="2"/>
        </w:numPr>
        <w:spacing w:after="100"/>
      </w:pPr>
      <w:r>
        <w:rPr>
          <w:rFonts w:ascii="Arial" w:cs="Arial" w:eastAsia="Arial" w:hAnsi="Arial"/>
          <w:sz w:val="22"/>
          <w:szCs w:val="22"/>
        </w:rPr>
        <w:t xml:space="preserve">OQ2 — Conference or async contribution between primary and secondary SCAs? Tradeoff: completeness vs latency.</w:t>
      </w:r>
    </w:p>
    <w:p>
      <w:pPr>
        <w:pStyle w:val="ListParagraph"/>
        <w:numPr>
          <w:ilvl w:val="0"/>
          <w:numId w:val="2"/>
        </w:numPr>
        <w:spacing w:after="100"/>
      </w:pPr>
      <w:r>
        <w:rPr>
          <w:rFonts w:ascii="Arial" w:cs="Arial" w:eastAsia="Arial" w:hAnsi="Arial"/>
          <w:sz w:val="22"/>
          <w:szCs w:val="22"/>
        </w:rPr>
        <w:t xml:space="preserve">OQ3 — Is MultiDimensionalClaim a subtype of Claim (reuse D10/D11 governance with coherence_score gate) or a new node type with its own lifecycle?</w:t>
      </w:r>
    </w:p>
    <w:p>
      <w:pPr>
        <w:pStyle w:val="ListParagraph"/>
        <w:numPr>
          <w:ilvl w:val="0"/>
          <w:numId w:val="2"/>
        </w:numPr>
        <w:spacing w:after="100"/>
      </w:pPr>
      <w:r>
        <w:rPr>
          <w:rFonts w:ascii="Arial" w:cs="Arial" w:eastAsia="Arial" w:hAnsi="Arial"/>
          <w:sz w:val="22"/>
          <w:szCs w:val="22"/>
        </w:rPr>
        <w:t xml:space="preserve">OQ4 — Tiebreaker when two SCAs have equal relevance scores.</w:t>
      </w:r>
    </w:p>
    <w:p>
      <w:pPr>
        <w:pStyle w:val="ListParagraph"/>
        <w:numPr>
          <w:ilvl w:val="0"/>
          <w:numId w:val="2"/>
        </w:numPr>
        <w:spacing w:after="100"/>
      </w:pPr>
      <w:r>
        <w:rPr>
          <w:rFonts w:ascii="Arial" w:cs="Arial" w:eastAsia="Arial" w:hAnsi="Arial"/>
          <w:sz w:val="22"/>
          <w:szCs w:val="22"/>
        </w:rPr>
        <w:t xml:space="preserve">OQ5 — How does a self-selected SCA determine which of its facets are relevant to the specific incoming QID?</w:t>
      </w:r>
    </w:p>
    <w:p>
      <w:pPr>
        <w:pBdr>
          <w:bottom w:val="single" w:color="2E75B6" w:sz="6" w:space="1"/>
        </w:pBdr>
        <w:spacing w:before="200" w:after="200"/>
      </w:pPr>
    </w:p>
    <w:p>
      <w:pPr>
        <w:pStyle w:val="Heading1"/>
      </w:pPr>
      <w:r>
        <w:rPr>
          <w:rFonts w:ascii="Arial" w:cs="Arial" w:eastAsia="Arial" w:hAnsi="Arial"/>
          <w:b/>
          <w:bCs/>
          <w:sz w:val="32"/>
          <w:szCs w:val="32"/>
        </w:rPr>
        <w:t xml:space="preserve">18. Prototype Scope Boundary</w:t>
      </w:r>
    </w:p>
    <w:p>
      <w:pPr>
        <w:spacing w:after="160"/>
      </w:pPr>
      <w:r>
        <w:rPr>
          <w:rFonts w:ascii="Arial" w:cs="Arial" w:eastAsia="Arial" w:hAnsi="Arial"/>
          <w:sz w:val="22"/>
          <w:szCs w:val="22"/>
        </w:rPr>
        <w:t xml:space="preserve">The multi-agent broadcast/opt-in pattern, MultiDimensionalClaim, conference vs conversation debate — all of this is post-prototype. The prototype definition of done is:</w:t>
      </w:r>
    </w:p>
    <w:p>
      <w:pPr>
        <w:pStyle w:val="ListParagraph"/>
        <w:numPr>
          <w:ilvl w:val="0"/>
          <w:numId w:val="2"/>
        </w:numPr>
        <w:spacing w:after="100"/>
      </w:pPr>
      <w:r>
        <w:rPr>
          <w:rFonts w:ascii="Arial" w:cs="Arial" w:eastAsia="Arial" w:hAnsi="Arial"/>
          <w:sz w:val="22"/>
          <w:szCs w:val="22"/>
        </w:rPr>
        <w:t xml:space="preserve">Solid base schema that supports pluggable domain packs.</w:t>
      </w:r>
    </w:p>
    <w:p>
      <w:pPr>
        <w:pStyle w:val="ListParagraph"/>
        <w:numPr>
          <w:ilvl w:val="0"/>
          <w:numId w:val="2"/>
        </w:numPr>
        <w:spacing w:after="100"/>
      </w:pPr>
      <w:r>
        <w:rPr>
          <w:rFonts w:ascii="Arial" w:cs="Arial" w:eastAsia="Arial" w:hAnsi="Arial"/>
          <w:sz w:val="22"/>
          <w:szCs w:val="22"/>
        </w:rPr>
        <w:t xml:space="preserve">Example domain packs to smoke test — Roman Republic (current) and Ancient Greece (validates pluggability).</w:t>
      </w:r>
    </w:p>
    <w:p>
      <w:pPr>
        <w:pStyle w:val="ListParagraph"/>
        <w:numPr>
          <w:ilvl w:val="0"/>
          <w:numId w:val="2"/>
        </w:numPr>
        <w:spacing w:after="100"/>
      </w:pPr>
      <w:r>
        <w:rPr>
          <w:rFonts w:ascii="Arial" w:cs="Arial" w:eastAsia="Arial" w:hAnsi="Arial"/>
          <w:sz w:val="22"/>
          <w:szCs w:val="22"/>
        </w:rPr>
        <w:t xml:space="preserve">Rough Cytoscape UI to navigate the graph, filter by domain, facet, and temporal scope, and view claims with provenance.</w:t>
      </w:r>
    </w:p>
    <w:p>
      <w:pPr>
        <w:spacing w:after="160"/>
      </w:pPr>
      <w:r>
        <w:rPr>
          <w:rFonts w:ascii="Arial" w:cs="Arial" w:eastAsia="Arial" w:hAnsi="Arial"/>
          <w:sz w:val="22"/>
          <w:szCs w:val="22"/>
        </w:rPr>
        <w:t xml:space="preserve">The proposed XMI is a parking lot for these ideas — clearly marked conceptual, not on the KANBAN, not an active build target. The reasoning captured here is preserved so it is not lost and can be revisited when the prototype is complete.</w:t>
      </w:r>
    </w:p>
    <w:p>
      <w:pPr>
        <w:pBdr>
          <w:bottom w:val="single" w:color="2E75B6" w:sz="6" w:space="1"/>
        </w:pBdr>
        <w:spacing w:before="200" w:after="200"/>
      </w:pPr>
    </w:p>
    <w:p>
      <w:pPr>
        <w:pStyle w:val="Heading1"/>
      </w:pPr>
      <w:r>
        <w:rPr>
          <w:rFonts w:ascii="Arial" w:cs="Arial" w:eastAsia="Arial" w:hAnsi="Arial"/>
          <w:b/>
          <w:bCs/>
          <w:sz w:val="32"/>
          <w:szCs w:val="32"/>
        </w:rPr>
        <w:t xml:space="preserve">10. Second Paragraph Analysis</w:t>
      </w:r>
    </w:p>
    <w:p>
      <w:pPr>
        <w:spacing w:after="160"/>
      </w:pPr>
      <w:r>
        <w:rPr>
          <w:rFonts w:ascii="Arial" w:cs="Arial" w:eastAsia="Arial" w:hAnsi="Arial"/>
          <w:sz w:val="22"/>
          <w:szCs w:val="22"/>
        </w:rPr>
        <w:t xml:space="preserve">The source continued with a second paragraph processed by the same active SFAs:</w:t>
      </w:r>
    </w:p>
    <w:p>
      <w:pPr>
        <w:spacing w:before="120" w:after="120"/>
        <w:ind w:left="720" w:right="720"/>
      </w:pPr>
      <w:r>
        <w:rPr>
          <w:rFonts w:ascii="Arial" w:cs="Arial" w:eastAsia="Arial" w:hAnsi="Arial"/>
          <w:i/>
          <w:iCs/>
          <w:color w:val="2E4057"/>
          <w:sz w:val="22"/>
          <w:szCs w:val="22"/>
        </w:rPr>
        <w:t xml:space="preserve">Enslavers and their democratic colleagues began to call those speaking out against the Fugitive Slave Act radicals because they rejected a law. Charges of radicalism spread more widely four years later when northerners of all parties organized against the 1854 Kansas-Nebraska Act.</w:t>
      </w:r>
    </w:p>
    <w:p>
      <w:pPr>
        <w:pStyle w:val="Heading2"/>
      </w:pPr>
      <w:r>
        <w:rPr>
          <w:rFonts w:ascii="Arial" w:cs="Arial" w:eastAsia="Arial" w:hAnsi="Arial"/>
          <w:b/>
          <w:bCs/>
          <w:sz w:val="28"/>
          <w:szCs w:val="28"/>
        </w:rPr>
        <w:t xml:space="preserve">10.1 New Entities — Cipher States</w:t>
      </w:r>
    </w:p>
    <w:p>
      <w:pPr>
        <w:pStyle w:val="ListParagraph"/>
        <w:numPr>
          <w:ilvl w:val="0"/>
          <w:numId w:val="2"/>
        </w:numPr>
        <w:spacing w:after="100"/>
      </w:pPr>
      <w:r>
        <w:rPr>
          <w:rFonts w:ascii="Arial" w:cs="Arial" w:eastAsia="Arial" w:hAnsi="Arial"/>
          <w:b/>
          <w:bCs/>
          <w:sz w:val="22"/>
          <w:szCs w:val="22"/>
        </w:rPr>
        <w:t xml:space="preserve">New: </w:t>
      </w:r>
      <w:r>
        <w:rPr>
          <w:rFonts w:ascii="Arial" w:cs="Arial" w:eastAsia="Arial" w:hAnsi="Arial"/>
          <w:sz w:val="22"/>
          <w:szCs w:val="22"/>
        </w:rPr>
        <w:t xml:space="preserve">Q210045 Kansas-Nebraska Act: State 4 — not in graph. SCA creates.</w:t>
      </w:r>
    </w:p>
    <w:p>
      <w:pPr>
        <w:pStyle w:val="ListParagraph"/>
        <w:numPr>
          <w:ilvl w:val="0"/>
          <w:numId w:val="2"/>
        </w:numPr>
        <w:spacing w:after="100"/>
      </w:pPr>
      <w:r>
        <w:rPr>
          <w:rFonts w:ascii="Arial" w:cs="Arial" w:eastAsia="Arial" w:hAnsi="Arial"/>
          <w:b/>
          <w:bCs/>
          <w:sz w:val="22"/>
          <w:szCs w:val="22"/>
        </w:rPr>
        <w:t xml:space="preserve">Existing: </w:t>
      </w:r>
      <w:r>
        <w:rPr>
          <w:rFonts w:ascii="Arial" w:cs="Arial" w:eastAsia="Arial" w:hAnsi="Arial"/>
          <w:sz w:val="22"/>
          <w:szCs w:val="22"/>
        </w:rPr>
        <w:t xml:space="preserve">Q744448, Q224095: State 2 — same source, new claims. Confidence bumps.</w:t>
      </w:r>
    </w:p>
    <w:p>
      <w:pPr>
        <w:pStyle w:val="Heading2"/>
      </w:pPr>
      <w:r>
        <w:rPr>
          <w:rFonts w:ascii="Arial" w:cs="Arial" w:eastAsia="Arial" w:hAnsi="Arial"/>
          <w:b/>
          <w:bCs/>
          <w:sz w:val="28"/>
          <w:szCs w:val="28"/>
        </w:rPr>
        <w:t xml:space="preserve">10.2 POLITICAL SFA Paragraph 2</w:t>
      </w:r>
    </w:p>
    <w:p>
      <w:pPr>
        <w:spacing w:after="160"/>
      </w:pPr>
      <w:r>
        <w:rPr>
          <w:rFonts w:ascii="Arial" w:cs="Arial" w:eastAsia="Arial" w:hAnsi="Arial"/>
          <w:sz w:val="22"/>
          <w:szCs w:val="22"/>
        </w:rPr>
        <w:t xml:space="preserve">Confidence elevated to 0.84. Radical was assigned as counter-label by enslavers and political allies to delegitimize northern refusal. Kansas-Nebraska extended the labeling dynamic to northerners of all parties. Fischer: Composition HIGH, Presentism HIGH — radical in 1854 differs from modern usage.</w:t>
      </w:r>
    </w:p>
    <w:p>
      <w:pPr>
        <w:pStyle w:val="Heading2"/>
      </w:pPr>
      <w:r>
        <w:rPr>
          <w:rFonts w:ascii="Arial" w:cs="Arial" w:eastAsia="Arial" w:hAnsi="Arial"/>
          <w:b/>
          <w:bCs/>
          <w:sz w:val="28"/>
          <w:szCs w:val="28"/>
        </w:rPr>
        <w:t xml:space="preserve">10.3 ECONOMIC SFA Paragraph 2</w:t>
      </w:r>
    </w:p>
    <w:p>
      <w:pPr>
        <w:spacing w:after="160"/>
      </w:pPr>
      <w:r>
        <w:rPr>
          <w:rFonts w:ascii="Arial" w:cs="Arial" w:eastAsia="Arial" w:hAnsi="Arial"/>
          <w:sz w:val="22"/>
          <w:szCs w:val="22"/>
        </w:rPr>
        <w:t xml:space="preserve">Relevance elevated to 0.71. The 1854 coalition included free labor advocates, railroad interests, and western land speculators with distinct economic stakes converging on opposition through different mechanisms. Anachronism elevated to HIGH — the source elides economic dimensions that drove the coalition.</w:t>
      </w:r>
    </w:p>
    <w:p>
      <w:pPr>
        <w:pStyle w:val="Heading2"/>
      </w:pPr>
      <w:r>
        <w:rPr>
          <w:rFonts w:ascii="Arial" w:cs="Arial" w:eastAsia="Arial" w:hAnsi="Arial"/>
          <w:b/>
          <w:bCs/>
          <w:sz w:val="28"/>
          <w:szCs w:val="28"/>
        </w:rPr>
        <w:t xml:space="preserve">10.4 What Two Paragraphs Reveal Together</w:t>
      </w:r>
    </w:p>
    <w:p>
      <w:pPr>
        <w:spacing w:after="160"/>
      </w:pPr>
      <w:r>
        <w:rPr>
          <w:rFonts w:ascii="Arial" w:cs="Arial" w:eastAsia="Arial" w:hAnsi="Arial"/>
          <w:sz w:val="22"/>
          <w:szCs w:val="22"/>
        </w:rPr>
        <w:t xml:space="preserve">The source makes one structural argument across both paragraphs: antebellum political vocabulary was forged symmetrically. Conservative from northern self-positioning. Radical assigned by opponents. Both created simultaneously from the same legislative conflicts. No single SFA sees this — SCA holding both paragraphs in context identifies the symmetrical vocabulary formation argument that no SFA can see alone.</w:t>
      </w:r>
    </w:p>
    <w:p>
      <w:pPr>
        <w:pBdr>
          <w:bottom w:val="single" w:color="2E75B6" w:sz="6" w:space="1"/>
        </w:pBdr>
        <w:spacing w:before="200" w:after="200"/>
      </w:pPr>
    </w:p>
    <w:p>
      <w:pPr>
        <w:pStyle w:val="Heading1"/>
      </w:pPr>
      <w:r>
        <w:rPr>
          <w:rFonts w:ascii="Arial" w:cs="Arial" w:eastAsia="Arial" w:hAnsi="Arial"/>
          <w:b/>
          <w:bCs/>
          <w:sz w:val="32"/>
          <w:szCs w:val="32"/>
        </w:rPr>
        <w:t xml:space="preserve">11. The Cluster After Two Paragraphs</w:t>
      </w:r>
    </w:p>
    <w:p>
      <w:pPr>
        <w:pStyle w:val="Heading2"/>
      </w:pPr>
      <w:r>
        <w:rPr>
          <w:rFonts w:ascii="Arial" w:cs="Arial" w:eastAsia="Arial" w:hAnsi="Arial"/>
          <w:b/>
          <w:bCs/>
          <w:sz w:val="28"/>
          <w:szCs w:val="28"/>
        </w:rPr>
        <w:t xml:space="preserve">11.1 Legislative Spine</w:t>
      </w:r>
    </w:p>
    <w:p>
      <w:pPr>
        <w:spacing w:before="80" w:after="80"/>
        <w:ind w:left="720"/>
      </w:pPr>
      <w:r>
        <w:rPr>
          <w:rFonts w:ascii="Courier New" w:cs="Courier New" w:eastAsia="Courier New" w:hAnsi="Courier New"/>
          <w:color w:val="2E4057"/>
          <w:sz w:val="18"/>
          <w:szCs w:val="18"/>
        </w:rPr>
        <w:t xml:space="preserve">(Q224095 Compromise of 1850)</w:t>
      </w:r>
    </w:p>
    <w:p>
      <w:pPr>
        <w:spacing w:before="80" w:after="80"/>
        <w:ind w:left="720"/>
      </w:pPr>
      <w:r>
        <w:rPr>
          <w:rFonts w:ascii="Courier New" w:cs="Courier New" w:eastAsia="Courier New" w:hAnsi="Courier New"/>
          <w:color w:val="2E4057"/>
          <w:sz w:val="18"/>
          <w:szCs w:val="18"/>
        </w:rPr>
        <w:t xml:space="preserve">(Q744448 Fugitive Slave Act)-[:PART_OF]-&gt;(Q224095)</w:t>
      </w:r>
    </w:p>
    <w:p>
      <w:pPr>
        <w:spacing w:before="80" w:after="80"/>
        <w:ind w:left="720"/>
      </w:pPr>
      <w:r>
        <w:rPr>
          <w:rFonts w:ascii="Courier New" w:cs="Courier New" w:eastAsia="Courier New" w:hAnsi="Courier New"/>
          <w:color w:val="2E4057"/>
          <w:sz w:val="18"/>
          <w:szCs w:val="18"/>
        </w:rPr>
        <w:t xml:space="preserve">(Q210045 Kansas-Nebraska Act)-[:EXTENDS_FRACTURE]-&gt;(Q224095)</w:t>
      </w:r>
    </w:p>
    <w:p>
      <w:pPr>
        <w:pStyle w:val="Heading2"/>
      </w:pPr>
      <w:r>
        <w:rPr>
          <w:rFonts w:ascii="Arial" w:cs="Arial" w:eastAsia="Arial" w:hAnsi="Arial"/>
          <w:b/>
          <w:bCs/>
          <w:sz w:val="28"/>
          <w:szCs w:val="28"/>
        </w:rPr>
        <w:t xml:space="preserve">11.2 Claim Cloud</w:t>
      </w:r>
    </w:p>
    <w:p>
      <w:pPr>
        <w:spacing w:before="80" w:after="80"/>
        <w:ind w:left="720"/>
      </w:pPr>
      <w:r>
        <w:rPr>
          <w:rFonts w:ascii="Courier New" w:cs="Courier New" w:eastAsia="Courier New" w:hAnsi="Courier New"/>
          <w:color w:val="2E4057"/>
          <w:sz w:val="18"/>
          <w:szCs w:val="18"/>
        </w:rPr>
        <w:t xml:space="preserve">(P1 conf:0.74)-[:ABOUT]-&gt;(Q744448)</w:t>
      </w:r>
    </w:p>
    <w:p>
      <w:pPr>
        <w:spacing w:before="80" w:after="80"/>
        <w:ind w:left="720"/>
      </w:pPr>
      <w:r>
        <w:rPr>
          <w:rFonts w:ascii="Courier New" w:cs="Courier New" w:eastAsia="Courier New" w:hAnsi="Courier New"/>
          <w:color w:val="2E4057"/>
          <w:sz w:val="18"/>
          <w:szCs w:val="18"/>
        </w:rPr>
        <w:t xml:space="preserve">(P2 conf:0.84)-[:ABOUT]-&gt;(Q744448, Q210045)-[:EXTENDS]-&gt;(P1)</w:t>
      </w:r>
    </w:p>
    <w:p>
      <w:pPr>
        <w:spacing w:before="80" w:after="80"/>
        <w:ind w:left="720"/>
      </w:pPr>
      <w:r>
        <w:rPr>
          <w:rFonts w:ascii="Courier New" w:cs="Courier New" w:eastAsia="Courier New" w:hAnsi="Courier New"/>
          <w:color w:val="2E4057"/>
          <w:sz w:val="18"/>
          <w:szCs w:val="18"/>
        </w:rPr>
        <w:t xml:space="preserve">(E1 conf:0.65)-[:ABOUT]-&gt;(Q744448)</w:t>
      </w:r>
    </w:p>
    <w:p>
      <w:pPr>
        <w:spacing w:before="80" w:after="80"/>
        <w:ind w:left="720"/>
      </w:pPr>
      <w:r>
        <w:rPr>
          <w:rFonts w:ascii="Courier New" w:cs="Courier New" w:eastAsia="Courier New" w:hAnsi="Courier New"/>
          <w:color w:val="2E4057"/>
          <w:sz w:val="18"/>
          <w:szCs w:val="18"/>
        </w:rPr>
        <w:t xml:space="preserve">(E2 conf:0.72)-[:ABOUT]-&gt;(Q210045)-[:EXTENDS]-&gt;(E1)</w:t>
      </w:r>
    </w:p>
    <w:p>
      <w:pPr>
        <w:spacing w:after="160"/>
      </w:pPr>
      <w:r>
        <w:rPr>
          <w:rFonts w:ascii="Arial" w:cs="Arial" w:eastAsia="Arial" w:hAnsi="Arial"/>
          <w:sz w:val="22"/>
          <w:szCs w:val="22"/>
        </w:rPr>
        <w:t xml:space="preserve">The EXTENDS relationships show the author's reasoning chain as graph structure. When a contradicting source arrives it hits State 3 and DISPUTES becomes visible in Cytoscape. The cluster is a navigable map of arguments and scholarly disagreement.</w:t>
      </w:r>
    </w:p>
    <w:p>
      <w:pPr>
        <w:pStyle w:val="Heading2"/>
      </w:pPr>
      <w:r>
        <w:rPr>
          <w:rFonts w:ascii="Arial" w:cs="Arial" w:eastAsia="Arial" w:hAnsi="Arial"/>
          <w:b/>
          <w:bCs/>
          <w:sz w:val="28"/>
          <w:szCs w:val="28"/>
        </w:rPr>
        <w:t xml:space="preserve">11.3 Composite Layer</w:t>
      </w:r>
    </w:p>
    <w:p>
      <w:pPr>
        <w:spacing w:before="80" w:after="80"/>
        <w:ind w:left="720"/>
      </w:pPr>
      <w:r>
        <w:rPr>
          <w:rFonts w:ascii="Courier New" w:cs="Courier New" w:eastAsia="Courier New" w:hAnsi="Courier New"/>
          <w:color w:val="2E4057"/>
          <w:sz w:val="18"/>
          <w:szCs w:val="18"/>
        </w:rPr>
        <w:t xml:space="preserve">(MDC1 status:assembling)-[:INCORPORATES]-&gt;(P1,P2,E1,E2)</w:t>
      </w:r>
    </w:p>
    <w:p>
      <w:pPr>
        <w:spacing w:before="80" w:after="80"/>
        <w:ind w:left="720"/>
      </w:pPr>
      <w:r>
        <w:rPr>
          <w:rFonts w:ascii="Courier New" w:cs="Courier New" w:eastAsia="Courier New" w:hAnsi="Courier New"/>
          <w:color w:val="2E4057"/>
          <w:sz w:val="18"/>
          <w:szCs w:val="18"/>
        </w:rPr>
        <w:t xml:space="preserve">-[:ANCHORED_TO]-&gt;(SC temporal_range:1850-1854)</w:t>
      </w:r>
    </w:p>
    <w:p>
      <w:pPr>
        <w:spacing w:before="80" w:after="80"/>
        <w:ind w:left="720"/>
      </w:pPr>
      <w:r>
        <w:rPr>
          <w:rFonts w:ascii="Courier New" w:cs="Courier New" w:eastAsia="Courier New" w:hAnsi="Courier New"/>
          <w:color w:val="2E4057"/>
          <w:sz w:val="18"/>
          <w:szCs w:val="18"/>
        </w:rPr>
        <w:t xml:space="preserve">(EN1 Northern Free Labor Movement status:enrichment_pending)</w:t>
      </w:r>
    </w:p>
    <w:p>
      <w:pPr>
        <w:pBdr>
          <w:bottom w:val="single" w:color="2E75B6" w:sz="6" w:space="1"/>
        </w:pBdr>
        <w:spacing w:before="200" w:after="200"/>
      </w:pPr>
    </w:p>
    <w:p>
      <w:pPr>
        <w:pStyle w:val="Heading1"/>
      </w:pPr>
      <w:r>
        <w:rPr>
          <w:rFonts w:ascii="Arial" w:cs="Arial" w:eastAsia="Arial" w:hAnsi="Arial"/>
          <w:b/>
          <w:bCs/>
          <w:sz w:val="32"/>
          <w:szCs w:val="32"/>
        </w:rPr>
        <w:t xml:space="preserve">12. Claims Have Subclaims</w:t>
      </w:r>
    </w:p>
    <w:p>
      <w:pPr>
        <w:spacing w:after="160"/>
      </w:pPr>
      <w:r>
        <w:rPr>
          <w:rFonts w:ascii="Arial" w:cs="Arial" w:eastAsia="Arial" w:hAnsi="Arial"/>
          <w:sz w:val="22"/>
          <w:szCs w:val="22"/>
        </w:rPr>
        <w:t xml:space="preserve">A claim is not a leaf node. It is a pattern with internal structure. The whole and each part are both valid atomic units simultaneously.</w:t>
      </w:r>
    </w:p>
    <w:p>
      <w:pPr>
        <w:spacing w:before="80" w:after="80"/>
        <w:ind w:left="720"/>
      </w:pPr>
      <w:r>
        <w:rPr>
          <w:rFonts w:ascii="Courier New" w:cs="Courier New" w:eastAsia="Courier New" w:hAnsi="Courier New"/>
          <w:color w:val="2E4057"/>
          <w:sz w:val="18"/>
          <w:szCs w:val="18"/>
        </w:rPr>
        <w:t xml:space="preserve">MDC1 -&gt; P1 -&gt; C3 (factual, low complexity, directly verifiable)</w:t>
      </w:r>
    </w:p>
    <w:p>
      <w:pPr>
        <w:spacing w:before="80" w:after="80"/>
        <w:ind w:left="720"/>
      </w:pPr>
      <w:r>
        <w:rPr>
          <w:rFonts w:ascii="Courier New" w:cs="Courier New" w:eastAsia="Courier New" w:hAnsi="Courier New"/>
          <w:color w:val="2E4057"/>
          <w:sz w:val="18"/>
          <w:szCs w:val="18"/>
        </w:rPr>
        <w:t xml:space="preserve">             C4 (causal, LOAD-BEARING, requires corroboration)</w:t>
      </w:r>
    </w:p>
    <w:p>
      <w:pPr>
        <w:spacing w:before="80" w:after="80"/>
        <w:ind w:left="720"/>
      </w:pPr>
      <w:r>
        <w:rPr>
          <w:rFonts w:ascii="Courier New" w:cs="Courier New" w:eastAsia="Courier New" w:hAnsi="Courier New"/>
          <w:color w:val="2E4057"/>
          <w:sz w:val="18"/>
          <w:szCs w:val="18"/>
        </w:rPr>
        <w:t xml:space="preserve">        P2, E1, E2</w:t>
      </w:r>
    </w:p>
    <w:p>
      <w:pPr>
        <w:spacing w:after="160"/>
      </w:pPr>
      <w:r>
        <w:rPr>
          <w:rFonts w:ascii="Arial" w:cs="Arial" w:eastAsia="Arial" w:hAnsi="Arial"/>
          <w:sz w:val="22"/>
          <w:szCs w:val="22"/>
        </w:rPr>
        <w:t xml:space="preserve">Composition with independent existence — not containment. Confidence flows upward. C3 disputed weakens P1 which weakens MDC1. New relationship: [:SUBCLAIM_OF] — subclaim points to parent, applies at all levels.</w:t>
      </w:r>
    </w:p>
    <w:p>
      <w:pPr>
        <w:pBdr>
          <w:bottom w:val="single" w:color="2E75B6" w:sz="6" w:space="1"/>
        </w:pBdr>
        <w:spacing w:before="200" w:after="200"/>
      </w:pPr>
    </w:p>
    <w:p>
      <w:pPr>
        <w:pStyle w:val="Heading1"/>
      </w:pPr>
      <w:r>
        <w:rPr>
          <w:rFonts w:ascii="Arial" w:cs="Arial" w:eastAsia="Arial" w:hAnsi="Arial"/>
          <w:b/>
          <w:bCs/>
          <w:sz w:val="32"/>
          <w:szCs w:val="32"/>
        </w:rPr>
        <w:t xml:space="preserve">13. Fractal Theory as Structural Foundation</w:t>
      </w:r>
    </w:p>
    <w:p>
      <w:pPr>
        <w:spacing w:after="160"/>
      </w:pPr>
      <w:r>
        <w:rPr>
          <w:rFonts w:ascii="Arial" w:cs="Arial" w:eastAsia="Arial" w:hAnsi="Arial"/>
          <w:sz w:val="22"/>
          <w:szCs w:val="22"/>
        </w:rPr>
        <w:t xml:space="preserve">The claim structure is structurally fractal. Every level — MDC1, P1, C4 — has identical properties: confidence, source, fallacy flags, cipher, lifecycle status, subclaims. Every level supports identical operations: dispute, corroborate, promote, enrich. Scale changes. Content changes. Structure is invariant. That is self-similarity.</w:t>
      </w:r>
    </w:p>
    <w:p>
      <w:pPr>
        <w:pStyle w:val="Heading2"/>
      </w:pPr>
      <w:r>
        <w:rPr>
          <w:rFonts w:ascii="Arial" w:cs="Arial" w:eastAsia="Arial" w:hAnsi="Arial"/>
          <w:b/>
          <w:bCs/>
          <w:sz w:val="28"/>
          <w:szCs w:val="28"/>
        </w:rPr>
        <w:t xml:space="preserve">13.1 Fractal Dimension</w:t>
      </w:r>
    </w:p>
    <w:p>
      <w:pPr>
        <w:spacing w:after="160"/>
      </w:pPr>
      <w:r>
        <w:rPr>
          <w:rFonts w:ascii="Arial" w:cs="Arial" w:eastAsia="Arial" w:hAnsi="Arial"/>
          <w:sz w:val="22"/>
          <w:szCs w:val="22"/>
        </w:rPr>
        <w:t xml:space="preserve">High fractal dimension means more load-bearing structure and more corroboration required before promotion. C3 is low dimension — simple, factual. MDC1 is high dimension — composite, causal, multi-facet. D10 promotion threshold should be f(claim_promotion_confidence, fractal_dimension), not a flat value.</w:t>
      </w:r>
    </w:p>
    <w:p>
      <w:pPr>
        <w:pStyle w:val="Heading2"/>
      </w:pPr>
      <w:r>
        <w:rPr>
          <w:rFonts w:ascii="Arial" w:cs="Arial" w:eastAsia="Arial" w:hAnsi="Arial"/>
          <w:b/>
          <w:bCs/>
          <w:sz w:val="28"/>
          <w:szCs w:val="28"/>
        </w:rPr>
        <w:t xml:space="preserve">13.2 Boundary and Interior</w:t>
      </w:r>
    </w:p>
    <w:p>
      <w:pPr>
        <w:spacing w:after="160"/>
      </w:pPr>
      <w:r>
        <w:rPr>
          <w:rFonts w:ascii="Arial" w:cs="Arial" w:eastAsia="Arial" w:hAnsi="Arial"/>
          <w:sz w:val="22"/>
          <w:szCs w:val="22"/>
        </w:rPr>
        <w:t xml:space="preserve">The boundary is where disputes and enrichment proposals accumulate. The interior is stable. Natural Cytoscape UI principle: interior nodes render differently from boundary nodes.</w:t>
      </w:r>
    </w:p>
    <w:p>
      <w:pPr>
        <w:spacing w:before="80" w:after="80"/>
        <w:ind w:left="720"/>
      </w:pPr>
      <w:r>
        <w:rPr>
          <w:rFonts w:ascii="Courier New" w:cs="Courier New" w:eastAsia="Courier New" w:hAnsi="Courier New"/>
          <w:color w:val="2E4057"/>
          <w:sz w:val="18"/>
          <w:szCs w:val="18"/>
        </w:rPr>
        <w:t xml:space="preserve">boundary_status: interior | boundary | frontier</w:t>
      </w:r>
    </w:p>
    <w:p>
      <w:pPr>
        <w:spacing w:before="80" w:after="80"/>
        <w:ind w:left="720"/>
      </w:pPr>
      <w:r>
        <w:rPr>
          <w:rFonts w:ascii="Courier New" w:cs="Courier New" w:eastAsia="Courier New" w:hAnsi="Courier New"/>
          <w:color w:val="2E4057"/>
          <w:sz w:val="18"/>
          <w:szCs w:val="18"/>
        </w:rPr>
        <w:t xml:space="preserve">  interior:  conf &gt; threshold, multiply sourced, no disputes</w:t>
      </w:r>
    </w:p>
    <w:p>
      <w:pPr>
        <w:spacing w:before="80" w:after="80"/>
        <w:ind w:left="720"/>
      </w:pPr>
      <w:r>
        <w:rPr>
          <w:rFonts w:ascii="Courier New" w:cs="Courier New" w:eastAsia="Courier New" w:hAnsi="Courier New"/>
          <w:color w:val="2E4057"/>
          <w:sz w:val="18"/>
          <w:szCs w:val="18"/>
        </w:rPr>
        <w:t xml:space="preserve">  boundary:  assembling, pending enrichment, single source</w:t>
      </w:r>
    </w:p>
    <w:p>
      <w:pPr>
        <w:spacing w:before="80" w:after="80"/>
        <w:ind w:left="720"/>
      </w:pPr>
      <w:r>
        <w:rPr>
          <w:rFonts w:ascii="Courier New" w:cs="Courier New" w:eastAsia="Courier New" w:hAnsi="Courier New"/>
          <w:color w:val="2E4057"/>
          <w:sz w:val="18"/>
          <w:szCs w:val="18"/>
        </w:rPr>
        <w:t xml:space="preserve">  frontier:  proposed, no corroboration yet</w:t>
      </w:r>
    </w:p>
    <w:p>
      <w:pPr>
        <w:pBdr>
          <w:bottom w:val="single" w:color="2E75B6" w:sz="6" w:space="1"/>
        </w:pBdr>
        <w:spacing w:before="200" w:after="200"/>
      </w:pPr>
    </w:p>
    <w:p>
      <w:pPr>
        <w:pStyle w:val="Heading1"/>
      </w:pPr>
      <w:r>
        <w:rPr>
          <w:rFonts w:ascii="Arial" w:cs="Arial" w:eastAsia="Arial" w:hAnsi="Arial"/>
          <w:b/>
          <w:bCs/>
          <w:sz w:val="32"/>
          <w:szCs w:val="32"/>
        </w:rPr>
        <w:t xml:space="preserve">14. Game of Life as Dynamic Foundation</w:t>
      </w:r>
    </w:p>
    <w:p>
      <w:pPr>
        <w:spacing w:after="160"/>
      </w:pPr>
      <w:r>
        <w:rPr>
          <w:rFonts w:ascii="Arial" w:cs="Arial" w:eastAsia="Arial" w:hAnsi="Arial"/>
          <w:sz w:val="22"/>
          <w:szCs w:val="22"/>
        </w:rPr>
        <w:t xml:space="preserve">In Conway's Game of Life cells die from underpopulation (fewer than 2 neighbours) or overpopulation (more than 3 neighbours). Survival requires 2 or 3 neighbours.</w:t>
      </w:r>
    </w:p>
    <w:p>
      <w:pPr>
        <w:pStyle w:val="Heading2"/>
      </w:pPr>
      <w:r>
        <w:rPr>
          <w:rFonts w:ascii="Arial" w:cs="Arial" w:eastAsia="Arial" w:hAnsi="Arial"/>
          <w:b/>
          <w:bCs/>
          <w:sz w:val="28"/>
          <w:szCs w:val="28"/>
        </w:rPr>
        <w:t xml:space="preserve">14.1 Underpopulation — Isolated Claims</w:t>
      </w:r>
    </w:p>
    <w:p>
      <w:pPr>
        <w:spacing w:after="160"/>
      </w:pPr>
      <w:r>
        <w:rPr>
          <w:rFonts w:ascii="Arial" w:cs="Arial" w:eastAsia="Arial" w:hAnsi="Arial"/>
          <w:sz w:val="22"/>
          <w:szCs w:val="22"/>
        </w:rPr>
        <w:t xml:space="preserve">A claim with no corroboration after N iterations: status isolated, flagged for architect review. Retained for audit — never deleted.</w:t>
      </w:r>
    </w:p>
    <w:p>
      <w:pPr>
        <w:pStyle w:val="Heading2"/>
      </w:pPr>
      <w:r>
        <w:rPr>
          <w:rFonts w:ascii="Arial" w:cs="Arial" w:eastAsia="Arial" w:hAnsi="Arial"/>
          <w:b/>
          <w:bCs/>
          <w:sz w:val="28"/>
          <w:szCs w:val="28"/>
        </w:rPr>
        <w:t xml:space="preserve">14.2 Overpopulation — Split Trigger</w:t>
      </w:r>
    </w:p>
    <w:p>
      <w:pPr>
        <w:spacing w:after="160"/>
      </w:pPr>
      <w:r>
        <w:rPr>
          <w:rFonts w:ascii="Arial" w:cs="Arial" w:eastAsia="Arial" w:hAnsi="Arial"/>
          <w:sz w:val="22"/>
          <w:szCs w:val="22"/>
        </w:rPr>
        <w:t xml:space="preserve">A SubjectConcept with too many claims and enrichment proposals triggers D12. Fractal dimension exceeds threshold. SubjectConcept divides into two more coherent anchors.</w:t>
      </w:r>
    </w:p>
    <w:p>
      <w:pPr>
        <w:pStyle w:val="Heading2"/>
      </w:pPr>
      <w:r>
        <w:rPr>
          <w:rFonts w:ascii="Arial" w:cs="Arial" w:eastAsia="Arial" w:hAnsi="Arial"/>
          <w:b/>
          <w:bCs/>
          <w:sz w:val="28"/>
          <w:szCs w:val="28"/>
        </w:rPr>
        <w:t xml:space="preserve">14.3 The Four Life Patterns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Claim Equivalent</w:t>
            </w:r>
          </w:p>
        </w:tc>
        <w:tc>
          <w:tcPr>
            <w:tcW w:type="dxa" w:w="4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Still Life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Stable, multiply corroborated, no disputes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C3: Fugitive Slave Act was part of Compromise of 1850</w:t>
            </w:r>
          </w:p>
        </w:tc>
      </w:tr>
      <w:tr>
        <w:tc>
          <w:tcPr>
            <w:tcW w:type="dxa" w:w="1800"/>
            <w:tcBorders>
              <w:top w:val="single" w:color="CCCCCC" w:sz="1"/>
              <w:left w:val="single" w:color="CCCCCC" w:sz="1"/>
              <w:bottom w:val="single" w:color="CCCCCC" w:sz="1"/>
              <w:right w:val="single" w:color="CCCCCC" w:sz="1"/>
            </w:tcBorders>
            <w:shd w:fill="EEF2F5" w:val="clear"/>
            <w:tcMar>
              <w:top w:type="dxa" w:w="80"/>
              <w:left w:type="dxa" w:w="120"/>
              <w:bottom w:type="dxa" w:w="80"/>
              <w:right w:type="dxa" w:w="120"/>
            </w:tcMar>
          </w:tcPr>
          <w:p>
            <w:r>
              <w:rPr>
                <w:rFonts w:ascii="Arial" w:cs="Arial" w:eastAsia="Arial" w:hAnsi="Arial"/>
                <w:b/>
                <w:bCs/>
                <w:sz w:val="20"/>
                <w:szCs w:val="20"/>
              </w:rPr>
              <w:t xml:space="preserve">Glider</w:t>
            </w:r>
          </w:p>
        </w:tc>
        <w:tc>
          <w:tcPr>
            <w:tcW w:type="dxa" w:w="3000"/>
            <w:tcBorders>
              <w:top w:val="single" w:color="CCCCCC" w:sz="1"/>
              <w:left w:val="single" w:color="CCCCCC" w:sz="1"/>
              <w:bottom w:val="single" w:color="CCCCCC" w:sz="1"/>
              <w:right w:val="single" w:color="CCCCCC" w:sz="1"/>
            </w:tcBorders>
            <w:shd w:fill="EEF2F5" w:val="clear"/>
            <w:tcMar>
              <w:top w:type="dxa" w:w="80"/>
              <w:left w:type="dxa" w:w="120"/>
              <w:bottom w:type="dxa" w:w="80"/>
              <w:right w:type="dxa" w:w="120"/>
            </w:tcMar>
          </w:tcPr>
          <w:p>
            <w:r>
              <w:rPr>
                <w:rFonts w:ascii="Arial" w:cs="Arial" w:eastAsia="Arial" w:hAnsi="Arial"/>
                <w:sz w:val="20"/>
                <w:szCs w:val="20"/>
              </w:rPr>
              <w:t xml:space="preserve">Relevant to multiple SubjectConcepts, propagates across graph</w:t>
            </w:r>
          </w:p>
        </w:tc>
        <w:tc>
          <w:tcPr>
            <w:tcW w:type="dxa" w:w="4560"/>
            <w:tcBorders>
              <w:top w:val="single" w:color="CCCCCC" w:sz="1"/>
              <w:left w:val="single" w:color="CCCCCC" w:sz="1"/>
              <w:bottom w:val="single" w:color="CCCCCC" w:sz="1"/>
              <w:right w:val="single" w:color="CCCCCC" w:sz="1"/>
            </w:tcBorders>
            <w:shd w:fill="EEF2F5" w:val="clear"/>
            <w:tcMar>
              <w:top w:type="dxa" w:w="80"/>
              <w:left w:type="dxa" w:w="120"/>
              <w:bottom w:type="dxa" w:w="80"/>
              <w:right w:type="dxa" w:w="120"/>
            </w:tcMar>
          </w:tcPr>
          <w:p>
            <w:r>
              <w:rPr>
                <w:rFonts w:ascii="Arial" w:cs="Arial" w:eastAsia="Arial" w:hAnsi="Arial"/>
                <w:i/>
                <w:iCs/>
                <w:sz w:val="20"/>
                <w:szCs w:val="20"/>
              </w:rPr>
              <w:t xml:space="preserve">P2 vocabulary symmetry claim connects US Political Identity Formation AND Antebellum Legislative History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Oscillator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Disputed repeatedly, never resolves. After oscillation_limit: contested_permanent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C4 causal claim — does refusal cause vocabulary formation or is it correlative? Active scholarly controversy.</w:t>
            </w:r>
          </w:p>
        </w:tc>
      </w:tr>
      <w:tr>
        <w:tc>
          <w:tcPr>
            <w:tcW w:type="dxa" w:w="1800"/>
            <w:tcBorders>
              <w:top w:val="single" w:color="CCCCCC" w:sz="1"/>
              <w:left w:val="single" w:color="CCCCCC" w:sz="1"/>
              <w:bottom w:val="single" w:color="CCCCCC" w:sz="1"/>
              <w:right w:val="single" w:color="CCCCCC" w:sz="1"/>
            </w:tcBorders>
            <w:shd w:fill="EEF2F5" w:val="clear"/>
            <w:tcMar>
              <w:top w:type="dxa" w:w="80"/>
              <w:left w:type="dxa" w:w="120"/>
              <w:bottom w:type="dxa" w:w="80"/>
              <w:right w:type="dxa" w:w="120"/>
            </w:tcMar>
          </w:tcPr>
          <w:p>
            <w:r>
              <w:rPr>
                <w:rFonts w:ascii="Arial" w:cs="Arial" w:eastAsia="Arial" w:hAnsi="Arial"/>
                <w:b/>
                <w:bCs/>
                <w:sz w:val="20"/>
                <w:szCs w:val="20"/>
              </w:rPr>
              <w:t xml:space="preserve">Frontier</w:t>
            </w:r>
          </w:p>
        </w:tc>
        <w:tc>
          <w:tcPr>
            <w:tcW w:type="dxa" w:w="3000"/>
            <w:tcBorders>
              <w:top w:val="single" w:color="CCCCCC" w:sz="1"/>
              <w:left w:val="single" w:color="CCCCCC" w:sz="1"/>
              <w:bottom w:val="single" w:color="CCCCCC" w:sz="1"/>
              <w:right w:val="single" w:color="CCCCCC" w:sz="1"/>
            </w:tcBorders>
            <w:shd w:fill="EEF2F5" w:val="clear"/>
            <w:tcMar>
              <w:top w:type="dxa" w:w="80"/>
              <w:left w:type="dxa" w:w="120"/>
              <w:bottom w:type="dxa" w:w="80"/>
              <w:right w:type="dxa" w:w="120"/>
            </w:tcMar>
          </w:tcPr>
          <w:p>
            <w:r>
              <w:rPr>
                <w:rFonts w:ascii="Arial" w:cs="Arial" w:eastAsia="Arial" w:hAnsi="Arial"/>
                <w:sz w:val="20"/>
                <w:szCs w:val="20"/>
              </w:rPr>
              <w:t xml:space="preserve">Newly born, no corroboration, survival uncertain</w:t>
            </w:r>
          </w:p>
        </w:tc>
        <w:tc>
          <w:tcPr>
            <w:tcW w:type="dxa" w:w="4560"/>
            <w:tcBorders>
              <w:top w:val="single" w:color="CCCCCC" w:sz="1"/>
              <w:left w:val="single" w:color="CCCCCC" w:sz="1"/>
              <w:bottom w:val="single" w:color="CCCCCC" w:sz="1"/>
              <w:right w:val="single" w:color="CCCCCC" w:sz="1"/>
            </w:tcBorders>
            <w:shd w:fill="EEF2F5" w:val="clear"/>
            <w:tcMar>
              <w:top w:type="dxa" w:w="80"/>
              <w:left w:type="dxa" w:w="120"/>
              <w:bottom w:type="dxa" w:w="80"/>
              <w:right w:type="dxa" w:w="120"/>
            </w:tcMar>
          </w:tcPr>
          <w:p>
            <w:r>
              <w:rPr>
                <w:rFonts w:ascii="Arial" w:cs="Arial" w:eastAsia="Arial" w:hAnsi="Arial"/>
                <w:i/>
                <w:iCs/>
                <w:sz w:val="20"/>
                <w:szCs w:val="20"/>
              </w:rPr>
              <w:t xml:space="preserve">EN1 Northern Free Labor Movement — proposed, awaiting enrichment decision</w:t>
            </w:r>
          </w:p>
        </w:tc>
      </w:tr>
    </w:tbl>
    <w:p>
      <w:pPr>
        <w:spacing w:before="160" w:after="160"/>
      </w:pPr>
    </w:p>
    <w:p>
      <w:pPr>
        <w:pStyle w:val="Heading2"/>
      </w:pPr>
      <w:r>
        <w:rPr>
          <w:rFonts w:ascii="Arial" w:cs="Arial" w:eastAsia="Arial" w:hAnsi="Arial"/>
          <w:b/>
          <w:bCs/>
          <w:sz w:val="28"/>
          <w:szCs w:val="28"/>
        </w:rPr>
        <w:t xml:space="preserve">14.4 Chrystallum Rule Set</w:t>
      </w:r>
    </w:p>
    <w:p>
      <w:pPr>
        <w:spacing w:before="80" w:after="80"/>
        <w:ind w:left="720"/>
      </w:pPr>
      <w:r>
        <w:rPr>
          <w:rFonts w:ascii="Courier New" w:cs="Courier New" w:eastAsia="Courier New" w:hAnsi="Courier New"/>
          <w:color w:val="2E4057"/>
          <w:sz w:val="18"/>
          <w:szCs w:val="18"/>
        </w:rPr>
        <w:t xml:space="preserve">Birth:       3+ independent facet claims converge on SubjectConcept with coherent content</w:t>
      </w:r>
    </w:p>
    <w:p>
      <w:pPr>
        <w:spacing w:before="80" w:after="80"/>
        <w:ind w:left="720"/>
      </w:pPr>
      <w:r>
        <w:rPr>
          <w:rFonts w:ascii="Courier New" w:cs="Courier New" w:eastAsia="Courier New" w:hAnsi="Courier New"/>
          <w:color w:val="2E4057"/>
          <w:sz w:val="18"/>
          <w:szCs w:val="18"/>
        </w:rPr>
        <w:t xml:space="preserve">Survival:    2-3 corroborating sources or facet concurrences, no active disputes</w:t>
      </w:r>
    </w:p>
    <w:p>
      <w:pPr>
        <w:spacing w:before="80" w:after="80"/>
        <w:ind w:left="720"/>
      </w:pPr>
      <w:r>
        <w:rPr>
          <w:rFonts w:ascii="Courier New" w:cs="Courier New" w:eastAsia="Courier New" w:hAnsi="Courier New"/>
          <w:color w:val="2E4057"/>
          <w:sz w:val="18"/>
          <w:szCs w:val="18"/>
        </w:rPr>
        <w:t xml:space="preserve">Death 1:     No corroboration after N iterations -&gt; status: isolated</w:t>
      </w:r>
    </w:p>
    <w:p>
      <w:pPr>
        <w:spacing w:before="80" w:after="80"/>
        <w:ind w:left="720"/>
      </w:pPr>
      <w:r>
        <w:rPr>
          <w:rFonts w:ascii="Courier New" w:cs="Courier New" w:eastAsia="Courier New" w:hAnsi="Courier New"/>
          <w:color w:val="2E4057"/>
          <w:sz w:val="18"/>
          <w:szCs w:val="18"/>
        </w:rPr>
        <w:t xml:space="preserve">Death 2:     SubjectConcept fractal dimension &gt; threshold -&gt; D12 split</w:t>
      </w:r>
    </w:p>
    <w:p>
      <w:pPr>
        <w:spacing w:before="80" w:after="80"/>
        <w:ind w:left="720"/>
      </w:pPr>
      <w:r>
        <w:rPr>
          <w:rFonts w:ascii="Courier New" w:cs="Courier New" w:eastAsia="Courier New" w:hAnsi="Courier New"/>
          <w:color w:val="2E4057"/>
          <w:sz w:val="18"/>
          <w:szCs w:val="18"/>
        </w:rPr>
        <w:t xml:space="preserve">Oscillation: dispute_count &gt; oscillation_limit -&gt; status: contested_permanent</w:t>
      </w:r>
    </w:p>
    <w:p>
      <w:pPr>
        <w:pBdr>
          <w:bottom w:val="single" w:color="2E75B6" w:sz="6" w:space="1"/>
        </w:pBdr>
        <w:spacing w:before="200" w:after="200"/>
      </w:pPr>
    </w:p>
    <w:p>
      <w:pPr>
        <w:pStyle w:val="Heading1"/>
      </w:pPr>
      <w:r>
        <w:rPr>
          <w:rFonts w:ascii="Arial" w:cs="Arial" w:eastAsia="Arial" w:hAnsi="Arial"/>
          <w:b/>
          <w:bCs/>
          <w:sz w:val="32"/>
          <w:szCs w:val="32"/>
        </w:rPr>
        <w:t xml:space="preserve">15. Theoretical Foundation Statement</w:t>
      </w:r>
    </w:p>
    <w:p>
      <w:pPr>
        <w:pStyle w:val="ListParagraph"/>
        <w:numPr>
          <w:ilvl w:val="0"/>
          <w:numId w:val="2"/>
        </w:numPr>
        <w:spacing w:after="100"/>
      </w:pPr>
      <w:r>
        <w:rPr>
          <w:rFonts w:ascii="Arial" w:cs="Arial" w:eastAsia="Arial" w:hAnsi="Arial"/>
          <w:b/>
          <w:bCs/>
          <w:sz w:val="22"/>
          <w:szCs w:val="22"/>
        </w:rPr>
        <w:t xml:space="preserve">Structure: </w:t>
      </w:r>
      <w:r>
        <w:rPr>
          <w:rFonts w:ascii="Arial" w:cs="Arial" w:eastAsia="Arial" w:hAnsi="Arial"/>
          <w:sz w:val="22"/>
          <w:szCs w:val="22"/>
        </w:rPr>
        <w:t xml:space="preserve">Fractal theory — describes the STRUCTURE. Self-similar, scale-invariant operations at every level.</w:t>
      </w:r>
    </w:p>
    <w:p>
      <w:pPr>
        <w:pStyle w:val="ListParagraph"/>
        <w:numPr>
          <w:ilvl w:val="0"/>
          <w:numId w:val="2"/>
        </w:numPr>
        <w:spacing w:after="100"/>
      </w:pPr>
      <w:r>
        <w:rPr>
          <w:rFonts w:ascii="Arial" w:cs="Arial" w:eastAsia="Arial" w:hAnsi="Arial"/>
          <w:b/>
          <w:bCs/>
          <w:sz w:val="22"/>
          <w:szCs w:val="22"/>
        </w:rPr>
        <w:t xml:space="preserve">Dynamics: </w:t>
      </w:r>
      <w:r>
        <w:rPr>
          <w:rFonts w:ascii="Arial" w:cs="Arial" w:eastAsia="Arial" w:hAnsi="Arial"/>
          <w:sz w:val="22"/>
          <w:szCs w:val="22"/>
        </w:rPr>
        <w:t xml:space="preserve">Game of Life — describes the DYNAMICS. Local rules, emergent patterns. Complexity without a central designer.</w:t>
      </w:r>
    </w:p>
    <w:p>
      <w:pPr>
        <w:pStyle w:val="ListParagraph"/>
        <w:numPr>
          <w:ilvl w:val="0"/>
          <w:numId w:val="2"/>
        </w:numPr>
        <w:spacing w:after="100"/>
      </w:pPr>
      <w:r>
        <w:rPr>
          <w:rFonts w:ascii="Arial" w:cs="Arial" w:eastAsia="Arial" w:hAnsi="Arial"/>
          <w:b/>
          <w:bCs/>
          <w:sz w:val="22"/>
          <w:szCs w:val="22"/>
        </w:rPr>
        <w:t xml:space="preserve">Implementation: </w:t>
      </w:r>
      <w:r>
        <w:rPr>
          <w:rFonts w:ascii="Arial" w:cs="Arial" w:eastAsia="Arial" w:hAnsi="Arial"/>
          <w:sz w:val="22"/>
          <w:szCs w:val="22"/>
        </w:rPr>
        <w:t xml:space="preserve">Claim architecture — is the IMPLEMENTATION. The rules are the design. The argument structures are the emergence.</w:t>
      </w:r>
    </w:p>
    <w:p>
      <w:pPr>
        <w:pBdr>
          <w:left w:val="single" w:color="2E75B6" w:sz="8" w:space="10"/>
        </w:pBdr>
        <w:spacing w:before="200" w:after="200"/>
        <w:ind w:left="720" w:right="720"/>
      </w:pPr>
      <w:r>
        <w:rPr>
          <w:rFonts w:ascii="Arial" w:cs="Arial" w:eastAsia="Arial" w:hAnsi="Arial"/>
          <w:i/>
          <w:iCs/>
          <w:color w:val="2E4057"/>
          <w:sz w:val="22"/>
          <w:szCs w:val="22"/>
        </w:rPr>
        <w:t xml:space="preserve">Complex, coherent argument structures emerge from simple local rules applied iteratively to domain data. The rules are the design. The structures are the emergence. The architect's job is to define correct rules, not to anticipate or design the output structures. Roman Republic and Ancient Greece produce different argument structures from the same rules applied to different seeds. A domain pack is initial seed data plus Layer 3 bibliography. The pluggability claim is validated by this principle.</w:t>
      </w:r>
    </w:p>
    <w:p>
      <w:pPr>
        <w:spacing w:after="160"/>
      </w:pPr>
      <w:r>
        <w:rPr>
          <w:rFonts w:ascii="Arial" w:cs="Arial" w:eastAsia="Arial" w:hAnsi="Arial"/>
          <w:sz w:val="22"/>
          <w:szCs w:val="22"/>
        </w:rPr>
        <w:t xml:space="preserve">If the rules are correct any domain produces coherent navigable argument structures automatically. If the rules are wrong no domain-specific tuning will fix it. Getting the rules right is the entire architectural challenge.</w:t>
      </w:r>
    </w:p>
    <w:p>
      <w:pPr>
        <w:spacing w:after="160"/>
      </w:pPr>
      <w:r>
        <w:rPr>
          <w:rFonts w:ascii="Arial" w:cs="Arial" w:eastAsia="Arial" w:hAnsi="Arial"/>
          <w:sz w:val="22"/>
          <w:szCs w:val="22"/>
        </w:rPr>
        <w:t xml:space="preserve">Formal decision: docs/D036_CLAIM_FRACTAL_PATTERN.md</w:t>
      </w:r>
    </w:p>
    <w:p>
      <w:pPr>
        <w:pBdr>
          <w:bottom w:val="single" w:color="2E75B6" w:sz="6" w:space="1"/>
        </w:pBdr>
        <w:spacing w:before="200" w:after="200"/>
      </w:pPr>
    </w:p>
    <w:p>
      <w:pPr>
        <w:pStyle w:val="Heading1"/>
      </w:pPr>
      <w:r>
        <w:rPr>
          <w:rFonts w:ascii="Arial" w:cs="Arial" w:eastAsia="Arial" w:hAnsi="Arial"/>
          <w:b/>
          <w:bCs/>
          <w:sz w:val="32"/>
          <w:szCs w:val="32"/>
        </w:rPr>
        <w:t xml:space="preserve">16. Artifacts Produced This Session</w:t>
      </w:r>
    </w:p>
    <w:p>
      <w:pPr>
        <w:spacing w:after="160"/>
      </w:pPr>
      <w:r>
        <w:rPr>
          <w:rFonts w:ascii="Arial" w:cs="Arial" w:eastAsia="Arial" w:hAnsi="Arial"/>
          <w:sz w:val="22"/>
          <w:szCs w:val="22"/>
        </w:rPr>
        <w:t xml:space="preserve">The following files were created as outputs of this design thread:</w:t>
      </w:r>
    </w:p>
    <w:p>
      <w:pPr>
        <w:pStyle w:val="ListParagraph"/>
        <w:numPr>
          <w:ilvl w:val="0"/>
          <w:numId w:val="2"/>
        </w:numPr>
        <w:spacing w:after="100"/>
      </w:pPr>
      <w:r>
        <w:rPr>
          <w:rFonts w:ascii="Arial" w:cs="Arial" w:eastAsia="Arial" w:hAnsi="Arial"/>
          <w:sz w:val="22"/>
          <w:szCs w:val="22"/>
        </w:rPr>
        <w:t xml:space="preserve">sysml/proposed_multiagent_broadcast_optin.xmi — Conceptual BDD: DomainExpert, BroadcastChannel, SCARegistry, SubjectConceptAgent, MultiDimensionalClaim. Five open questions embedded as constraints.</w:t>
      </w:r>
    </w:p>
    <w:p>
      <w:pPr>
        <w:pStyle w:val="ListParagraph"/>
        <w:numPr>
          <w:ilvl w:val="0"/>
          <w:numId w:val="2"/>
        </w:numPr>
        <w:spacing w:after="100"/>
      </w:pPr>
      <w:r>
        <w:rPr>
          <w:rFonts w:ascii="Arial" w:cs="Arial" w:eastAsia="Arial" w:hAnsi="Arial"/>
          <w:sz w:val="22"/>
          <w:szCs w:val="22"/>
        </w:rPr>
        <w:t xml:space="preserve">sysml/governance_subsystem_bdd.xmi — GovernanceSubsystem, ClaimLifecycleService, GraphPersistenceService, ProposedEdge. Write discipline and SingleWriter constraint.</w:t>
      </w:r>
    </w:p>
    <w:p>
      <w:pPr>
        <w:pStyle w:val="ListParagraph"/>
        <w:numPr>
          <w:ilvl w:val="0"/>
          <w:numId w:val="2"/>
        </w:numPr>
        <w:spacing w:after="100"/>
      </w:pPr>
      <w:r>
        <w:rPr>
          <w:rFonts w:ascii="Arial" w:cs="Arial" w:eastAsia="Arial" w:hAnsi="Arial"/>
          <w:sz w:val="22"/>
          <w:szCs w:val="22"/>
        </w:rPr>
        <w:t xml:space="preserve">sysml/tooling_subsystem_bdd.xmi — ChrystallumMCPServer updated for D-034 Phase 2 with HTTP transport and run_cypher_readonly.</w:t>
      </w:r>
    </w:p>
    <w:p>
      <w:pPr>
        <w:pStyle w:val="ListParagraph"/>
        <w:numPr>
          <w:ilvl w:val="0"/>
          <w:numId w:val="2"/>
        </w:numPr>
        <w:spacing w:after="100"/>
      </w:pPr>
      <w:r>
        <w:rPr>
          <w:rFonts w:ascii="Arial" w:cs="Arial" w:eastAsia="Arial" w:hAnsi="Arial"/>
          <w:sz w:val="22"/>
          <w:szCs w:val="22"/>
        </w:rPr>
        <w:t xml:space="preserve">sysml/chrystallum_drd.xmi — D1-D14 Decision Requirements Diagram with four chains and DMNDI layout.</w:t>
      </w:r>
    </w:p>
    <w:p>
      <w:pPr>
        <w:pStyle w:val="ListParagraph"/>
        <w:numPr>
          <w:ilvl w:val="0"/>
          <w:numId w:val="2"/>
        </w:numPr>
        <w:spacing w:after="100"/>
      </w:pPr>
      <w:r>
        <w:rPr>
          <w:rFonts w:ascii="Arial" w:cs="Arial" w:eastAsia="Arial" w:hAnsi="Arial"/>
          <w:sz w:val="22"/>
          <w:szCs w:val="22"/>
        </w:rPr>
        <w:t xml:space="preserve">tasks/D035_D12_D13_WIRE_READ_PATHS.md — D-035 spec: D12/D13 wire read paths plus entity_count cleanup.</w:t>
      </w:r>
    </w:p>
    <w:p>
      <w:pPr>
        <w:pStyle w:val="ListParagraph"/>
        <w:numPr>
          <w:ilvl w:val="0"/>
          <w:numId w:val="2"/>
        </w:numPr>
        <w:spacing w:after="100"/>
      </w:pPr>
      <w:r>
        <w:rPr>
          <w:rFonts w:ascii="Arial" w:cs="Arial" w:eastAsia="Arial" w:hAnsi="Arial"/>
          <w:sz w:val="22"/>
          <w:szCs w:val="22"/>
        </w:rPr>
        <w:t xml:space="preserve">docs/PHASE3_LIBRARY_AUTHORITY_SKETCH.md — Phase 3 pre-spec architecture sketch, to be refined from live graph data after D-034 MCP endpoint is live.</w:t>
      </w:r>
    </w:p>
    <w:p>
      <w:pPr>
        <w:pStyle w:val="ListParagraph"/>
        <w:numPr>
          <w:ilvl w:val="0"/>
          <w:numId w:val="2"/>
        </w:numPr>
        <w:spacing w:after="100"/>
      </w:pPr>
      <w:r>
        <w:rPr>
          <w:rFonts w:ascii="Arial" w:cs="Arial" w:eastAsia="Arial" w:hAnsi="Arial"/>
          <w:sz w:val="22"/>
          <w:szCs w:val="22"/>
        </w:rPr>
        <w:t xml:space="preserve">output/PHASE3_PREWORK_QUERIES.md — Six Cypher query sets to run against live graph before Phase 3 is formally specced.</w:t>
      </w:r>
    </w:p>
    <w:p>
      <w:pPr>
        <w:pStyle w:val="ListParagraph"/>
        <w:numPr>
          <w:ilvl w:val="0"/>
          <w:numId w:val="2"/>
        </w:numPr>
        <w:spacing w:after="100"/>
      </w:pPr>
      <w:r>
        <w:rPr>
          <w:rFonts w:ascii="Arial" w:cs="Arial" w:eastAsia="Arial" w:hAnsi="Arial"/>
          <w:sz w:val="22"/>
          <w:szCs w:val="22"/>
        </w:rPr>
        <w:t xml:space="preserve">docs/MULTIAGENT_DESIGN_REASONING.docx — This document.</w:t>
      </w:r>
    </w:p>
    <w:p>
      <w:pPr>
        <w:pBdr>
          <w:bottom w:val="single" w:color="2E75B6" w:sz="6" w:space="1"/>
        </w:pBdr>
        <w:spacing w:before="200" w:after="200"/>
      </w:pPr>
    </w:p>
    <w:p>
      <w:pPr>
        <w:spacing w:before="200"/>
      </w:pPr>
      <w:r>
        <w:rPr>
          <w:rFonts w:ascii="Arial" w:cs="Arial" w:eastAsia="Arial" w:hAnsi="Arial"/>
          <w:i/>
          <w:iCs/>
          <w:color w:val="888888"/>
          <w:sz w:val="20"/>
          <w:szCs w:val="20"/>
        </w:rPr>
        <w:t xml:space="preserve">Model-first discipline: model before narrative, narrative as supplement not substitute.</w:t>
      </w:r>
    </w:p>
    <w:p>
      <w:r>
        <w:rPr>
          <w:rFonts w:ascii="Arial" w:cs="Arial" w:eastAsia="Arial" w:hAnsi="Arial"/>
          <w:color w:val="AAAAAA"/>
          <w:sz w:val="18"/>
          <w:szCs w:val="18"/>
        </w:rPr>
        <w:t xml:space="preserve">Session baseline: 6989d87  |  Generated: 2026-02-25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4057"/>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2026-02-26T01:38:19.059Z</dcterms:created>
  <dcterms:modified xsi:type="dcterms:W3CDTF">2026-02-26T01:38:19.060Z</dcterms:modified>
</cp:coreProperties>
</file>

<file path=docProps/custom.xml><?xml version="1.0" encoding="utf-8"?>
<Properties xmlns="http://schemas.openxmlformats.org/officeDocument/2006/custom-properties" xmlns:vt="http://schemas.openxmlformats.org/officeDocument/2006/docPropsVTypes"/>
</file>