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1E1" w:rsidRDefault="00FE71E1"/>
    <w:tbl>
      <w:tblPr>
        <w:tblStyle w:val="PlainTable2"/>
        <w:tblW w:w="13072" w:type="dxa"/>
        <w:tblLook w:val="04A0" w:firstRow="1" w:lastRow="0" w:firstColumn="1" w:lastColumn="0" w:noHBand="0" w:noVBand="1"/>
      </w:tblPr>
      <w:tblGrid>
        <w:gridCol w:w="1440"/>
        <w:gridCol w:w="630"/>
        <w:gridCol w:w="717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E71E1" w:rsidRPr="00FE71E1" w:rsidTr="00FE7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gridSpan w:val="2"/>
            <w:noWrap/>
            <w:hideMark/>
          </w:tcPr>
          <w:p w:rsidR="00FE71E1" w:rsidRPr="00FE71E1" w:rsidRDefault="00FE71E1" w:rsidP="00FE71E1">
            <w:pPr>
              <w:rPr>
                <w:rFonts w:ascii="Calibri" w:eastAsia="Times New Roman" w:hAnsi="Calibri" w:cs="Calibri"/>
                <w:color w:val="000000"/>
              </w:rPr>
            </w:pPr>
            <w:r w:rsidRPr="00FE71E1">
              <w:rPr>
                <w:rFonts w:ascii="Calibri" w:eastAsia="Times New Roman" w:hAnsi="Calibri" w:cs="Calibri"/>
                <w:color w:val="000000"/>
              </w:rPr>
              <w:t>Average ABR=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E71E1">
              <w:rPr>
                <w:rFonts w:ascii="Calibri" w:eastAsia="Times New Roman" w:hAnsi="Calibri" w:cs="Calibri"/>
                <w:color w:val="000000"/>
              </w:rPr>
              <w:t>3,240</w:t>
            </w:r>
          </w:p>
        </w:tc>
        <w:tc>
          <w:tcPr>
            <w:tcW w:w="717" w:type="dxa"/>
            <w:noWrap/>
            <w:hideMark/>
          </w:tcPr>
          <w:p w:rsidR="00FE71E1" w:rsidRPr="00FE71E1" w:rsidRDefault="00FE71E1" w:rsidP="00FE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E71E1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  <w:tc>
          <w:tcPr>
            <w:tcW w:w="10285" w:type="dxa"/>
            <w:gridSpan w:val="11"/>
            <w:noWrap/>
            <w:hideMark/>
          </w:tcPr>
          <w:p w:rsidR="00FE71E1" w:rsidRPr="00FE71E1" w:rsidRDefault="00FE71E1" w:rsidP="00FE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E71E1">
              <w:rPr>
                <w:rFonts w:ascii="Calibri" w:eastAsia="Times New Roman" w:hAnsi="Calibri" w:cs="Calibri"/>
                <w:color w:val="000000"/>
              </w:rPr>
              <w:t xml:space="preserve">#Conclusion </w:t>
            </w:r>
            <w:proofErr w:type="gramStart"/>
            <w:r w:rsidRPr="00FE71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FE71E1">
              <w:rPr>
                <w:rFonts w:ascii="Calibri" w:eastAsia="Times New Roman" w:hAnsi="Calibri" w:cs="Calibri"/>
                <w:color w:val="000000"/>
              </w:rPr>
              <w:t xml:space="preserve"> Open Format out performs the Ad open # because the mean in ABR is greater </w:t>
            </w:r>
            <w:proofErr w:type="spellStart"/>
            <w:r w:rsidRPr="00FE71E1">
              <w:rPr>
                <w:rFonts w:ascii="Calibri" w:eastAsia="Times New Roman" w:hAnsi="Calibri" w:cs="Calibri"/>
                <w:color w:val="000000"/>
              </w:rPr>
              <w:t>then</w:t>
            </w:r>
            <w:proofErr w:type="spellEnd"/>
            <w:r w:rsidRPr="00FE71E1">
              <w:rPr>
                <w:rFonts w:ascii="Calibri" w:eastAsia="Times New Roman" w:hAnsi="Calibri" w:cs="Calibri"/>
                <w:color w:val="000000"/>
              </w:rPr>
              <w:t xml:space="preserve"> That of Ad </w:t>
            </w:r>
          </w:p>
        </w:tc>
      </w:tr>
      <w:tr w:rsidR="00FE71E1" w:rsidRPr="00FE71E1" w:rsidTr="00FE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E71E1" w:rsidRPr="00FE71E1" w:rsidRDefault="00FE71E1" w:rsidP="00FE71E1">
            <w:pPr>
              <w:rPr>
                <w:rFonts w:ascii="Calibri" w:eastAsia="Times New Roman" w:hAnsi="Calibri" w:cs="Calibri"/>
                <w:color w:val="000000"/>
              </w:rPr>
            </w:pPr>
            <w:r w:rsidRPr="00FE71E1">
              <w:rPr>
                <w:rFonts w:ascii="Calibri" w:eastAsia="Times New Roman" w:hAnsi="Calibri" w:cs="Calibri"/>
                <w:color w:val="000000"/>
              </w:rPr>
              <w:t xml:space="preserve"> Average Ad= </w:t>
            </w:r>
          </w:p>
        </w:tc>
        <w:tc>
          <w:tcPr>
            <w:tcW w:w="1347" w:type="dxa"/>
            <w:gridSpan w:val="2"/>
            <w:noWrap/>
            <w:hideMark/>
          </w:tcPr>
          <w:p w:rsidR="00FE71E1" w:rsidRPr="00FE71E1" w:rsidRDefault="00FE71E1" w:rsidP="00FE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FE71E1">
              <w:rPr>
                <w:rFonts w:ascii="Calibri" w:eastAsia="Times New Roman" w:hAnsi="Calibri" w:cs="Calibri"/>
                <w:color w:val="000000"/>
              </w:rPr>
              <w:t xml:space="preserve">2,031 </w:t>
            </w:r>
          </w:p>
        </w:tc>
        <w:tc>
          <w:tcPr>
            <w:tcW w:w="935" w:type="dxa"/>
            <w:noWrap/>
            <w:hideMark/>
          </w:tcPr>
          <w:p w:rsidR="00FE71E1" w:rsidRPr="00FE71E1" w:rsidRDefault="00FE71E1" w:rsidP="00FE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5" w:type="dxa"/>
            <w:noWrap/>
            <w:hideMark/>
          </w:tcPr>
          <w:p w:rsidR="00FE71E1" w:rsidRPr="00FE71E1" w:rsidRDefault="00FE71E1" w:rsidP="00FE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noWrap/>
            <w:hideMark/>
          </w:tcPr>
          <w:p w:rsidR="00FE71E1" w:rsidRPr="00FE71E1" w:rsidRDefault="00FE71E1" w:rsidP="00FE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noWrap/>
            <w:hideMark/>
          </w:tcPr>
          <w:p w:rsidR="00FE71E1" w:rsidRPr="00FE71E1" w:rsidRDefault="00FE71E1" w:rsidP="00FE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noWrap/>
            <w:hideMark/>
          </w:tcPr>
          <w:p w:rsidR="00FE71E1" w:rsidRPr="00FE71E1" w:rsidRDefault="00FE71E1" w:rsidP="00FE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noWrap/>
            <w:hideMark/>
          </w:tcPr>
          <w:p w:rsidR="00FE71E1" w:rsidRPr="00FE71E1" w:rsidRDefault="00FE71E1" w:rsidP="00FE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noWrap/>
            <w:hideMark/>
          </w:tcPr>
          <w:p w:rsidR="00FE71E1" w:rsidRPr="00FE71E1" w:rsidRDefault="00FE71E1" w:rsidP="00FE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noWrap/>
            <w:hideMark/>
          </w:tcPr>
          <w:p w:rsidR="00FE71E1" w:rsidRPr="00FE71E1" w:rsidRDefault="00FE71E1" w:rsidP="00FE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noWrap/>
            <w:hideMark/>
          </w:tcPr>
          <w:p w:rsidR="00FE71E1" w:rsidRPr="00FE71E1" w:rsidRDefault="00FE71E1" w:rsidP="00FE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noWrap/>
            <w:hideMark/>
          </w:tcPr>
          <w:p w:rsidR="00FE71E1" w:rsidRPr="00FE71E1" w:rsidRDefault="00FE71E1" w:rsidP="00FE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noWrap/>
            <w:hideMark/>
          </w:tcPr>
          <w:p w:rsidR="00FE71E1" w:rsidRPr="00FE71E1" w:rsidRDefault="00FE71E1" w:rsidP="00FE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216FB" w:rsidRDefault="002216FB"/>
    <w:p w:rsidR="00FE71E1" w:rsidRDefault="00FE71E1"/>
    <w:tbl>
      <w:tblPr>
        <w:tblStyle w:val="PlainTable3"/>
        <w:tblpPr w:leftFromText="180" w:rightFromText="180" w:vertAnchor="text" w:tblpY="1"/>
        <w:tblW w:w="10887" w:type="dxa"/>
        <w:tblLook w:val="04A0" w:firstRow="1" w:lastRow="0" w:firstColumn="1" w:lastColumn="0" w:noHBand="0" w:noVBand="1"/>
      </w:tblPr>
      <w:tblGrid>
        <w:gridCol w:w="1287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E71E1" w:rsidRPr="00FE71E1" w:rsidTr="00FE7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7" w:type="dxa"/>
            <w:noWrap/>
            <w:hideMark/>
          </w:tcPr>
          <w:p w:rsidR="00FE71E1" w:rsidRPr="00FE71E1" w:rsidRDefault="00FE71E1" w:rsidP="00FE71E1">
            <w:pPr>
              <w:rPr>
                <w:rFonts w:ascii="Calibri" w:eastAsia="Times New Roman" w:hAnsi="Calibri" w:cs="Calibri"/>
                <w:color w:val="000000"/>
              </w:rPr>
            </w:pPr>
            <w:r w:rsidRPr="00FE71E1">
              <w:rPr>
                <w:rFonts w:ascii="Calibri" w:eastAsia="Times New Roman" w:hAnsi="Calibri" w:cs="Calibri"/>
                <w:color w:val="000000"/>
              </w:rPr>
              <w:t>click#</w:t>
            </w: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1E1" w:rsidRPr="00FE71E1" w:rsidTr="00FE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noWrap/>
            <w:hideMark/>
          </w:tcPr>
          <w:p w:rsidR="00FE71E1" w:rsidRPr="00FE71E1" w:rsidRDefault="00FE71E1" w:rsidP="00FE71E1">
            <w:pPr>
              <w:rPr>
                <w:rFonts w:ascii="Calibri" w:eastAsia="Times New Roman" w:hAnsi="Calibri" w:cs="Calibri"/>
                <w:color w:val="000000"/>
              </w:rPr>
            </w:pPr>
            <w:r w:rsidRPr="00FE71E1">
              <w:rPr>
                <w:rFonts w:ascii="Calibri" w:eastAsia="Times New Roman" w:hAnsi="Calibri" w:cs="Calibri"/>
                <w:color w:val="000000"/>
              </w:rPr>
              <w:t>Average ABR=</w:t>
            </w: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E71E1">
              <w:rPr>
                <w:rFonts w:ascii="Calibri" w:eastAsia="Times New Roman" w:hAnsi="Calibri" w:cs="Calibri"/>
                <w:color w:val="000000"/>
              </w:rPr>
              <w:t xml:space="preserve">           534 </w:t>
            </w:r>
          </w:p>
        </w:tc>
        <w:tc>
          <w:tcPr>
            <w:tcW w:w="8640" w:type="dxa"/>
            <w:gridSpan w:val="9"/>
            <w:noWrap/>
            <w:hideMark/>
          </w:tcPr>
          <w:p w:rsidR="00FE71E1" w:rsidRPr="00FE71E1" w:rsidRDefault="00FE71E1" w:rsidP="00FE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E71E1">
              <w:rPr>
                <w:rFonts w:ascii="Calibri" w:eastAsia="Times New Roman" w:hAnsi="Calibri" w:cs="Calibri"/>
                <w:color w:val="000000"/>
              </w:rPr>
              <w:t xml:space="preserve">#Conclusion ABR out performs the </w:t>
            </w:r>
            <w:proofErr w:type="gramStart"/>
            <w:r w:rsidRPr="00FE71E1">
              <w:rPr>
                <w:rFonts w:ascii="Calibri" w:eastAsia="Times New Roman" w:hAnsi="Calibri" w:cs="Calibri"/>
                <w:color w:val="000000"/>
              </w:rPr>
              <w:t>Ad  Mean</w:t>
            </w:r>
            <w:proofErr w:type="gramEnd"/>
            <w:r w:rsidRPr="00FE71E1">
              <w:rPr>
                <w:rFonts w:ascii="Calibri" w:eastAsia="Times New Roman" w:hAnsi="Calibri" w:cs="Calibri"/>
                <w:color w:val="000000"/>
              </w:rPr>
              <w:t xml:space="preserve"> for ABR is greater than that of Ad format</w:t>
            </w:r>
          </w:p>
        </w:tc>
      </w:tr>
      <w:tr w:rsidR="00FE71E1" w:rsidRPr="00FE71E1" w:rsidTr="00FE71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noWrap/>
            <w:hideMark/>
          </w:tcPr>
          <w:p w:rsidR="00FE71E1" w:rsidRPr="00FE71E1" w:rsidRDefault="00FE71E1" w:rsidP="00FE71E1">
            <w:pPr>
              <w:rPr>
                <w:rFonts w:ascii="Calibri" w:eastAsia="Times New Roman" w:hAnsi="Calibri" w:cs="Calibri"/>
                <w:color w:val="000000"/>
              </w:rPr>
            </w:pPr>
            <w:r w:rsidRPr="00FE71E1">
              <w:rPr>
                <w:rFonts w:ascii="Calibri" w:eastAsia="Times New Roman" w:hAnsi="Calibri" w:cs="Calibri"/>
                <w:color w:val="000000"/>
              </w:rPr>
              <w:t>Average Ad=</w:t>
            </w: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E71E1">
              <w:rPr>
                <w:rFonts w:ascii="Calibri" w:eastAsia="Times New Roman" w:hAnsi="Calibri" w:cs="Calibri"/>
                <w:color w:val="000000"/>
              </w:rPr>
              <w:t xml:space="preserve">           166 </w:t>
            </w: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FE71E1" w:rsidRPr="00FE71E1" w:rsidRDefault="00FE71E1" w:rsidP="00FE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E71E1" w:rsidRDefault="00FE71E1"/>
    <w:sectPr w:rsidR="00FE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E1"/>
    <w:rsid w:val="002216FB"/>
    <w:rsid w:val="007A459F"/>
    <w:rsid w:val="00FE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CC17"/>
  <w15:chartTrackingRefBased/>
  <w15:docId w15:val="{D31E9E51-B86C-4919-981B-A3974837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FE71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E71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71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4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2021-06-15T11:22:00Z</dcterms:created>
  <dcterms:modified xsi:type="dcterms:W3CDTF">2021-06-15T11:34:00Z</dcterms:modified>
</cp:coreProperties>
</file>