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SARIVA</w:t>
      </w:r>
      <w:r>
        <w:t xml:space="preserve"> </w:t>
      </w:r>
      <w:r>
        <w:t xml:space="preserve">Inc.</w:t>
      </w:r>
      <w:r>
        <w:t xml:space="preserve"> </w:t>
      </w:r>
      <w:r>
        <w:t xml:space="preserve">new</w:t>
      </w:r>
      <w:r>
        <w:t xml:space="preserve"> </w:t>
      </w:r>
      <w:r>
        <w:t xml:space="preserve">bond</w:t>
      </w:r>
      <w:r>
        <w:t xml:space="preserve"> </w:t>
      </w:r>
      <w:r>
        <w:t xml:space="preserve">pricing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SARIVA Inc. is a mining company. It concluded a new bond origination with Morgan Sachs to finance the exploration of a new site in the North of Scotland.</w:t>
      </w:r>
    </w:p>
    <w:p>
      <w:pPr>
        <w:pStyle w:val="BodyText"/>
      </w:pPr>
      <w:r>
        <w:t xml:space="preserve">According to the bankers, the project could be very profitable but is quite risky, especially if within three years, after it made big investment in the new site, SARIVA Inc. discovers that the site is not exploitable.</w:t>
      </w:r>
    </w:p>
    <w:p>
      <w:pPr>
        <w:pStyle w:val="BodyText"/>
      </w:pPr>
      <w:r>
        <w:t xml:space="preserve">In order to reinsure the investors, the bankers originated a particular bond with the following caracteristics:</w:t>
      </w:r>
      <w:r>
        <w:t xml:space="preserve"> </w:t>
      </w:r>
      <w:r>
        <w:t xml:space="preserve">+ the nominal of the bond is 140 MEUR ;</w:t>
      </w:r>
      <w:r>
        <w:t xml:space="preserve"> </w:t>
      </w:r>
      <w:r>
        <w:t xml:space="preserve">+ the maturity is 5 years (in 2022) ;</w:t>
      </w:r>
      <w:r>
        <w:t xml:space="preserve"> </w:t>
      </w:r>
      <w:r>
        <w:t xml:space="preserve">+ 40 % of the nominal will be reimbursed in 2020 ;</w:t>
      </w:r>
      <w:r>
        <w:t xml:space="preserve"> </w:t>
      </w:r>
      <w:r>
        <w:t xml:space="preserve">+ the coupon rate is 5 %.</w:t>
      </w:r>
    </w:p>
    <w:p>
      <w:pPr>
        <w:pStyle w:val="BodyText"/>
      </w:pPr>
      <w:r>
        <w:t xml:space="preserve">The bankers now have to price these bonds. To do so, they have several information at their disposal :</w:t>
      </w:r>
      <w:r>
        <w:t xml:space="preserve"> </w:t>
      </w:r>
      <w:r>
        <w:t xml:space="preserve">+ the characteristics of several SARIVA Inc. bonds treated on the market;</w:t>
      </w:r>
      <w:r>
        <w:t xml:space="preserve"> </w:t>
      </w:r>
      <w:r>
        <w:t xml:space="preserve">+ the risk-free zero-coupon yield curve.</w:t>
      </w:r>
    </w:p>
    <w:p>
      <w:pPr>
        <w:pStyle w:val="Heading2"/>
      </w:pPr>
      <w:bookmarkStart w:id="21" w:name="risk-free-zero-coupon-yield-curve"/>
      <w:bookmarkEnd w:id="21"/>
      <w:r>
        <w:t xml:space="preserve">Risk Free Zero-Coupon Yield Curve</w:t>
      </w:r>
    </w:p>
    <w:p>
      <w:pPr>
        <w:pStyle w:val="FirstParagraph"/>
      </w:pPr>
      <w:r>
        <w:t xml:space="preserve">The Risk Free Zero-Coupon Yield Curve (</w:t>
      </w:r>
      <w:r>
        <w:rPr>
          <w:rStyle w:val="VerbatimChar"/>
        </w:rPr>
        <w:t xml:space="preserve">RF_ZC_YC</w:t>
      </w:r>
      <w:r>
        <w:t xml:space="preserve">) was upload from Reuberg, the financial data provider. It is based on the EURIBOR rates for less than one year maturity and the swap against EURIBOR for the others using XXX et XXX techniques, detailed in XXXX.</w:t>
      </w:r>
    </w:p>
    <w:p>
      <w:pPr>
        <w:pStyle w:val="SourceCode"/>
      </w:pPr>
      <w:r>
        <w:rPr>
          <w:rStyle w:val="NormalTok"/>
        </w:rPr>
        <w:t xml:space="preserve">RF_ZC_YC&lt;-</w:t>
      </w:r>
      <w:r>
        <w:rPr>
          <w:rStyle w:val="KeywordTok"/>
        </w:rPr>
        <w:t xml:space="preserve">read.csv2</w:t>
      </w:r>
      <w:r>
        <w:rPr>
          <w:rStyle w:val="NormalTok"/>
        </w:rPr>
        <w:t xml:space="preserve">(</w:t>
      </w:r>
      <w:r>
        <w:rPr>
          <w:rStyle w:val="StringTok"/>
        </w:rPr>
        <w:t xml:space="preserve">"RF_ZC_YC.csv"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pander</w:t>
      </w:r>
      <w:r>
        <w:rPr>
          <w:rStyle w:val="NormalTok"/>
        </w:rPr>
        <w:t xml:space="preserve">(RF_ZC_YC)</w:t>
      </w:r>
    </w:p>
    <w:tbl>
      <w:tblPr>
        <w:tblStyle w:val="TableNormal"/>
        <w:tblW w:type="pct" w:w="972.2222222222223"/>
        <w:tblLook w:firstRow="1"/>
      </w:tblPr>
      <w:tblGrid>
        <w:gridCol w:w="770"/>
        <w:gridCol w:w="770"/>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Yield</w:t>
            </w:r>
          </w:p>
        </w:tc>
      </w:tr>
      <w:tr>
        <w:tc>
          <w:p>
            <w:pPr>
              <w:pStyle w:val="Compact"/>
              <w:jc w:val="center"/>
            </w:pPr>
            <w:r>
              <w:t xml:space="preserve">1</w:t>
            </w:r>
          </w:p>
        </w:tc>
        <w:tc>
          <w:p>
            <w:pPr>
              <w:pStyle w:val="Compact"/>
              <w:jc w:val="center"/>
            </w:pPr>
            <w:r>
              <w:t xml:space="preserve">0.01</w:t>
            </w:r>
          </w:p>
        </w:tc>
      </w:tr>
      <w:tr>
        <w:tc>
          <w:p>
            <w:pPr>
              <w:pStyle w:val="Compact"/>
              <w:jc w:val="center"/>
            </w:pPr>
            <w:r>
              <w:t xml:space="preserve">2</w:t>
            </w:r>
          </w:p>
        </w:tc>
        <w:tc>
          <w:p>
            <w:pPr>
              <w:pStyle w:val="Compact"/>
              <w:jc w:val="center"/>
            </w:pPr>
            <w:r>
              <w:t xml:space="preserve">0.012</w:t>
            </w:r>
          </w:p>
        </w:tc>
      </w:tr>
      <w:tr>
        <w:tc>
          <w:p>
            <w:pPr>
              <w:pStyle w:val="Compact"/>
              <w:jc w:val="center"/>
            </w:pPr>
            <w:r>
              <w:t xml:space="preserve">3</w:t>
            </w:r>
          </w:p>
        </w:tc>
        <w:tc>
          <w:p>
            <w:pPr>
              <w:pStyle w:val="Compact"/>
              <w:jc w:val="center"/>
            </w:pPr>
            <w:r>
              <w:t xml:space="preserve">0.014</w:t>
            </w:r>
          </w:p>
        </w:tc>
      </w:tr>
      <w:tr>
        <w:tc>
          <w:p>
            <w:pPr>
              <w:pStyle w:val="Compact"/>
              <w:jc w:val="center"/>
            </w:pPr>
            <w:r>
              <w:t xml:space="preserve">4</w:t>
            </w:r>
          </w:p>
        </w:tc>
        <w:tc>
          <w:p>
            <w:pPr>
              <w:pStyle w:val="Compact"/>
              <w:jc w:val="center"/>
            </w:pPr>
            <w:r>
              <w:t xml:space="preserve">0.02</w:t>
            </w:r>
          </w:p>
        </w:tc>
      </w:tr>
    </w:tbl>
    <w:p>
      <w:pPr>
        <w:pStyle w:val="SourceCode"/>
      </w:pPr>
      <w:r>
        <w:rPr>
          <w:rStyle w:val="NormalTok"/>
        </w:rPr>
        <w:t xml:space="preserve">RF_ZC_YC_Plot&lt;-</w:t>
      </w:r>
      <w:r>
        <w:rPr>
          <w:rStyle w:val="KeywordTok"/>
        </w:rPr>
        <w:t xml:space="preserve">gvisLineChart</w:t>
      </w:r>
      <w:r>
        <w:rPr>
          <w:rStyle w:val="NormalTok"/>
        </w:rPr>
        <w:t xml:space="preserve">(RF_ZC_YC)</w:t>
      </w:r>
      <w:r>
        <w:br w:type="textWrapping"/>
      </w:r>
      <w:r>
        <w:rPr>
          <w:rStyle w:val="KeywordTok"/>
        </w:rPr>
        <w:t xml:space="preserve">plot</w:t>
      </w:r>
      <w:r>
        <w:rPr>
          <w:rStyle w:val="NormalTok"/>
        </w:rPr>
        <w:t xml:space="preserve">(RF_ZC_YC_Plot)</w:t>
      </w:r>
    </w:p>
    <w:p>
      <w:pPr>
        <w:pStyle w:val="Heading2"/>
      </w:pPr>
      <w:bookmarkStart w:id="22" w:name="firm-debt"/>
      <w:bookmarkEnd w:id="22"/>
      <w:r>
        <w:t xml:space="preserve">Firm debt</w:t>
      </w:r>
    </w:p>
    <w:p>
      <w:pPr>
        <w:pStyle w:val="Heading3"/>
      </w:pPr>
      <w:bookmarkStart w:id="23" w:name="list-of-the-sariva-bonds"/>
      <w:bookmarkEnd w:id="23"/>
      <w:r>
        <w:t xml:space="preserve">List of the SARIVA Bonds</w:t>
      </w:r>
    </w:p>
    <w:p>
      <w:pPr>
        <w:pStyle w:val="FirstParagraph"/>
      </w:pPr>
      <w:r>
        <w:t xml:space="preserve">SARIVA Inc. originated several bonds during the last decades : here is the list of the different bonds with their coupon rate, nominal, maturity and market price today.</w:t>
      </w:r>
    </w:p>
    <w:p>
      <w:pPr>
        <w:pStyle w:val="SourceCode"/>
      </w:pPr>
      <w:r>
        <w:rPr>
          <w:rStyle w:val="NormalTok"/>
        </w:rPr>
        <w:t xml:space="preserve">SARIVA_Bonds&lt;-</w:t>
      </w:r>
      <w:r>
        <w:rPr>
          <w:rStyle w:val="KeywordTok"/>
        </w:rPr>
        <w:t xml:space="preserve">read.csv2</w:t>
      </w:r>
      <w:r>
        <w:rPr>
          <w:rStyle w:val="NormalTok"/>
        </w:rPr>
        <w:t xml:space="preserve">(</w:t>
      </w:r>
      <w:r>
        <w:rPr>
          <w:rStyle w:val="StringTok"/>
        </w:rPr>
        <w:t xml:space="preserve">"SARIVA_Bonds.csv"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KeywordTok"/>
        </w:rPr>
        <w:t xml:space="preserve">pander</w:t>
      </w:r>
      <w:r>
        <w:rPr>
          <w:rStyle w:val="NormalTok"/>
        </w:rPr>
        <w:t xml:space="preserve">(SARIVA_Bonds)</w:t>
      </w:r>
    </w:p>
    <w:tbl>
      <w:tblPr>
        <w:tblStyle w:val="TableNormal"/>
        <w:tblW w:type="pct" w:w="2777.777777777778"/>
        <w:tblLook w:firstRow="1"/>
      </w:tblPr>
      <w:tblGrid>
        <w:gridCol w:w="880"/>
        <w:gridCol w:w="1540"/>
        <w:gridCol w:w="1210"/>
        <w:gridCol w:w="770"/>
      </w:tblGrid>
      <w:tr>
        <w:trPr>
          <w:cnfStyle w:firstRow="1"/>
        </w:trPr>
        <w:tc>
          <w:tcPr>
            <w:tcBorders>
              <w:bottom w:val="single"/>
            </w:tcBorders>
            <w:vAlign w:val="bottom"/>
          </w:tcPr>
          <w:p>
            <w:pPr>
              <w:pStyle w:val="Compact"/>
              <w:jc w:val="center"/>
            </w:pPr>
            <w:r>
              <w:t xml:space="preserve">Bonds</w:t>
            </w:r>
          </w:p>
        </w:tc>
        <w:tc>
          <w:tcPr>
            <w:tcBorders>
              <w:bottom w:val="single"/>
            </w:tcBorders>
            <w:vAlign w:val="bottom"/>
          </w:tcPr>
          <w:p>
            <w:pPr>
              <w:pStyle w:val="Compact"/>
              <w:jc w:val="center"/>
            </w:pPr>
            <w:r>
              <w:t xml:space="preserve">Coupon.rate</w:t>
            </w:r>
          </w:p>
        </w:tc>
        <w:tc>
          <w:tcPr>
            <w:tcBorders>
              <w:bottom w:val="single"/>
            </w:tcBorders>
            <w:vAlign w:val="bottom"/>
          </w:tcPr>
          <w:p>
            <w:pPr>
              <w:pStyle w:val="Compact"/>
              <w:jc w:val="center"/>
            </w:pPr>
            <w:r>
              <w:t xml:space="preserve">Maturity</w:t>
            </w:r>
          </w:p>
        </w:tc>
        <w:tc>
          <w:tcPr>
            <w:tcBorders>
              <w:bottom w:val="single"/>
            </w:tcBorders>
            <w:vAlign w:val="bottom"/>
          </w:tcPr>
          <w:p>
            <w:pPr>
              <w:pStyle w:val="Compact"/>
              <w:jc w:val="center"/>
            </w:pPr>
            <w:r>
              <w:t xml:space="preserve">Price</w:t>
            </w:r>
          </w:p>
        </w:tc>
      </w:tr>
      <w:tr>
        <w:tc>
          <w:p>
            <w:pPr>
              <w:pStyle w:val="Compact"/>
              <w:jc w:val="center"/>
            </w:pPr>
            <w:r>
              <w:t xml:space="preserve">Bond 1</w:t>
            </w:r>
          </w:p>
        </w:tc>
        <w:tc>
          <w:p>
            <w:pPr>
              <w:pStyle w:val="Compact"/>
              <w:jc w:val="center"/>
            </w:pPr>
            <w:r>
              <w:t xml:space="preserve">0.05</w:t>
            </w:r>
          </w:p>
        </w:tc>
        <w:tc>
          <w:p>
            <w:pPr>
              <w:pStyle w:val="Compact"/>
              <w:jc w:val="center"/>
            </w:pPr>
            <w:r>
              <w:t xml:space="preserve">1</w:t>
            </w:r>
          </w:p>
        </w:tc>
        <w:tc>
          <w:p>
            <w:pPr>
              <w:pStyle w:val="Compact"/>
              <w:jc w:val="center"/>
            </w:pPr>
            <w:r>
              <w:t xml:space="preserve">101</w:t>
            </w:r>
          </w:p>
        </w:tc>
      </w:tr>
      <w:tr>
        <w:tc>
          <w:p>
            <w:pPr>
              <w:pStyle w:val="Compact"/>
              <w:jc w:val="center"/>
            </w:pPr>
            <w:r>
              <w:t xml:space="preserve">Bond 2</w:t>
            </w:r>
          </w:p>
        </w:tc>
        <w:tc>
          <w:p>
            <w:pPr>
              <w:pStyle w:val="Compact"/>
              <w:jc w:val="center"/>
            </w:pPr>
            <w:r>
              <w:t xml:space="preserve">0.055</w:t>
            </w:r>
          </w:p>
        </w:tc>
        <w:tc>
          <w:p>
            <w:pPr>
              <w:pStyle w:val="Compact"/>
              <w:jc w:val="center"/>
            </w:pPr>
            <w:r>
              <w:t xml:space="preserve">2</w:t>
            </w:r>
          </w:p>
        </w:tc>
        <w:tc>
          <w:p>
            <w:pPr>
              <w:pStyle w:val="Compact"/>
              <w:jc w:val="center"/>
            </w:pPr>
            <w:r>
              <w:t xml:space="preserve">102</w:t>
            </w:r>
          </w:p>
        </w:tc>
      </w:tr>
      <w:tr>
        <w:tc>
          <w:p>
            <w:pPr>
              <w:pStyle w:val="Compact"/>
              <w:jc w:val="center"/>
            </w:pPr>
            <w:r>
              <w:t xml:space="preserve">Bond 3</w:t>
            </w:r>
          </w:p>
        </w:tc>
        <w:tc>
          <w:p>
            <w:pPr>
              <w:pStyle w:val="Compact"/>
              <w:jc w:val="center"/>
            </w:pPr>
            <w:r>
              <w:t xml:space="preserve">0.05</w:t>
            </w:r>
          </w:p>
        </w:tc>
        <w:tc>
          <w:p>
            <w:pPr>
              <w:pStyle w:val="Compact"/>
              <w:jc w:val="center"/>
            </w:pPr>
            <w:r>
              <w:t xml:space="preserve">3</w:t>
            </w:r>
          </w:p>
        </w:tc>
        <w:tc>
          <w:p>
            <w:pPr>
              <w:pStyle w:val="Compact"/>
              <w:jc w:val="center"/>
            </w:pPr>
            <w:r>
              <w:t xml:space="preserve">99</w:t>
            </w:r>
          </w:p>
        </w:tc>
      </w:tr>
      <w:tr>
        <w:tc>
          <w:p>
            <w:pPr>
              <w:pStyle w:val="Compact"/>
              <w:jc w:val="center"/>
            </w:pPr>
            <w:r>
              <w:t xml:space="preserve">Bond 4</w:t>
            </w:r>
          </w:p>
        </w:tc>
        <w:tc>
          <w:p>
            <w:pPr>
              <w:pStyle w:val="Compact"/>
              <w:jc w:val="center"/>
            </w:pPr>
            <w:r>
              <w:t xml:space="preserve">0.06</w:t>
            </w:r>
          </w:p>
        </w:tc>
        <w:tc>
          <w:p>
            <w:pPr>
              <w:pStyle w:val="Compact"/>
              <w:jc w:val="center"/>
            </w:pPr>
            <w:r>
              <w:t xml:space="preserve">4</w:t>
            </w:r>
          </w:p>
        </w:tc>
        <w:tc>
          <w:p>
            <w:pPr>
              <w:pStyle w:val="Compact"/>
              <w:jc w:val="center"/>
            </w:pPr>
            <w:r>
              <w:t xml:space="preserve">100</w:t>
            </w:r>
          </w:p>
        </w:tc>
      </w:tr>
    </w:tbl>
    <w:p>
      <w:pPr>
        <w:pStyle w:val="Heading3"/>
      </w:pPr>
      <w:bookmarkStart w:id="24" w:name="payment-schedule"/>
      <w:bookmarkEnd w:id="24"/>
      <w:r>
        <w:t xml:space="preserve">Payment Schedule</w:t>
      </w:r>
    </w:p>
    <w:p>
      <w:pPr>
        <w:pStyle w:val="FirstParagraph"/>
      </w:pPr>
      <w:r>
        <w:t xml:space="preserve">We can easily computed the expected cash flows expected from these bonds</w:t>
      </w:r>
    </w:p>
    <w:p>
      <w:pPr>
        <w:pStyle w:val="SourceCode"/>
      </w:pPr>
      <w:r>
        <w:rPr>
          <w:rStyle w:val="NormalTok"/>
        </w:rPr>
        <w:t xml:space="preserve">SARIVA_PaymentSchedule&lt;-</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w:t>
      </w:r>
      <w:r>
        <w:rPr>
          <w:rStyle w:val="KeywordTok"/>
        </w:rPr>
        <w:t xml:space="preserve">dim</w:t>
      </w:r>
      <w:r>
        <w:rPr>
          <w:rStyle w:val="NormalTok"/>
        </w:rPr>
        <w:t xml:space="preserve">(SARIVA_Bonds)[</w:t>
      </w:r>
      <w:r>
        <w:rPr>
          <w:rStyle w:val="DecValTok"/>
        </w:rPr>
        <w:t xml:space="preserve">1</w:t>
      </w:r>
      <w:r>
        <w:rPr>
          <w:rStyle w:val="NormalTok"/>
        </w:rPr>
        <w:t xml:space="preserve">], </w:t>
      </w:r>
      <w:r>
        <w:rPr>
          <w:rStyle w:val="DataTypeTok"/>
        </w:rPr>
        <w:t xml:space="preserve">ncol=</w:t>
      </w:r>
      <w:r>
        <w:rPr>
          <w:rStyle w:val="KeywordTok"/>
        </w:rPr>
        <w:t xml:space="preserve">max</w:t>
      </w:r>
      <w:r>
        <w:rPr>
          <w:rStyle w:val="NormalTok"/>
        </w:rPr>
        <w:t xml:space="preserve">(SARIVA_Bonds$Maturity))</w:t>
      </w:r>
      <w:r>
        <w:br w:type="textWrapping"/>
      </w:r>
      <w:r>
        <w:rPr>
          <w:rStyle w:val="KeywordTok"/>
        </w:rPr>
        <w:t xml:space="preserve">rownames</w:t>
      </w:r>
      <w:r>
        <w:rPr>
          <w:rStyle w:val="NormalTok"/>
        </w:rPr>
        <w:t xml:space="preserve">(SARIVA_PaymentSchedule)=</w:t>
      </w:r>
      <w:r>
        <w:rPr>
          <w:rStyle w:val="KeywordTok"/>
        </w:rPr>
        <w:t xml:space="preserve">rownames</w:t>
      </w:r>
      <w:r>
        <w:rPr>
          <w:rStyle w:val="NormalTok"/>
        </w:rPr>
        <w:t xml:space="preserve">(SARIVA_Bonds)</w:t>
      </w:r>
      <w:r>
        <w:br w:type="textWrapping"/>
      </w:r>
      <w:r>
        <w:rPr>
          <w:rStyle w:val="KeywordTok"/>
        </w:rPr>
        <w:t xml:space="preserve">colnames</w:t>
      </w:r>
      <w:r>
        <w:rPr>
          <w:rStyle w:val="NormalTok"/>
        </w:rPr>
        <w:t xml:space="preserve">(SARIVA_PaymentSchedule)=SARIVA_Bonds$Maturity</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(SARIVA_Bonds)[</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SARIVA_PaymentSchedule[i,SARIVA_Bonds$Maturity[i]]&lt;-</w:t>
      </w:r>
      <w:r>
        <w:rPr>
          <w:rStyle w:val="DecValTok"/>
        </w:rPr>
        <w:t xml:space="preserve">100</w:t>
      </w:r>
      <w:r>
        <w:br w:type="textWrapping"/>
      </w:r>
      <w:r>
        <w:rPr>
          <w:rStyle w:val="NormalTok"/>
        </w:rPr>
        <w:t xml:space="preserve"> </w:t>
      </w:r>
      <w:r>
        <w:rPr>
          <w:rStyle w:val="NormalTok"/>
        </w:rPr>
        <w:t xml:space="preserve"> </w:t>
      </w:r>
      <w:r>
        <w:rPr>
          <w:rStyle w:val="NormalTok"/>
        </w:rPr>
        <w:t xml:space="preserve">SARIVA_PaymentSchedule[i,</w:t>
      </w:r>
      <w:r>
        <w:rPr>
          <w:rStyle w:val="DecValTok"/>
        </w:rPr>
        <w:t xml:space="preserve">1</w:t>
      </w:r>
      <w:r>
        <w:rPr>
          <w:rStyle w:val="NormalTok"/>
        </w:rPr>
        <w:t xml:space="preserve">:SARIVA_Bonds$Maturity[i]]&lt;-SARIVA_PaymentSchedule[i,</w:t>
      </w:r>
      <w:r>
        <w:rPr>
          <w:rStyle w:val="DecValTok"/>
        </w:rPr>
        <w:t xml:space="preserve">1</w:t>
      </w:r>
      <w:r>
        <w:rPr>
          <w:rStyle w:val="NormalTok"/>
        </w:rPr>
        <w:t xml:space="preserve">:SARIVA_Bonds$Maturity[i]]+</w:t>
      </w:r>
      <w:r>
        <w:rPr>
          <w:rStyle w:val="DecValTok"/>
        </w:rPr>
        <w:t xml:space="preserve">100</w:t>
      </w:r>
      <w:r>
        <w:rPr>
          <w:rStyle w:val="NormalTok"/>
        </w:rPr>
        <w:t xml:space="preserve">*SARIVA_Bonds$Coupon.rate[i]</w:t>
      </w:r>
      <w:r>
        <w:br w:type="textWrapping"/>
      </w:r>
      <w:r>
        <w:rPr>
          <w:rStyle w:val="NormalTok"/>
        </w:rPr>
        <w:t xml:space="preserve">}</w:t>
      </w:r>
      <w:r>
        <w:br w:type="textWrapping"/>
      </w:r>
      <w:r>
        <w:rPr>
          <w:rStyle w:val="KeywordTok"/>
        </w:rPr>
        <w:t xml:space="preserve">pander</w:t>
      </w:r>
      <w:r>
        <w:rPr>
          <w:rStyle w:val="NormalTok"/>
        </w:rPr>
        <w:t xml:space="preserve">(SARIVA_PaymentSchedule)</w:t>
      </w:r>
    </w:p>
    <w:tbl>
      <w:tblPr>
        <w:tblStyle w:val="TableNormal"/>
        <w:tblW w:type="pct" w:w="1111.111111111111"/>
        <w:tblLook w:firstRow="1"/>
      </w:tblPr>
      <w:tblGrid>
        <w:gridCol w:w="440"/>
        <w:gridCol w:w="440"/>
        <w:gridCol w:w="440"/>
        <w:gridCol w:w="440"/>
      </w:tblGrid>
      <w:tr>
        <w:trPr>
          <w:cnfStyle w:firstRow="1"/>
        </w:trPr>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r>
      <w:tr>
        <w:tc>
          <w:p>
            <w:pPr>
              <w:pStyle w:val="Compact"/>
              <w:jc w:val="center"/>
            </w:pPr>
            <w:r>
              <w:t xml:space="preserve">105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5.5</w:t>
            </w:r>
          </w:p>
        </w:tc>
        <w:tc>
          <w:p>
            <w:pPr>
              <w:pStyle w:val="Compact"/>
              <w:jc w:val="center"/>
            </w:pPr>
            <w:r>
              <w:t xml:space="preserve">106</w:t>
            </w:r>
          </w:p>
        </w:tc>
        <w:tc>
          <w:p>
            <w:pPr>
              <w:pStyle w:val="Compact"/>
              <w:jc w:val="center"/>
            </w:pPr>
            <w:r>
              <w:t xml:space="preserve">0</w:t>
            </w:r>
          </w:p>
        </w:tc>
        <w:tc>
          <w:p>
            <w:pPr>
              <w:pStyle w:val="Compact"/>
              <w:jc w:val="center"/>
            </w:pPr>
            <w:r>
              <w:t xml:space="preserve">0</w:t>
            </w:r>
          </w:p>
        </w:tc>
      </w:tr>
      <w:tr>
        <w:tc>
          <w:p>
            <w:pPr>
              <w:pStyle w:val="Compact"/>
              <w:jc w:val="center"/>
            </w:pPr>
            <w:r>
              <w:t xml:space="preserve">5</w:t>
            </w:r>
          </w:p>
        </w:tc>
        <w:tc>
          <w:p>
            <w:pPr>
              <w:pStyle w:val="Compact"/>
              <w:jc w:val="center"/>
            </w:pPr>
            <w:r>
              <w:t xml:space="preserve">5</w:t>
            </w:r>
          </w:p>
        </w:tc>
        <w:tc>
          <w:p>
            <w:pPr>
              <w:pStyle w:val="Compact"/>
              <w:jc w:val="center"/>
            </w:pPr>
            <w:r>
              <w:t xml:space="preserve">105</w:t>
            </w:r>
          </w:p>
        </w:tc>
        <w:tc>
          <w:p>
            <w:pPr>
              <w:pStyle w:val="Compact"/>
              <w:jc w:val="center"/>
            </w:pPr>
            <w:r>
              <w:t xml:space="preserve">0</w:t>
            </w:r>
          </w:p>
        </w:tc>
      </w:tr>
      <w:tr>
        <w:tc>
          <w:p>
            <w:pPr>
              <w:pStyle w:val="Compact"/>
              <w:jc w:val="center"/>
            </w:pPr>
            <w:r>
              <w:t xml:space="preserve">6</w:t>
            </w:r>
          </w:p>
        </w:tc>
        <w:tc>
          <w:p>
            <w:pPr>
              <w:pStyle w:val="Compact"/>
              <w:jc w:val="center"/>
            </w:pPr>
            <w:r>
              <w:t xml:space="preserve">6</w:t>
            </w:r>
          </w:p>
        </w:tc>
        <w:tc>
          <w:p>
            <w:pPr>
              <w:pStyle w:val="Compact"/>
              <w:jc w:val="center"/>
            </w:pPr>
            <w:r>
              <w:t xml:space="preserve">6</w:t>
            </w:r>
          </w:p>
        </w:tc>
        <w:tc>
          <w:p>
            <w:pPr>
              <w:pStyle w:val="Compact"/>
              <w:jc w:val="center"/>
            </w:pPr>
            <w:r>
              <w:t xml:space="preserve">106</w:t>
            </w:r>
          </w:p>
        </w:tc>
      </w:tr>
    </w:tbl>
    <w:p>
      <w:pPr>
        <w:pStyle w:val="BodyText"/>
      </w:pPr>
      <w:r>
        <w:t xml:space="preserve">The payment schedule of SARIVA Inc. is thus the following (without taking into account the new bond to be originated).</w:t>
      </w:r>
    </w:p>
    <w:p>
      <w:pPr>
        <w:pStyle w:val="SourceCode"/>
      </w:pPr>
      <w:r>
        <w:rPr>
          <w:rStyle w:val="NormalTok"/>
        </w:rPr>
        <w:t xml:space="preserve">SARIVA_PaymentSchedule_Total&lt;-</w:t>
      </w:r>
      <w:r>
        <w:rPr>
          <w:rStyle w:val="KeywordTok"/>
        </w:rPr>
        <w:t xml:space="preserve">apply</w:t>
      </w:r>
      <w:r>
        <w:rPr>
          <w:rStyle w:val="NormalTok"/>
        </w:rPr>
        <w:t xml:space="preserve">(-SARIVA_PaymentSchedule, </w:t>
      </w:r>
      <w:r>
        <w:rPr>
          <w:rStyle w:val="DecValTok"/>
        </w:rPr>
        <w:t xml:space="preserve">2</w:t>
      </w:r>
      <w:r>
        <w:rPr>
          <w:rStyle w:val="NormalTok"/>
        </w:rPr>
        <w:t xml:space="preserve">, sum)</w:t>
      </w:r>
      <w:r>
        <w:br w:type="textWrapping"/>
      </w:r>
      <w:r>
        <w:rPr>
          <w:rStyle w:val="NormalTok"/>
        </w:rPr>
        <w:t xml:space="preserve">SARIVA_PaymentSchedule_Total&lt;-</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,SARIVA_PaymentSchedule_Total))</w:t>
      </w:r>
      <w:r>
        <w:br w:type="textWrapping"/>
      </w:r>
      <w:r>
        <w:rPr>
          <w:rStyle w:val="NormalTok"/>
        </w:rPr>
        <w:t xml:space="preserve">SARIVA_PaymentSchedule_Plot&lt;-</w:t>
      </w:r>
      <w:r>
        <w:rPr>
          <w:rStyle w:val="KeywordTok"/>
        </w:rPr>
        <w:t xml:space="preserve">gvisColumnChart</w:t>
      </w:r>
      <w:r>
        <w:rPr>
          <w:rStyle w:val="NormalTok"/>
        </w:rPr>
        <w:t xml:space="preserve">(SARIVA_PaymentSchedule_Total)</w:t>
      </w:r>
      <w:r>
        <w:br w:type="textWrapping"/>
      </w:r>
      <w:r>
        <w:rPr>
          <w:rStyle w:val="KeywordTok"/>
        </w:rPr>
        <w:t xml:space="preserve">plot</w:t>
      </w:r>
      <w:r>
        <w:rPr>
          <w:rStyle w:val="NormalTok"/>
        </w:rPr>
        <w:t xml:space="preserve">(SARIVA_PaymentSchedule_Plot)</w:t>
      </w:r>
    </w:p>
    <w:p>
      <w:pPr>
        <w:pStyle w:val="Heading2"/>
      </w:pPr>
      <w:bookmarkStart w:id="25" w:name="sariva-zero-coupon-yield-curve"/>
      <w:bookmarkEnd w:id="25"/>
      <w:r>
        <w:t xml:space="preserve">SARIVA Zero-Coupon Yield Curve</w:t>
      </w:r>
    </w:p>
    <w:p>
      <w:pPr>
        <w:pStyle w:val="FirstParagraph"/>
      </w:pPr>
      <w:r>
        <w:t xml:space="preserve">From this bond, we want to deduce the SARIVA Inc. Zero-Coupon Yield Curve using the</w:t>
      </w:r>
      <w:r>
        <w:t xml:space="preserve"> </w:t>
      </w:r>
      <w:r>
        <w:rPr>
          <w:i/>
        </w:rPr>
        <w:t xml:space="preserve">bootstrapping method</w:t>
      </w:r>
      <w:r>
        <w:t xml:space="preserve"> </w:t>
      </w:r>
      <w:r>
        <w:t xml:space="preserve">introduced in</w:t>
      </w:r>
      <w:r>
        <w:t xml:space="preserve"> </w:t>
      </w:r>
      <w:hyperlink r:id="rId26">
        <w:r>
          <w:rPr>
            <w:rStyle w:val="Hyperlink"/>
          </w:rPr>
          <w:t xml:space="preserve">Lecture 1_2</w:t>
        </w:r>
      </w:hyperlink>
      <w:r>
        <w:t xml:space="preserve"> </w:t>
      </w:r>
      <w:r>
        <w:t xml:space="preserve">and then deduce the SARIVA Inc. Zero-Coupon Yield Curve.</w:t>
      </w:r>
      <w:r>
        <w:t xml:space="preserve"> </w:t>
      </w:r>
      <w:r>
        <w:t xml:space="preserve">###SARIVA Zero-Coupon Bond Prices</w:t>
      </w:r>
      <w:r>
        <w:t xml:space="preserve"> </w:t>
      </w:r>
      <w:r>
        <w:t xml:space="preserve">We recall from Lesson1_2 that:</w:t>
      </w:r>
    </w:p>
    <w:p>
      <w:pPr>
        <w:pStyle w:val="BodyText"/>
      </w:pPr>
      <m:oMathPara>
        <m:oMathParaPr>
          <m:jc m:val="center"/>
        </m:oMathParaPr>
        <m:oMath>
          <m:r>
            <m:rPr>
              <m:sty m:val="p"/>
            </m:rPr>
            <m:t>Bond Prices</m:t>
          </m:r>
          <m:r>
            <m:t>=</m:t>
          </m:r>
          <m:r>
            <m:rPr>
              <m:sty m:val="p"/>
            </m:rPr>
            <m:t>Payment Schedule</m:t>
          </m:r>
          <m:r>
            <m:t>⋅</m:t>
          </m:r>
          <m:r>
            <m:rPr>
              <m:sty m:val="p"/>
            </m:rPr>
            <m:t>Zero-Coupon Bond Prices</m:t>
          </m:r>
        </m:oMath>
      </m:oMathPara>
    </w:p>
    <w:p>
      <w:pPr>
        <w:pStyle w:val="FirstParagraph"/>
      </w:pPr>
      <w:r>
        <w:t xml:space="preserve">And thus:</w:t>
      </w:r>
    </w:p>
    <w:p>
      <w:pPr>
        <w:pStyle w:val="BodyText"/>
      </w:pPr>
      <m:oMathPara>
        <m:oMathParaPr>
          <m:jc m:val="center"/>
        </m:oMathParaPr>
        <m:oMath>
          <m:r>
            <m:rPr>
              <m:sty m:val="p"/>
            </m:rPr>
            <m:t>Zero-Coupon Bond Prices</m:t>
          </m:r>
          <m:r>
            <m:t>=</m:t>
          </m:r>
          <m:sSup>
            <m:e>
              <m:r>
                <m:rPr>
                  <m:sty m:val="p"/>
                </m:rPr>
                <m:t>Payment Schedule</m:t>
              </m:r>
            </m:e>
            <m:sup>
              <m:r>
                <m:t>−</m:t>
              </m:r>
              <m:r>
                <m:t>1</m:t>
              </m:r>
            </m:sup>
          </m:sSup>
          <m:r>
            <m:t>⋅</m:t>
          </m:r>
          <m:r>
            <m:rPr>
              <m:sty m:val="p"/>
            </m:rPr>
            <m:t>Bond Prices</m:t>
          </m:r>
        </m:oMath>
      </m:oMathPara>
    </w:p>
    <w:p>
      <w:pPr>
        <w:pStyle w:val="FirstParagraph"/>
      </w:pPr>
      <w:r>
        <w:t xml:space="preserve">We now apply this numerically:</w:t>
      </w:r>
    </w:p>
    <w:p>
      <w:pPr>
        <w:pStyle w:val="SourceCode"/>
      </w:pPr>
      <w:r>
        <w:rPr>
          <w:rStyle w:val="NormalTok"/>
        </w:rPr>
        <w:t xml:space="preserve">SARIVA_ZC_BP&lt;-</w:t>
      </w:r>
      <w:r>
        <w:rPr>
          <w:rStyle w:val="KeywordTok"/>
        </w:rPr>
        <w:t xml:space="preserve">solve</w:t>
      </w:r>
      <w:r>
        <w:rPr>
          <w:rStyle w:val="NormalTok"/>
        </w:rPr>
        <w:t xml:space="preserve">(SARIVA_PaymentSchedule)%*%SARIVA_Bonds$Price</w:t>
      </w:r>
      <w:r>
        <w:br w:type="textWrapping"/>
      </w:r>
      <w:r>
        <w:rPr>
          <w:rStyle w:val="KeywordTok"/>
        </w:rPr>
        <w:t xml:space="preserve">pander</w:t>
      </w:r>
      <w:r>
        <w:rPr>
          <w:rStyle w:val="NormalTok"/>
        </w:rPr>
        <w:t xml:space="preserve">(SARIVA_ZC_BP)</w:t>
      </w:r>
    </w:p>
    <w:tbl>
      <w:tblPr>
        <w:tblStyle w:val="TableNormal"/>
        <w:tblW w:type="pct" w:w="277.77777777777777"/>
        <w:tblLook/>
      </w:tblPr>
      <w:tblGrid>
        <w:gridCol w:w="440"/>
      </w:tblGrid>
      <w:tr>
        <w:tc>
          <w:p>
            <w:pPr>
              <w:pStyle w:val="Compact"/>
              <w:jc w:val="left"/>
            </w:pPr>
            <w:r>
              <w:t xml:space="preserve">0.96</w:t>
            </w:r>
          </w:p>
        </w:tc>
      </w:tr>
      <w:tr>
        <w:tc>
          <w:p>
            <w:pPr>
              <w:pStyle w:val="Compact"/>
              <w:jc w:val="left"/>
            </w:pPr>
            <w:r>
              <w:t xml:space="preserve">0.91</w:t>
            </w:r>
          </w:p>
        </w:tc>
      </w:tr>
      <w:tr>
        <w:tc>
          <w:p>
            <w:pPr>
              <w:pStyle w:val="Compact"/>
              <w:jc w:val="left"/>
            </w:pPr>
            <w:r>
              <w:t xml:space="preserve">0.85</w:t>
            </w:r>
          </w:p>
        </w:tc>
      </w:tr>
      <w:tr>
        <w:tc>
          <w:p>
            <w:pPr>
              <w:pStyle w:val="Compact"/>
              <w:jc w:val="left"/>
            </w:pPr>
            <w:r>
              <w:t xml:space="preserve">0.79</w:t>
            </w:r>
          </w:p>
        </w:tc>
      </w:tr>
    </w:tbl>
    <w:p>
      <w:pPr>
        <w:pStyle w:val="Heading3"/>
      </w:pPr>
      <w:bookmarkStart w:id="27" w:name="sariva-inc.-zero-coupon-yield-curve"/>
      <w:bookmarkEnd w:id="27"/>
      <w:r>
        <w:t xml:space="preserve">SARIVA Inc. Zero-Coupon Yield Curve</w:t>
      </w:r>
    </w:p>
    <w:p>
      <w:pPr>
        <w:pStyle w:val="FirstParagraph"/>
      </w:pPr>
      <w:r>
        <w:t xml:space="preserve">We recall the formula that links Zero-Coupon Bond Price to the Zero-Coupon Yield Curve, introduced in</w:t>
      </w:r>
      <w:r>
        <w:t xml:space="preserve"> </w:t>
      </w:r>
      <w:hyperlink r:id="rId26">
        <w:r>
          <w:rPr>
            <w:rStyle w:val="Hyperlink"/>
          </w:rPr>
          <w:t xml:space="preserve">Lecture 1_2</w:t>
        </w:r>
      </w:hyperlink>
      <w:r>
        <w:t xml:space="preserve">:</w:t>
      </w:r>
    </w:p>
    <w:p>
      <w:pPr>
        <w:pStyle w:val="BodyText"/>
      </w:pPr>
      <m:oMathPara>
        <m:oMathParaPr>
          <m:jc m:val="center"/>
        </m:oMathParaPr>
        <m:oMath>
          <m:r>
            <m:t>B</m:t>
          </m:r>
          <m:r>
            <m:t>(</m:t>
          </m:r>
          <m:r>
            <m:t>t</m:t>
          </m:r>
          <m:r>
            <m:t>,</m:t>
          </m:r>
          <m:r>
            <m:t>T</m:t>
          </m:r>
          <m:r>
            <m:t>)</m:t>
          </m:r>
          <m:r>
            <m:t>=</m:t>
          </m:r>
          <m:sSup>
            <m:e>
              <m:r>
                <m:t>e</m:t>
              </m:r>
            </m:e>
            <m:sup>
              <m:r>
                <m:t>−</m:t>
              </m:r>
              <m:r>
                <m:t>r</m:t>
              </m:r>
              <m:r>
                <m:t>(</m:t>
              </m:r>
              <m:r>
                <m:t>t</m:t>
              </m:r>
              <m:r>
                <m:t>,</m:t>
              </m:r>
              <m:r>
                <m:t>T</m:t>
              </m:r>
              <m:r>
                <m:t>)</m:t>
              </m:r>
              <m:r>
                <m:t>(</m:t>
              </m:r>
              <m:r>
                <m:t>T</m:t>
              </m:r>
              <m:r>
                <m:t>−</m:t>
              </m:r>
              <m:r>
                <m:t>t</m:t>
              </m:r>
              <m:r>
                <m:t>)</m:t>
              </m:r>
            </m:sup>
          </m:sSup>
        </m:oMath>
      </m:oMathPara>
    </w:p>
    <w:p>
      <w:pPr>
        <w:pStyle w:val="FirstParagraph"/>
      </w:pPr>
      <w:r>
        <w:t xml:space="preserve">and thus:</w:t>
      </w:r>
    </w:p>
    <w:p>
      <w:pPr>
        <w:pStyle w:val="BodyText"/>
      </w:pPr>
      <m:oMathPara>
        <m:oMathParaPr>
          <m:jc m:val="center"/>
        </m:oMathParaPr>
        <m:oMath>
          <m:r>
            <m:t>r</m:t>
          </m:r>
          <m:r>
            <m:t>(</m:t>
          </m:r>
          <m:r>
            <m:t>t</m:t>
          </m:r>
          <m:r>
            <m:t>,</m:t>
          </m:r>
          <m:r>
            <m:t>T</m:t>
          </m:r>
          <m:r>
            <m:t>)</m:t>
          </m:r>
          <m:r>
            <m:t>=</m:t>
          </m:r>
          <m:r>
            <m:t>−</m:t>
          </m:r>
          <m:f>
            <m:fPr>
              <m:type m:val="bar"/>
            </m:fPr>
            <m:num>
              <m:r>
                <m:t>1</m:t>
              </m:r>
            </m:num>
            <m:den>
              <m:r>
                <m:t>T</m:t>
              </m:r>
              <m:r>
                <m:t>−</m:t>
              </m:r>
              <m:r>
                <m:t>t</m:t>
              </m:r>
            </m:den>
          </m:f>
          <m:r>
            <m:rPr>
              <m:sty m:val="p"/>
            </m:rPr>
            <m:t>log</m:t>
          </m:r>
          <m:r>
            <m:t>(</m:t>
          </m:r>
          <m:r>
            <m:t>B</m:t>
          </m:r>
          <m:r>
            <m:t>(</m:t>
          </m:r>
          <m:r>
            <m:t>t</m:t>
          </m:r>
          <m:r>
            <m:t>,</m:t>
          </m:r>
          <m:r>
            <m:t>T</m:t>
          </m:r>
          <m:r>
            <m:t>)</m:t>
          </m:r>
          <m:r>
            <m:t>)</m:t>
          </m:r>
        </m:oMath>
      </m:oMathPara>
    </w:p>
    <w:p>
      <w:pPr>
        <w:pStyle w:val="FirstParagraph"/>
      </w:pPr>
      <w:r>
        <w:t xml:space="preserve">We apply this result numerically to compute SARIVA Inc. Zero-Coupon Yield Curve:</w:t>
      </w:r>
    </w:p>
    <w:p>
      <w:pPr>
        <w:pStyle w:val="SourceCode"/>
      </w:pPr>
      <w:r>
        <w:rPr>
          <w:rStyle w:val="NormalTok"/>
        </w:rPr>
        <w:t xml:space="preserve">SARIVA_ZC_YC&lt;-(-(</w:t>
      </w:r>
      <w:r>
        <w:rPr>
          <w:rStyle w:val="DecValTok"/>
        </w:rPr>
        <w:t xml:space="preserve">1</w:t>
      </w:r>
      <w:r>
        <w:rPr>
          <w:rStyle w:val="NormalTok"/>
        </w:rPr>
        <w:t xml:space="preserve">/SARIVA_Bonds$Maturity)*</w:t>
      </w:r>
      <w:r>
        <w:rPr>
          <w:rStyle w:val="KeywordTok"/>
        </w:rPr>
        <w:t xml:space="preserve">log</w:t>
      </w:r>
      <w:r>
        <w:rPr>
          <w:rStyle w:val="NormalTok"/>
        </w:rPr>
        <w:t xml:space="preserve">(SARIVA_ZC_BP))</w:t>
      </w:r>
      <w:r>
        <w:br w:type="textWrapping"/>
      </w:r>
      <w:r>
        <w:rPr>
          <w:rStyle w:val="KeywordTok"/>
        </w:rPr>
        <w:t xml:space="preserve">pander</w:t>
      </w:r>
      <w:r>
        <w:rPr>
          <w:rStyle w:val="NormalTok"/>
        </w:rPr>
        <w:t xml:space="preserve">(SARIVA_ZC_YC)</w:t>
      </w:r>
    </w:p>
    <w:tbl>
      <w:tblPr>
        <w:tblStyle w:val="TableNormal"/>
        <w:tblW w:type="pct" w:w="347.22222222222223"/>
        <w:tblLook/>
      </w:tblPr>
      <w:tblGrid>
        <w:gridCol w:w="550"/>
      </w:tblGrid>
      <w:tr>
        <w:tc>
          <w:p>
            <w:pPr>
              <w:pStyle w:val="Compact"/>
              <w:jc w:val="left"/>
            </w:pPr>
            <w:r>
              <w:t xml:space="preserve">0.039</w:t>
            </w:r>
          </w:p>
        </w:tc>
      </w:tr>
      <w:tr>
        <w:tc>
          <w:p>
            <w:pPr>
              <w:pStyle w:val="Compact"/>
              <w:jc w:val="left"/>
            </w:pPr>
            <w:r>
              <w:t xml:space="preserve">0.046</w:t>
            </w:r>
          </w:p>
        </w:tc>
      </w:tr>
      <w:tr>
        <w:tc>
          <w:p>
            <w:pPr>
              <w:pStyle w:val="Compact"/>
              <w:jc w:val="left"/>
            </w:pPr>
            <w:r>
              <w:t xml:space="preserve">0.053</w:t>
            </w:r>
          </w:p>
        </w:tc>
      </w:tr>
      <w:tr>
        <w:tc>
          <w:p>
            <w:pPr>
              <w:pStyle w:val="Compact"/>
              <w:jc w:val="left"/>
            </w:pPr>
            <w:r>
              <w:t xml:space="preserve">0.059</w:t>
            </w:r>
          </w:p>
        </w:tc>
      </w:tr>
    </w:tbl>
    <w:p>
      <w:pPr>
        <w:pStyle w:val="Heading3"/>
      </w:pPr>
      <w:bookmarkStart w:id="28" w:name="sariva-zero-coupon-rates---linear-interpolation"/>
      <w:bookmarkEnd w:id="28"/>
      <w:r>
        <w:t xml:space="preserve">SARIVA Zero-Coupon Rates - Linear Interpolation</w:t>
      </w:r>
    </w:p>
    <w:p>
      <w:pPr>
        <w:pStyle w:val="FirstParagraph"/>
      </w:pPr>
      <w:r>
        <w:t xml:space="preserve">We use linear interpolation to deduce a curve from the points for the Risk-Free Zero-Coupon Yield Curve and the SAVIRA Inc. one.</w:t>
      </w:r>
    </w:p>
    <w:p>
      <w:pPr>
        <w:pStyle w:val="SourceCode"/>
      </w:pPr>
      <w:r>
        <w:rPr>
          <w:rStyle w:val="NormalTok"/>
        </w:rPr>
        <w:t xml:space="preserve">Interp_RF_ZC_YC&lt;-</w:t>
      </w:r>
      <w:r>
        <w:rPr>
          <w:rStyle w:val="KeywordTok"/>
        </w:rPr>
        <w:t xml:space="preserve">approx</w:t>
      </w:r>
      <w:r>
        <w:rPr>
          <w:rStyle w:val="NormalTok"/>
        </w:rPr>
        <w:t xml:space="preserve">(RF_ZC_YC$Year,RF_ZC_YC$Yield)</w:t>
      </w:r>
      <w:r>
        <w:br w:type="textWrapping"/>
      </w:r>
      <w:r>
        <w:rPr>
          <w:rStyle w:val="NormalTok"/>
        </w:rPr>
        <w:t xml:space="preserve">Interp_SARIVA_ZC_YC&lt;-</w:t>
      </w:r>
      <w:r>
        <w:rPr>
          <w:rStyle w:val="KeywordTok"/>
        </w:rPr>
        <w:t xml:space="preserve">approx</w:t>
      </w:r>
      <w:r>
        <w:rPr>
          <w:rStyle w:val="NormalTok"/>
        </w:rPr>
        <w:t xml:space="preserve">(</w:t>
      </w:r>
      <w:r>
        <w:rPr>
          <w:rStyle w:val="KeywordTok"/>
        </w:rPr>
        <w:t xml:space="preserve">rownames</w:t>
      </w:r>
      <w:r>
        <w:rPr>
          <w:rStyle w:val="NormalTok"/>
        </w:rPr>
        <w:t xml:space="preserve">(RF_ZC_YC),SARIVA_ZC_YC)</w:t>
      </w:r>
      <w:r>
        <w:br w:type="textWrapping"/>
      </w:r>
      <w:r>
        <w:rPr>
          <w:rStyle w:val="NormalTok"/>
        </w:rPr>
        <w:t xml:space="preserve">SARIVA_Spreads&lt;-</w:t>
      </w:r>
      <w:r>
        <w:rPr>
          <w:rStyle w:val="KeywordTok"/>
        </w:rPr>
        <w:t xml:space="preserve">data.frame</w:t>
      </w:r>
      <w:r>
        <w:rPr>
          <w:rStyle w:val="NormalTok"/>
        </w:rPr>
        <w:t xml:space="preserve">(</w:t>
      </w:r>
      <w:r>
        <w:rPr>
          <w:rStyle w:val="KeywordTok"/>
        </w:rPr>
        <w:t xml:space="preserve">cbind</w:t>
      </w:r>
      <w:r>
        <w:rPr>
          <w:rStyle w:val="NormalTok"/>
        </w:rPr>
        <w:t xml:space="preserve">(Interp_RF_ZC_YC$x,Interp_SARIVA_ZC_YC$y-Interp_RF_ZC_YC$y))</w:t>
      </w:r>
      <w:r>
        <w:br w:type="textWrapping"/>
      </w:r>
      <w:r>
        <w:rPr>
          <w:rStyle w:val="KeywordTok"/>
        </w:rPr>
        <w:t xml:space="preserve">colnames</w:t>
      </w:r>
      <w:r>
        <w:rPr>
          <w:rStyle w:val="NormalTok"/>
        </w:rPr>
        <w:t xml:space="preserve">(SARIVA_Spreads)&lt;-</w:t>
      </w:r>
      <w:r>
        <w:rPr>
          <w:rStyle w:val="KeywordTok"/>
        </w:rPr>
        <w:t xml:space="preserve">c</w:t>
      </w:r>
      <w:r>
        <w:rPr>
          <w:rStyle w:val="NormalTok"/>
        </w:rPr>
        <w:t xml:space="preserve">(</w:t>
      </w:r>
      <w:r>
        <w:rPr>
          <w:rStyle w:val="StringTok"/>
        </w:rPr>
        <w:t xml:space="preserve">"Maturity"</w:t>
      </w:r>
      <w:r>
        <w:rPr>
          <w:rStyle w:val="NormalTok"/>
        </w:rPr>
        <w:t xml:space="preserve">, </w:t>
      </w:r>
      <w:r>
        <w:rPr>
          <w:rStyle w:val="StringTok"/>
        </w:rPr>
        <w:t xml:space="preserve">"Spread"</w:t>
      </w:r>
      <w:r>
        <w:rPr>
          <w:rStyle w:val="NormalTok"/>
        </w:rPr>
        <w:t xml:space="preserve">)</w:t>
      </w:r>
    </w:p>
    <w:p>
      <w:pPr>
        <w:pStyle w:val="FirstParagraph"/>
      </w:pPr>
      <w:r>
        <w:t xml:space="preserve">The difference between the two is called the SAVIRA Inc. spread that we plot here:</w:t>
      </w:r>
    </w:p>
    <w:p>
      <w:pPr>
        <w:pStyle w:val="SourceCode"/>
      </w:pPr>
      <w:r>
        <w:rPr>
          <w:rStyle w:val="NormalTok"/>
        </w:rPr>
        <w:t xml:space="preserve">SARIVA_Spreads_Plot&lt;-</w:t>
      </w:r>
      <w:r>
        <w:rPr>
          <w:rStyle w:val="KeywordTok"/>
        </w:rPr>
        <w:t xml:space="preserve">gvisLineChart</w:t>
      </w:r>
      <w:r>
        <w:rPr>
          <w:rStyle w:val="NormalTok"/>
        </w:rPr>
        <w:t xml:space="preserve">(SARIVA_Spreads)</w:t>
      </w:r>
      <w:r>
        <w:br w:type="textWrapping"/>
      </w:r>
      <w:r>
        <w:rPr>
          <w:rStyle w:val="KeywordTok"/>
        </w:rPr>
        <w:t xml:space="preserve">plot</w:t>
      </w:r>
      <w:r>
        <w:rPr>
          <w:rStyle w:val="NormalTok"/>
        </w:rPr>
        <w:t xml:space="preserve">(SARIVA_Spreads_Plot)</w:t>
      </w:r>
    </w:p>
    <w:p>
      <w:pPr>
        <w:pStyle w:val="Heading2"/>
      </w:pPr>
      <w:bookmarkStart w:id="29" w:name="sarivas-cumulative-probability-of-default"/>
      <w:bookmarkEnd w:id="29"/>
      <w:r>
        <w:t xml:space="preserve">SARIVA's Cumulative Probability of Default</w:t>
      </w:r>
    </w:p>
    <w:p>
      <w:pPr>
        <w:pStyle w:val="FirstParagraph"/>
      </w:pPr>
      <w:r>
        <w:t xml:space="preserve">Even if it is not a necessity for the purpose of the exercice, we compute hereafter the Cumulative Probability of Default (Cum. PD) of SAVIRA Inc. based on market prices of its bonds.</w:t>
      </w:r>
    </w:p>
    <w:p>
      <w:pPr>
        <w:pStyle w:val="BodyText"/>
      </w:pPr>
      <w:r>
        <w:t xml:space="preserve">We recall the formula deduced from the no-arbitrage principle that states that:</w:t>
      </w:r>
    </w:p>
    <w:p>
      <w:pPr>
        <w:pStyle w:val="BodyText"/>
      </w:pPr>
      <m:oMathPara>
        <m:oMathParaPr>
          <m:jc m:val="center"/>
        </m:oMathParaPr>
        <m:oMath>
          <m:r>
            <m:rPr>
              <m:sty m:val="p"/>
              <m:scr m:val="double-struck"/>
            </m:rPr>
            <m:t>Q</m:t>
          </m:r>
          <m:d>
            <m:dPr>
              <m:begChr m:val="("/>
              <m:endChr m:val=")"/>
              <m:grow/>
            </m:dPr>
            <m:e>
              <m:r>
                <m:t>τ</m:t>
              </m:r>
              <m:r>
                <m:t>&gt;</m:t>
              </m:r>
              <m:r>
                <m:t>T</m:t>
              </m:r>
              <m:r>
                <m:t>∣</m:t>
              </m:r>
              <m:r>
                <m:t>τ</m:t>
              </m:r>
              <m:r>
                <m:t>&gt;</m:t>
              </m:r>
              <m:r>
                <m:t>t</m:t>
              </m:r>
            </m:e>
          </m:d>
          <m:r>
            <m:t>=</m:t>
          </m:r>
          <m:f>
            <m:fPr>
              <m:type m:val="bar"/>
            </m:fPr>
            <m:num>
              <m:sSup>
                <m:e>
                  <m:bar>
                    <m:barPr>
                      <m:pos m:val="top"/>
                    </m:barPr>
                    <m:e>
                      <m:r>
                        <m:t>B</m:t>
                      </m:r>
                    </m:e>
                  </m:bar>
                </m:e>
                <m:sup>
                  <m:r>
                    <m:t>A</m:t>
                  </m:r>
                </m:sup>
              </m:sSup>
              <m:r>
                <m:t>(</m:t>
              </m:r>
              <m:r>
                <m:t>t</m:t>
              </m:r>
              <m:r>
                <m:t>,</m:t>
              </m:r>
              <m:r>
                <m:t>T</m:t>
              </m:r>
              <m:r>
                <m:t>)</m:t>
              </m:r>
            </m:num>
            <m:den>
              <m:r>
                <m:t>B</m:t>
              </m:r>
              <m:r>
                <m:t>(</m:t>
              </m:r>
              <m:r>
                <m:t>t</m:t>
              </m:r>
              <m:r>
                <m:t>,</m:t>
              </m:r>
              <m:r>
                <m:t>T</m:t>
              </m:r>
              <m:r>
                <m:t>)</m:t>
              </m:r>
            </m:den>
          </m:f>
        </m:oMath>
      </m:oMathPara>
    </w:p>
    <w:p>
      <w:pPr>
        <w:pStyle w:val="FirstParagraph"/>
      </w:pPr>
      <w:r>
        <w:t xml:space="preserve">And thus:</w:t>
      </w:r>
    </w:p>
    <w:p>
      <w:pPr>
        <w:pStyle w:val="BodyText"/>
      </w:pPr>
      <m:oMathPara>
        <m:oMathParaPr>
          <m:jc m:val="center"/>
        </m:oMathParaPr>
        <m:oMath>
          <m:r>
            <m:rPr>
              <m:sty m:val="p"/>
              <m:scr m:val="double-struck"/>
            </m:rPr>
            <m:t>Q</m:t>
          </m:r>
          <m:d>
            <m:dPr>
              <m:begChr m:val="("/>
              <m:endChr m:val=")"/>
              <m:grow/>
            </m:dPr>
            <m:e>
              <m:r>
                <m:t>τ</m:t>
              </m:r>
              <m:r>
                <m:t>&gt;</m:t>
              </m:r>
              <m:r>
                <m:t>T</m:t>
              </m:r>
              <m:r>
                <m:t>∣</m:t>
              </m:r>
              <m:r>
                <m:t>τ</m:t>
              </m:r>
              <m:r>
                <m:t>&gt;</m:t>
              </m:r>
              <m:r>
                <m:t>t</m:t>
              </m:r>
            </m:e>
          </m:d>
          <m:r>
            <m:t>=</m:t>
          </m:r>
          <m:sSup>
            <m:e>
              <m:r>
                <m:t>e</m:t>
              </m:r>
            </m:e>
            <m:sup>
              <m:r>
                <m:t>−</m:t>
              </m:r>
              <m:sSup>
                <m:e>
                  <m:r>
                    <m:t>s</m:t>
                  </m:r>
                </m:e>
                <m:sup>
                  <m:r>
                    <m:t>A</m:t>
                  </m:r>
                </m:sup>
              </m:sSup>
              <m:r>
                <m:t>(</m:t>
              </m:r>
              <m:r>
                <m:t>T</m:t>
              </m:r>
              <m:r>
                <m:t>−</m:t>
              </m:r>
              <m:r>
                <m:t>t</m:t>
              </m:r>
              <m:r>
                <m:t>)</m:t>
              </m:r>
            </m:sup>
          </m:sSup>
        </m:oMath>
      </m:oMathPara>
    </w:p>
    <w:p>
      <w:pPr>
        <w:pStyle w:val="FirstParagraph"/>
      </w:pPr>
      <w:r>
        <w:t xml:space="preserve">where</w:t>
      </w:r>
      <w:r>
        <w:t xml:space="preserve"> </w:t>
      </w:r>
      <m:oMath>
        <m:sSup>
          <m:e>
            <m:r>
              <m:t>S</m:t>
            </m:r>
          </m:e>
          <m:sup>
            <m:r>
              <m:t>A</m:t>
            </m:r>
          </m:sup>
        </m:sSup>
        <m:r>
          <m:t>=</m:t>
        </m:r>
        <m:sSup>
          <m:e>
            <m:bar>
              <m:barPr>
                <m:pos m:val="top"/>
              </m:barPr>
              <m:e>
                <m:r>
                  <m:t>B</m:t>
                </m:r>
              </m:e>
            </m:bar>
          </m:e>
          <m:sup>
            <m:r>
              <m:t>A</m:t>
            </m:r>
          </m:sup>
        </m:sSup>
        <m:r>
          <m:t>(</m:t>
        </m:r>
        <m:r>
          <m:t>t</m:t>
        </m:r>
        <m:r>
          <m:t>,</m:t>
        </m:r>
        <m:r>
          <m:t>T</m:t>
        </m:r>
        <m:r>
          <m:t>)</m:t>
        </m:r>
        <m:r>
          <m:t>−</m:t>
        </m:r>
        <m:r>
          <m:t>B</m:t>
        </m:r>
        <m:r>
          <m:t>(</m:t>
        </m:r>
        <m:r>
          <m:t>t</m:t>
        </m:r>
        <m:r>
          <m:t>,</m:t>
        </m:r>
        <m:r>
          <m:t>T</m:t>
        </m:r>
        <m:r>
          <m:t>)</m:t>
        </m:r>
      </m:oMath>
      <w:r>
        <w:t xml:space="preserve"> </w:t>
      </w:r>
      <w:r>
        <w:t xml:space="preserve">is the</w:t>
      </w:r>
      <w:r>
        <w:t xml:space="preserve"> </w:t>
      </w:r>
      <w:r>
        <w:rPr>
          <w:i/>
        </w:rPr>
        <w:t xml:space="preserve">spread</w:t>
      </w:r>
      <w:r>
        <w:t xml:space="preserve">.</w:t>
      </w:r>
    </w:p>
    <w:p>
      <w:pPr>
        <w:pStyle w:val="SourceCode"/>
      </w:pPr>
      <w:r>
        <w:rPr>
          <w:rStyle w:val="NormalTok"/>
        </w:rPr>
        <w:t xml:space="preserve">SARIVA_CumulativeProbabilityOfDefault&lt;-</w:t>
      </w:r>
      <w:r>
        <w:rPr>
          <w:rStyle w:val="KeywordTok"/>
        </w:rPr>
        <w:t xml:space="preserve">data.frame</w:t>
      </w:r>
      <w:r>
        <w:rPr>
          <w:rStyle w:val="NormalTok"/>
        </w:rPr>
        <w:t xml:space="preserve">(</w:t>
      </w:r>
      <w:r>
        <w:rPr>
          <w:rStyle w:val="KeywordTok"/>
        </w:rPr>
        <w:t xml:space="preserve">cbind</w:t>
      </w:r>
      <w:r>
        <w:rPr>
          <w:rStyle w:val="NormalTok"/>
        </w:rPr>
        <w:t xml:space="preserve">(SARIVA_Spreads[,</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(-SARIVA_Spreads[,</w:t>
      </w:r>
      <w:r>
        <w:rPr>
          <w:rStyle w:val="DecValTok"/>
        </w:rPr>
        <w:t xml:space="preserve">2</w:t>
      </w:r>
      <w:r>
        <w:rPr>
          <w:rStyle w:val="NormalTok"/>
        </w:rPr>
        <w:t xml:space="preserve">]*SARIVA_Spreads[,</w:t>
      </w:r>
      <w:r>
        <w:rPr>
          <w:rStyle w:val="DecValTok"/>
        </w:rPr>
        <w:t xml:space="preserve">1</w:t>
      </w:r>
      <w:r>
        <w:rPr>
          <w:rStyle w:val="NormalTok"/>
        </w:rPr>
        <w:t xml:space="preserve">])))</w:t>
      </w:r>
      <w:r>
        <w:br w:type="textWrapping"/>
      </w:r>
      <w:r>
        <w:rPr>
          <w:rStyle w:val="NormalTok"/>
        </w:rPr>
        <w:t xml:space="preserve">SARIVA_CumulativeProbabilityOfDefault_Plot&lt;-</w:t>
      </w:r>
      <w:r>
        <w:rPr>
          <w:rStyle w:val="KeywordTok"/>
        </w:rPr>
        <w:t xml:space="preserve">gvisLineChart</w:t>
      </w:r>
      <w:r>
        <w:rPr>
          <w:rStyle w:val="NormalTok"/>
        </w:rPr>
        <w:t xml:space="preserve">(SARIVA_CumulativeProbabilityOfDefault)</w:t>
      </w:r>
      <w:r>
        <w:br w:type="textWrapping"/>
      </w:r>
      <w:r>
        <w:rPr>
          <w:rStyle w:val="KeywordTok"/>
        </w:rPr>
        <w:t xml:space="preserve">plot</w:t>
      </w:r>
      <w:r>
        <w:rPr>
          <w:rStyle w:val="NormalTok"/>
        </w:rPr>
        <w:t xml:space="preserve">(SARIVA_CumulativeProbabilityOfDefault_Plot)</w:t>
      </w:r>
    </w:p>
    <w:p>
      <w:pPr>
        <w:pStyle w:val="FirstParagraph"/>
      </w:pPr>
      <w:r>
        <w:t xml:space="preserve">In the end, we see that the implied probability of default, on 5-year horizon, is XX % and the market that this cumulative probability is increasing quickly the three first years and then stay stable[^1].</w:t>
      </w:r>
      <w:r>
        <w:t xml:space="preserve"> </w:t>
      </w:r>
      <w:r>
        <w:t xml:space="preserve">[^1]: It might because of some other risky project that SARIVA Inc. is conducting on the short term.</w:t>
      </w:r>
      <w:r>
        <w:t xml:space="preserve"> </w:t>
      </w:r>
      <w:r>
        <w:t xml:space="preserve"># SARIVA's new bond price</w:t>
      </w:r>
      <w:r>
        <w:t xml:space="preserve"> </w:t>
      </w:r>
      <w:r>
        <w:t xml:space="preserve">We recall that SARIVA Inc. new debt has the folowing reimbursment structure.</w:t>
      </w:r>
    </w:p>
    <w:p>
      <w:pPr>
        <w:pStyle w:val="SourceCode"/>
      </w:pPr>
      <w:r>
        <w:rPr>
          <w:rStyle w:val="NormalTok"/>
        </w:rPr>
        <w:t xml:space="preserve">SARIVA_NewBond_CashFlows&lt;-</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70</w:t>
      </w:r>
      <w:r>
        <w:rPr>
          <w:rStyle w:val="NormalTok"/>
        </w:rPr>
        <w:t xml:space="preserve">, </w:t>
      </w:r>
      <w:r>
        <w:rPr>
          <w:rStyle w:val="DecValTok"/>
        </w:rPr>
        <w:t xml:space="preserve">7</w:t>
      </w:r>
      <w:r>
        <w:rPr>
          <w:rStyle w:val="NormalTok"/>
        </w:rPr>
        <w:t xml:space="preserve">, </w:t>
      </w:r>
      <w:r>
        <w:rPr>
          <w:rStyle w:val="DecValTok"/>
        </w:rPr>
        <w:t xml:space="preserve">147</w:t>
      </w:r>
      <w:r>
        <w:rPr>
          <w:rStyle w:val="NormalTok"/>
        </w:rPr>
        <w:t xml:space="preserve">)))</w:t>
      </w:r>
      <w:r>
        <w:br w:type="textWrapping"/>
      </w:r>
      <w:r>
        <w:rPr>
          <w:rStyle w:val="NormalTok"/>
        </w:rPr>
        <w:t xml:space="preserve">SARIVA_NewBond_CashFlows_Plot&lt;-</w:t>
      </w:r>
      <w:r>
        <w:rPr>
          <w:rStyle w:val="KeywordTok"/>
        </w:rPr>
        <w:t xml:space="preserve">gvisColumnChart</w:t>
      </w:r>
      <w:r>
        <w:rPr>
          <w:rStyle w:val="NormalTok"/>
        </w:rPr>
        <w:t xml:space="preserve">(SARIVA_NewBond_CashFlows)</w:t>
      </w:r>
      <w:r>
        <w:br w:type="textWrapping"/>
      </w:r>
      <w:r>
        <w:rPr>
          <w:rStyle w:val="KeywordTok"/>
        </w:rPr>
        <w:t xml:space="preserve">plot</w:t>
      </w:r>
      <w:r>
        <w:rPr>
          <w:rStyle w:val="NormalTok"/>
        </w:rPr>
        <w:t xml:space="preserve">(SARIVA_NewBond_CashFlows_Plot)</w:t>
      </w:r>
    </w:p>
    <w:p>
      <w:pPr>
        <w:pStyle w:val="FirstParagraph"/>
      </w:pPr>
      <w:r>
        <w:t xml:space="preserve">To compute the price of the bond sum all the cash flows discounted with the SAVIRA Inc. Zero-Coupon Yield Curve that we estimated above.</w:t>
      </w:r>
    </w:p>
    <w:p>
      <w:pPr>
        <w:pStyle w:val="SourceCode"/>
      </w:pPr>
      <w:r>
        <w:rPr>
          <w:rStyle w:val="NormalTok"/>
        </w:rPr>
        <w:t xml:space="preserve">SARIVA_NewBond_Price&lt;-</w:t>
      </w:r>
      <w:r>
        <w:rPr>
          <w:rStyle w:val="KeywordTok"/>
        </w:rPr>
        <w:t xml:space="preserve">sum</w:t>
      </w:r>
      <w:r>
        <w:rPr>
          <w:rStyle w:val="NormalTok"/>
        </w:rPr>
        <w:t xml:space="preserve">(SARIVA_NewBond_CashFlows[,</w:t>
      </w:r>
      <w:r>
        <w:rPr>
          <w:rStyle w:val="DecValTok"/>
        </w:rPr>
        <w:t xml:space="preserve">2</w:t>
      </w:r>
      <w:r>
        <w:rPr>
          <w:rStyle w:val="NormalTok"/>
        </w:rPr>
        <w:t xml:space="preserve">]*</w:t>
      </w:r>
      <w:r>
        <w:rPr>
          <w:rStyle w:val="KeywordTok"/>
        </w:rPr>
        <w:t xml:space="preserve">exp</w:t>
      </w:r>
      <w:r>
        <w:rPr>
          <w:rStyle w:val="NormalTok"/>
        </w:rPr>
        <w:t xml:space="preserve">(-SARIVA_ZC_YC*(SARIVA_NewBond_CashFlows[,</w:t>
      </w:r>
      <w:r>
        <w:rPr>
          <w:rStyle w:val="DecValTok"/>
        </w:rPr>
        <w:t xml:space="preserve">1</w:t>
      </w:r>
      <w:r>
        <w:rPr>
          <w:rStyle w:val="NormalTok"/>
        </w:rPr>
        <w:t xml:space="preserve">])))</w:t>
      </w:r>
    </w:p>
    <w:p>
      <w:pPr>
        <w:pStyle w:val="FirstParagraph"/>
      </w:pPr>
      <w:r>
        <w:t xml:space="preserve">The price of the bond is thus 195.4147736.</w:t>
      </w:r>
    </w:p>
    <w:p>
      <w:pPr>
        <w:pStyle w:val="SourceCode"/>
      </w:pPr>
      <w:r>
        <w:rPr>
          <w:rStyle w:val="NormalTok"/>
        </w:rPr>
        <w:t xml:space="preserve">## Set options back to original options</w:t>
      </w:r>
      <w:r>
        <w:br w:type="textWrapping"/>
      </w:r>
      <w:r>
        <w:rPr>
          <w:rStyle w:val="KeywordTok"/>
        </w:rPr>
        <w:t xml:space="preserve">options</w:t>
      </w:r>
      <w:r>
        <w:rPr>
          <w:rStyle w:val="NormalTok"/>
        </w:rPr>
        <w:t xml:space="preserve">(op)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7ca3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efaultrisk.free.fr/PDF/Lesson1_2.pdf" TargetMode="External" /></Relationships>
</file>

<file path=word/_rels/footnotes.xml.rels><?xml version="1.0" encoding="UTF-8"?>
<Relationships xmlns="http://schemas.openxmlformats.org/package/2006/relationships"><Relationship Type="http://schemas.openxmlformats.org/officeDocument/2006/relationships/hyperlink" Id="rId26" Target="http://defaultrisk.free.fr/PDF/Lesson1_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SARIVA Inc. new bond pricing</dc:title>
  <dc:creator/>
  <dcterms:created xsi:type="dcterms:W3CDTF">2017-02-28T21:31:46Z</dcterms:created>
  <dcterms:modified xsi:type="dcterms:W3CDTF">2017-02-28T21:31:46Z</dcterms:modified>
</cp:coreProperties>
</file>