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_GBK" w:hAnsi="方正小标宋_GBK" w:eastAsia="方正小标宋_GBK" w:cs="方正小标宋_GBK"/>
          <w:sz w:val="44"/>
          <w:szCs w:val="44"/>
          <w:lang w:val="en-US" w:eastAsia="zh-CN"/>
        </w:rPr>
      </w:pPr>
      <w:r>
        <w:rPr>
          <w:rFonts w:hint="eastAsia" w:ascii="方正小标宋_GBK" w:hAnsi="方正小标宋_GBK" w:eastAsia="方正小标宋_GBK" w:cs="方正小标宋_GBK"/>
          <w:sz w:val="44"/>
          <w:szCs w:val="44"/>
          <w:lang w:val="en-US" w:eastAsia="zh-CN"/>
        </w:rPr>
        <w:t>开户行查询工具</w:t>
      </w:r>
    </w:p>
    <w:p>
      <w:pPr>
        <w:ind w:firstLine="640" w:firstLineChars="200"/>
        <w:jc w:val="left"/>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为提高资金查控工作效率，方便快速查找对公账户和个人账户开户行，自动生成法律文书，对涉案资金流水等文件进行拆分，特研发“开户行查询工具”。该工具平台主要包括对公账户开户行查询、个人账户开户行查询、银行规范名称清洗、查询文书自动生成、文件拆分工具五大功能。</w:t>
      </w:r>
    </w:p>
    <w:p>
      <w:pPr>
        <w:numPr>
          <w:ilvl w:val="0"/>
          <w:numId w:val="1"/>
        </w:numPr>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对公账户开户行查询。可实现单一账户、多个账户、批量账户的查询功能，反馈规范的开户银行名称和具体开户网点，可选择导出规范的平台查询录入模版，可选择自动生成查询法律文书及附件。</w:t>
      </w:r>
    </w:p>
    <w:p>
      <w:pPr>
        <w:numPr>
          <w:ilvl w:val="0"/>
          <w:numId w:val="1"/>
        </w:numPr>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个人账户开户行查询。可实现单一账户、多个账户、批量账户的查询功能，反馈规范的开户银行名称和具体开户网点，可选择导出规范的平台查询录入模版，可选择自动生成查询法律文书及附件。</w:t>
      </w:r>
    </w:p>
    <w:p>
      <w:pPr>
        <w:numPr>
          <w:ilvl w:val="0"/>
          <w:numId w:val="1"/>
        </w:numPr>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银行规范名称清洗。由于查询反馈的对手开户行名称各不相同，如：“中国建设银行股份有限公司武汉金茂支行”、“中国建设银行股份有限公司总行”“齐鲁银行股份有限公司聊城高唐支行”等，进行二次扩展查询时需要对银行名称统一规范为资金查控平台规划名称。为便于实际清洗操作，可将待查询账号和开户行进行上传，由工具自动清洗为规范名称，可选择导出规范的平台查询录入模版，可选择自动生成查询法律文书及附件。</w:t>
      </w:r>
    </w:p>
    <w:p>
      <w:pPr>
        <w:numPr>
          <w:ilvl w:val="0"/>
          <w:numId w:val="1"/>
        </w:numPr>
        <w:ind w:firstLine="640" w:firstLineChars="200"/>
        <w:jc w:val="both"/>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查询文书自动生成工具。为服务专项研判和专案工作需要，在查询数量规模较大银行账号时，可根据上传账号辅助生成查询法律文书、附件及规范的平台查询录入模版。</w:t>
      </w:r>
    </w:p>
    <w:p>
      <w:pPr>
        <w:numPr>
          <w:ilvl w:val="0"/>
          <w:numId w:val="1"/>
        </w:numPr>
        <w:ind w:firstLine="640" w:firstLineChars="200"/>
        <w:jc w:val="both"/>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文件拆分工具。在发起集群战役或数据协同时，往往将涉及某一地的资金线索、人员线索、传销数据、保险理赔等数据进行归集，需要对相关数据表格进行拆分。该工具可以根据某一任选字段进行拆分，并根据任选字段名称自动生成多份文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E4C6E9"/>
    <w:multiLevelType w:val="singleLevel"/>
    <w:tmpl w:val="D2E4C6E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905E31"/>
    <w:rsid w:val="26905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2024-03-06T00:07:00Z</dcterms:created>
  <dc:creator>Administrator</dc:creator>
  <cp:lastModifiedBy>Administrator</cp:lastModifiedBy>
  <dcterms:modified xsi:type="dcterms:W3CDTF">2024-03-06T00:35:53Z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2E2E6045504B46DAA54A5638484D511E</vt:lpwstr>
  </property>
</Properties>
</file>