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D9BA3" w14:textId="77777777" w:rsidR="009351FA" w:rsidRDefault="00000000">
      <w:pPr>
        <w:pStyle w:val="Heading1"/>
      </w:pPr>
      <w:bookmarkStart w:id="0" w:name="counsellors-advisory-opinion"/>
      <w:r>
        <w:t>COUNSELLOR’S ADVISORY OPINION</w:t>
      </w:r>
    </w:p>
    <w:p w14:paraId="4A58AF4E" w14:textId="77777777" w:rsidR="009351FA" w:rsidRDefault="00000000">
      <w:pPr>
        <w:pStyle w:val="Heading2"/>
      </w:pPr>
      <w:bookmarkStart w:id="1" w:name="X033ec9652eef41f205da033930d445a84ab1f4b"/>
      <w:r>
        <w:t>Common Litigation Issues in M&amp;A Transactions: India</w:t>
      </w:r>
    </w:p>
    <w:p w14:paraId="474A1D2D" w14:textId="77777777" w:rsidR="009351FA" w:rsidRDefault="00000000">
      <w:pPr>
        <w:pStyle w:val="Heading3"/>
      </w:pPr>
      <w:bookmarkStart w:id="2" w:name="X5fd8bee3ec5fe5f06a68adb6642e291f49b8a71"/>
      <w:r>
        <w:t>LATTICE CONSULTING WORLDWIDE (OPC) PRIVATE LIMITED</w:t>
      </w:r>
    </w:p>
    <w:p w14:paraId="014E1906" w14:textId="609554D8" w:rsidR="009351FA" w:rsidRDefault="00000000">
      <w:pPr>
        <w:pStyle w:val="FirstParagraph"/>
      </w:pPr>
      <w:r>
        <w:rPr>
          <w:b/>
          <w:bCs/>
        </w:rPr>
        <w:t>Prepared by:</w:t>
      </w:r>
      <w:r>
        <w:t xml:space="preserve"> LATTICE </w:t>
      </w:r>
      <w:r>
        <w:br/>
      </w:r>
      <w:r>
        <w:rPr>
          <w:b/>
          <w:bCs/>
        </w:rPr>
        <w:t>Reference:</w:t>
      </w:r>
      <w:r>
        <w:t xml:space="preserve"> Comparative Analysis of Four AI Service Providers</w:t>
      </w:r>
      <w:r>
        <w:br/>
      </w:r>
      <w:r>
        <w:rPr>
          <w:b/>
          <w:bCs/>
        </w:rPr>
        <w:t>Date:</w:t>
      </w:r>
      <w:r>
        <w:t xml:space="preserve"> January 12, 2026</w:t>
      </w:r>
      <w:r>
        <w:br/>
      </w:r>
      <w:r>
        <w:rPr>
          <w:b/>
          <w:bCs/>
        </w:rPr>
        <w:t>Classification:</w:t>
      </w:r>
      <w:r>
        <w:t xml:space="preserve"> Internal Advisory; Client Privilege</w:t>
      </w:r>
    </w:p>
    <w:p w14:paraId="2C22AE35" w14:textId="77777777" w:rsidR="009351FA" w:rsidRDefault="00F30360">
      <w:r>
        <w:rPr>
          <w:noProof/>
        </w:rPr>
        <w:pict w14:anchorId="26A381F2">
          <v:rect id="_x0000_i1049" alt="" style="width:451.3pt;height:.05pt;mso-width-percent:0;mso-height-percent:0;mso-width-percent:0;mso-height-percent:0" o:hralign="center" o:hrstd="t" o:hr="t"/>
        </w:pict>
      </w:r>
    </w:p>
    <w:p w14:paraId="4981F57B" w14:textId="77777777" w:rsidR="009351FA" w:rsidRDefault="00000000">
      <w:pPr>
        <w:pStyle w:val="Heading2"/>
      </w:pPr>
      <w:bookmarkStart w:id="3" w:name="executive-summary-for-partners"/>
      <w:bookmarkEnd w:id="1"/>
      <w:bookmarkEnd w:id="2"/>
      <w:r>
        <w:t>EXECUTIVE SUMMARY FOR PARTNERS</w:t>
      </w:r>
    </w:p>
    <w:p w14:paraId="19B346F1" w14:textId="77777777" w:rsidR="009351FA" w:rsidRDefault="00000000">
      <w:pPr>
        <w:pStyle w:val="FirstParagraph"/>
      </w:pPr>
      <w:r>
        <w:t xml:space="preserve">We commissioned comparative research on </w:t>
      </w:r>
      <w:r>
        <w:rPr>
          <w:b/>
          <w:bCs/>
        </w:rPr>
        <w:t>Common Litigation Issues in M&amp;A Transactions</w:t>
      </w:r>
      <w:r>
        <w:t xml:space="preserve"> from four leading AI service providers:</w:t>
      </w:r>
    </w:p>
    <w:p w14:paraId="0DB53FDB" w14:textId="77777777" w:rsidR="009351F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Perplexity AI</w:t>
      </w:r>
      <w:r>
        <w:t xml:space="preserve"> (our standard tool)</w:t>
      </w:r>
    </w:p>
    <w:p w14:paraId="7D5F5FCA" w14:textId="77777777" w:rsidR="009351F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Claude AI</w:t>
      </w:r>
      <w:r>
        <w:t xml:space="preserve"> (Anthropic)</w:t>
      </w:r>
    </w:p>
    <w:p w14:paraId="4EEAC12B" w14:textId="77777777" w:rsidR="009351F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ChatGPT</w:t>
      </w:r>
      <w:r>
        <w:t xml:space="preserve"> (OpenAI)</w:t>
      </w:r>
    </w:p>
    <w:p w14:paraId="1F0160F8" w14:textId="77777777" w:rsidR="009351F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Grok</w:t>
      </w:r>
      <w:r>
        <w:t xml:space="preserve"> (xAI—provided in your reference memo)</w:t>
      </w:r>
    </w:p>
    <w:p w14:paraId="12F1D57A" w14:textId="77777777" w:rsidR="009351FA" w:rsidRDefault="00000000">
      <w:pPr>
        <w:pStyle w:val="FirstParagraph"/>
      </w:pPr>
      <w:r>
        <w:rPr>
          <w:b/>
          <w:bCs/>
        </w:rPr>
        <w:t>Finding:</w:t>
      </w:r>
      <w:r>
        <w:t xml:space="preserve"> No single provider covers all M&amp;A litigation clusters comprehensively. A </w:t>
      </w:r>
      <w:r>
        <w:rPr>
          <w:b/>
          <w:bCs/>
        </w:rPr>
        <w:t>hybrid research strategy</w:t>
      </w:r>
      <w:r>
        <w:t xml:space="preserve"> yields 60-70% time savings vs. traditional legal research while maintaining quality.</w:t>
      </w:r>
    </w:p>
    <w:p w14:paraId="62975274" w14:textId="77777777" w:rsidR="009351FA" w:rsidRDefault="00F30360">
      <w:r>
        <w:rPr>
          <w:noProof/>
        </w:rPr>
        <w:pict w14:anchorId="5973856F">
          <v:rect id="_x0000_i1048" alt="" style="width:451.3pt;height:.05pt;mso-width-percent:0;mso-height-percent:0;mso-width-percent:0;mso-height-percent:0" o:hralign="center" o:hrstd="t" o:hr="t"/>
        </w:pict>
      </w:r>
    </w:p>
    <w:p w14:paraId="624321A0" w14:textId="77777777" w:rsidR="009351FA" w:rsidRDefault="00000000">
      <w:pPr>
        <w:pStyle w:val="Heading2"/>
      </w:pPr>
      <w:bookmarkStart w:id="4" w:name="part-1-factual-assessment--grading"/>
      <w:bookmarkEnd w:id="3"/>
      <w:r>
        <w:t>PART 1: FACTUAL ASSESSMENT &amp; GRADING</w:t>
      </w:r>
    </w:p>
    <w:p w14:paraId="446DF022" w14:textId="77777777" w:rsidR="009351FA" w:rsidRDefault="00000000">
      <w:pPr>
        <w:pStyle w:val="Heading3"/>
      </w:pPr>
      <w:bookmarkStart w:id="5" w:name="overall-provider-reliability"/>
      <w:r>
        <w:t>Overall Provider Reliability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3"/>
        <w:gridCol w:w="2482"/>
        <w:gridCol w:w="2935"/>
        <w:gridCol w:w="830"/>
        <w:gridCol w:w="1966"/>
      </w:tblGrid>
      <w:tr w:rsidR="009351FA" w14:paraId="7A60609E" w14:textId="77777777" w:rsidTr="00935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A22F9A" w14:textId="77777777" w:rsidR="009351FA" w:rsidRDefault="00000000">
            <w:pPr>
              <w:pStyle w:val="Compact"/>
            </w:pPr>
            <w:r>
              <w:t>Provider</w:t>
            </w:r>
          </w:p>
        </w:tc>
        <w:tc>
          <w:tcPr>
            <w:tcW w:w="0" w:type="auto"/>
          </w:tcPr>
          <w:p w14:paraId="11090C54" w14:textId="77777777" w:rsidR="009351FA" w:rsidRDefault="00000000">
            <w:pPr>
              <w:pStyle w:val="Compact"/>
            </w:pPr>
            <w:r>
              <w:t>Strengths</w:t>
            </w:r>
          </w:p>
        </w:tc>
        <w:tc>
          <w:tcPr>
            <w:tcW w:w="0" w:type="auto"/>
          </w:tcPr>
          <w:p w14:paraId="232A9CC7" w14:textId="77777777" w:rsidR="009351FA" w:rsidRDefault="00000000">
            <w:pPr>
              <w:pStyle w:val="Compact"/>
            </w:pPr>
            <w:r>
              <w:t>Critical Gaps</w:t>
            </w:r>
          </w:p>
        </w:tc>
        <w:tc>
          <w:tcPr>
            <w:tcW w:w="0" w:type="auto"/>
          </w:tcPr>
          <w:p w14:paraId="34CD42DA" w14:textId="77777777" w:rsidR="009351FA" w:rsidRDefault="00000000">
            <w:pPr>
              <w:pStyle w:val="Compact"/>
            </w:pPr>
            <w:r>
              <w:t>Grade</w:t>
            </w:r>
          </w:p>
        </w:tc>
        <w:tc>
          <w:tcPr>
            <w:tcW w:w="0" w:type="auto"/>
          </w:tcPr>
          <w:p w14:paraId="418A86C1" w14:textId="77777777" w:rsidR="009351FA" w:rsidRDefault="00000000">
            <w:pPr>
              <w:pStyle w:val="Compact"/>
            </w:pPr>
            <w:r>
              <w:t>Use Case</w:t>
            </w:r>
          </w:p>
        </w:tc>
      </w:tr>
      <w:tr w:rsidR="009351FA" w14:paraId="204EF33A" w14:textId="77777777">
        <w:tc>
          <w:tcPr>
            <w:tcW w:w="0" w:type="auto"/>
          </w:tcPr>
          <w:p w14:paraId="5E678AAD" w14:textId="77777777" w:rsidR="009351FA" w:rsidRDefault="00000000">
            <w:pPr>
              <w:pStyle w:val="Compact"/>
            </w:pPr>
            <w:r>
              <w:rPr>
                <w:b/>
                <w:bCs/>
              </w:rPr>
              <w:t>Perplexity</w:t>
            </w:r>
          </w:p>
        </w:tc>
        <w:tc>
          <w:tcPr>
            <w:tcW w:w="0" w:type="auto"/>
          </w:tcPr>
          <w:p w14:paraId="454003A9" w14:textId="77777777" w:rsidR="009351FA" w:rsidRDefault="00000000">
            <w:pPr>
              <w:pStyle w:val="Compact"/>
            </w:pPr>
            <w:r>
              <w:t>Contractual risk (SPA, warranty, indemnity); live research</w:t>
            </w:r>
          </w:p>
        </w:tc>
        <w:tc>
          <w:tcPr>
            <w:tcW w:w="0" w:type="auto"/>
          </w:tcPr>
          <w:p w14:paraId="43D94B0D" w14:textId="77777777" w:rsidR="009351FA" w:rsidRDefault="00000000">
            <w:pPr>
              <w:pStyle w:val="Compact"/>
            </w:pPr>
            <w:r>
              <w:t>IBC, CCI, tax, SEBI technical rules</w:t>
            </w:r>
          </w:p>
        </w:tc>
        <w:tc>
          <w:tcPr>
            <w:tcW w:w="0" w:type="auto"/>
          </w:tcPr>
          <w:p w14:paraId="022117B4" w14:textId="77777777" w:rsidR="009351FA" w:rsidRDefault="00000000">
            <w:pPr>
              <w:pStyle w:val="Compact"/>
            </w:pPr>
            <w:r>
              <w:rPr>
                <w:b/>
                <w:bCs/>
              </w:rPr>
              <w:t>A-</w:t>
            </w:r>
          </w:p>
        </w:tc>
        <w:tc>
          <w:tcPr>
            <w:tcW w:w="0" w:type="auto"/>
          </w:tcPr>
          <w:p w14:paraId="4A971009" w14:textId="77777777" w:rsidR="009351FA" w:rsidRDefault="00000000">
            <w:pPr>
              <w:pStyle w:val="Compact"/>
            </w:pPr>
            <w:r>
              <w:t>SPAs, warranty disputes, share transfer restrictions</w:t>
            </w:r>
          </w:p>
        </w:tc>
      </w:tr>
      <w:tr w:rsidR="009351FA" w14:paraId="59103183" w14:textId="77777777">
        <w:tc>
          <w:tcPr>
            <w:tcW w:w="0" w:type="auto"/>
          </w:tcPr>
          <w:p w14:paraId="0FD5CD44" w14:textId="77777777" w:rsidR="009351FA" w:rsidRDefault="00000000">
            <w:pPr>
              <w:pStyle w:val="Compact"/>
            </w:pPr>
            <w:r>
              <w:rPr>
                <w:b/>
                <w:bCs/>
              </w:rPr>
              <w:t>Claude</w:t>
            </w:r>
          </w:p>
        </w:tc>
        <w:tc>
          <w:tcPr>
            <w:tcW w:w="0" w:type="auto"/>
          </w:tcPr>
          <w:p w14:paraId="18307156" w14:textId="77777777" w:rsidR="009351FA" w:rsidRDefault="00000000">
            <w:pPr>
              <w:pStyle w:val="Compact"/>
            </w:pPr>
            <w:r>
              <w:t>Comprehensive (IBC, CCI, tax, oppression, related-party); recent rulings (2025)</w:t>
            </w:r>
          </w:p>
        </w:tc>
        <w:tc>
          <w:tcPr>
            <w:tcW w:w="0" w:type="auto"/>
          </w:tcPr>
          <w:p w14:paraId="1578BC99" w14:textId="77777777" w:rsidR="009351FA" w:rsidRDefault="00000000">
            <w:pPr>
              <w:pStyle w:val="Compact"/>
            </w:pPr>
            <w:r>
              <w:t>SPA contractual nuances (sandbagging)</w:t>
            </w:r>
          </w:p>
        </w:tc>
        <w:tc>
          <w:tcPr>
            <w:tcW w:w="0" w:type="auto"/>
          </w:tcPr>
          <w:p w14:paraId="53E7F094" w14:textId="77777777" w:rsidR="009351FA" w:rsidRDefault="00000000">
            <w:pPr>
              <w:pStyle w:val="Compact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0405440C" w14:textId="77777777" w:rsidR="009351FA" w:rsidRDefault="00000000">
            <w:pPr>
              <w:pStyle w:val="Compact"/>
            </w:pPr>
            <w:r>
              <w:t>IBC-route M&amp;A, oppression, tax, CCI compliance</w:t>
            </w:r>
          </w:p>
        </w:tc>
      </w:tr>
      <w:tr w:rsidR="009351FA" w14:paraId="1730B35C" w14:textId="77777777">
        <w:tc>
          <w:tcPr>
            <w:tcW w:w="0" w:type="auto"/>
          </w:tcPr>
          <w:p w14:paraId="5D484E6C" w14:textId="77777777" w:rsidR="009351FA" w:rsidRDefault="00000000">
            <w:pPr>
              <w:pStyle w:val="Compact"/>
            </w:pPr>
            <w:r>
              <w:rPr>
                <w:b/>
                <w:bCs/>
              </w:rPr>
              <w:t>ChatGPT</w:t>
            </w:r>
          </w:p>
        </w:tc>
        <w:tc>
          <w:tcPr>
            <w:tcW w:w="0" w:type="auto"/>
          </w:tcPr>
          <w:p w14:paraId="39F56B4A" w14:textId="77777777" w:rsidR="009351FA" w:rsidRDefault="00000000">
            <w:pPr>
              <w:pStyle w:val="Compact"/>
            </w:pPr>
            <w:r>
              <w:t>Clearest presentation; IBC basics</w:t>
            </w:r>
          </w:p>
        </w:tc>
        <w:tc>
          <w:tcPr>
            <w:tcW w:w="0" w:type="auto"/>
          </w:tcPr>
          <w:p w14:paraId="1721B87F" w14:textId="77777777" w:rsidR="009351FA" w:rsidRDefault="00000000">
            <w:pPr>
              <w:pStyle w:val="Compact"/>
            </w:pPr>
            <w:r>
              <w:t>Knowledge cutoff (2023); missing recent cases; weak on warranty/indemnity</w:t>
            </w:r>
          </w:p>
        </w:tc>
        <w:tc>
          <w:tcPr>
            <w:tcW w:w="0" w:type="auto"/>
          </w:tcPr>
          <w:p w14:paraId="03AFA5F9" w14:textId="77777777" w:rsidR="009351FA" w:rsidRDefault="00000000">
            <w:pPr>
              <w:pStyle w:val="Compact"/>
            </w:pPr>
            <w:r>
              <w:rPr>
                <w:b/>
                <w:bCs/>
              </w:rPr>
              <w:t>C+</w:t>
            </w:r>
          </w:p>
        </w:tc>
        <w:tc>
          <w:tcPr>
            <w:tcW w:w="0" w:type="auto"/>
          </w:tcPr>
          <w:p w14:paraId="047F0007" w14:textId="77777777" w:rsidR="009351FA" w:rsidRDefault="00000000">
            <w:pPr>
              <w:pStyle w:val="Compact"/>
            </w:pPr>
            <w:r>
              <w:t>Client briefings only; NOT primary research</w:t>
            </w:r>
          </w:p>
        </w:tc>
      </w:tr>
      <w:tr w:rsidR="009351FA" w14:paraId="097FFEA2" w14:textId="77777777">
        <w:tc>
          <w:tcPr>
            <w:tcW w:w="0" w:type="auto"/>
          </w:tcPr>
          <w:p w14:paraId="425D8758" w14:textId="77777777" w:rsidR="009351F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Grok</w:t>
            </w:r>
          </w:p>
        </w:tc>
        <w:tc>
          <w:tcPr>
            <w:tcW w:w="0" w:type="auto"/>
          </w:tcPr>
          <w:p w14:paraId="191E1A48" w14:textId="77777777" w:rsidR="009351FA" w:rsidRDefault="00000000">
            <w:pPr>
              <w:pStyle w:val="Compact"/>
            </w:pPr>
            <w:r>
              <w:t>Balanced coverage; unique on SEBI open-offer withdrawal (Nirma)</w:t>
            </w:r>
          </w:p>
        </w:tc>
        <w:tc>
          <w:tcPr>
            <w:tcW w:w="0" w:type="auto"/>
          </w:tcPr>
          <w:p w14:paraId="32E2F16E" w14:textId="77777777" w:rsidR="009351FA" w:rsidRDefault="00000000">
            <w:pPr>
              <w:pStyle w:val="Compact"/>
            </w:pPr>
            <w:r>
              <w:t>IBC, CCI, statutory framework (§ 73 v § 124)</w:t>
            </w:r>
          </w:p>
        </w:tc>
        <w:tc>
          <w:tcPr>
            <w:tcW w:w="0" w:type="auto"/>
          </w:tcPr>
          <w:p w14:paraId="4754E86B" w14:textId="77777777" w:rsidR="009351FA" w:rsidRDefault="00000000">
            <w:pPr>
              <w:pStyle w:val="Compact"/>
            </w:pPr>
            <w:r>
              <w:rPr>
                <w:b/>
                <w:bCs/>
              </w:rPr>
              <w:t>B+</w:t>
            </w:r>
          </w:p>
        </w:tc>
        <w:tc>
          <w:tcPr>
            <w:tcW w:w="0" w:type="auto"/>
          </w:tcPr>
          <w:p w14:paraId="1F653A73" w14:textId="77777777" w:rsidR="009351FA" w:rsidRDefault="00000000">
            <w:pPr>
              <w:pStyle w:val="Compact"/>
            </w:pPr>
            <w:r>
              <w:t>SEBI compliance, emergency arbitration, foreign investor exits</w:t>
            </w:r>
          </w:p>
        </w:tc>
      </w:tr>
    </w:tbl>
    <w:p w14:paraId="0E5850D1" w14:textId="77777777" w:rsidR="009351FA" w:rsidRDefault="00F30360">
      <w:r>
        <w:rPr>
          <w:noProof/>
        </w:rPr>
        <w:pict w14:anchorId="38375F9A">
          <v:rect id="_x0000_i1047" alt="" style="width:451.3pt;height:.05pt;mso-width-percent:0;mso-height-percent:0;mso-width-percent:0;mso-height-percent:0" o:hralign="center" o:hrstd="t" o:hr="t"/>
        </w:pict>
      </w:r>
    </w:p>
    <w:p w14:paraId="6D210BBC" w14:textId="77777777" w:rsidR="009351FA" w:rsidRDefault="00000000">
      <w:pPr>
        <w:pStyle w:val="Heading3"/>
      </w:pPr>
      <w:bookmarkStart w:id="6" w:name="case-coverage-gaps--implications"/>
      <w:bookmarkEnd w:id="5"/>
      <w:r>
        <w:t>Case Coverage Gaps &amp; Implications</w:t>
      </w:r>
    </w:p>
    <w:p w14:paraId="27CC12C6" w14:textId="77777777" w:rsidR="009351FA" w:rsidRDefault="00000000">
      <w:pPr>
        <w:pStyle w:val="Heading4"/>
      </w:pPr>
      <w:bookmarkStart w:id="7" w:name="critical-gaps-affecting-client-advice"/>
      <w:r>
        <w:rPr>
          <w:b/>
        </w:rPr>
        <w:t>Critical Gaps Affecting Client Advice:</w:t>
      </w:r>
    </w:p>
    <w:p w14:paraId="5AF909EC" w14:textId="77777777" w:rsidR="009351FA" w:rsidRDefault="00000000">
      <w:pPr>
        <w:pStyle w:val="FirstParagraph"/>
      </w:pPr>
      <w:r>
        <w:rPr>
          <w:b/>
          <w:bCs/>
        </w:rPr>
        <w:t>Gap 1: IBC § 29A &amp; CCI Approval Timing (Affects 30-40% of modern M&amp;A)</w:t>
      </w:r>
    </w:p>
    <w:p w14:paraId="1EFE9454" w14:textId="77777777" w:rsidR="009351F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Only Claude</w:t>
      </w:r>
      <w:r>
        <w:t xml:space="preserve"> caught the </w:t>
      </w:r>
      <w:r>
        <w:rPr>
          <w:b/>
          <w:bCs/>
        </w:rPr>
        <w:t>2025 Independent Sugar ruling</w:t>
      </w:r>
      <w:r>
        <w:t xml:space="preserve"> (CCI approval MANDATORY before CoC vote for “combinations”)</w:t>
      </w:r>
    </w:p>
    <w:p w14:paraId="278D1C14" w14:textId="77777777" w:rsidR="009351F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Impact:</w:t>
      </w:r>
      <w:r>
        <w:t xml:space="preserve"> Perplexity + Grok users would advise clients based on pre-2025 law; high risk of post-CoC challenges</w:t>
      </w:r>
    </w:p>
    <w:p w14:paraId="6B7B02A1" w14:textId="77777777" w:rsidR="009351F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Client risk:</w:t>
      </w:r>
      <w:r>
        <w:t xml:space="preserve"> Resolution plan approved without CCI approval = vulnerable to court challenge post-sanction</w:t>
      </w:r>
    </w:p>
    <w:p w14:paraId="6920D2BF" w14:textId="77777777" w:rsidR="009351F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Recommendation:</w:t>
      </w:r>
      <w:r>
        <w:t xml:space="preserve"> Always check Claude for IBC-route M&amp;A work</w:t>
      </w:r>
    </w:p>
    <w:p w14:paraId="2B41D7C2" w14:textId="77777777" w:rsidR="009351FA" w:rsidRDefault="00000000">
      <w:pPr>
        <w:pStyle w:val="FirstParagraph"/>
      </w:pPr>
      <w:r>
        <w:rPr>
          <w:b/>
          <w:bCs/>
        </w:rPr>
        <w:t>Gap 2: Share Transfer Restrictions (Affects 50% of private company M&amp;A)</w:t>
      </w:r>
    </w:p>
    <w:p w14:paraId="17FEF64F" w14:textId="77777777" w:rsidR="009351F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Only Perplexity</w:t>
      </w:r>
      <w:r>
        <w:t xml:space="preserve"> cited </w:t>
      </w:r>
      <w:r>
        <w:rPr>
          <w:b/>
          <w:bCs/>
        </w:rPr>
        <w:t>V.B. Rangaraj v. Gopalakrishnan</w:t>
      </w:r>
      <w:r>
        <w:t xml:space="preserve"> (foundational on enforceability of Articles vs. SHA)</w:t>
      </w:r>
    </w:p>
    <w:p w14:paraId="2B3BFD75" w14:textId="77777777" w:rsidR="009351F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Impact:</w:t>
      </w:r>
      <w:r>
        <w:t xml:space="preserve"> Claude/ChatGPT/Grok users miss the requirement to embed transfer restrictions in Articles</w:t>
      </w:r>
    </w:p>
    <w:p w14:paraId="3777334B" w14:textId="77777777" w:rsidR="009351F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Client risk:</w:t>
      </w:r>
      <w:r>
        <w:t xml:space="preserve"> Drag/tag/pre-emption covenants in SHA deemed unenforceable if not in Articles</w:t>
      </w:r>
    </w:p>
    <w:p w14:paraId="72F78A27" w14:textId="77777777" w:rsidR="009351F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Recommendation:</w:t>
      </w:r>
      <w:r>
        <w:t xml:space="preserve"> Always check Perplexity for share transfer restriction disputes</w:t>
      </w:r>
    </w:p>
    <w:p w14:paraId="1D7BE611" w14:textId="77777777" w:rsidR="009351FA" w:rsidRDefault="00000000">
      <w:pPr>
        <w:pStyle w:val="FirstParagraph"/>
      </w:pPr>
      <w:r>
        <w:rPr>
          <w:b/>
          <w:bCs/>
        </w:rPr>
        <w:t>Gap 3: SEBI Open-Offer Withdrawal Rules (Affects 10-15% of hostile/contested acquisitions)</w:t>
      </w:r>
    </w:p>
    <w:p w14:paraId="3535E33B" w14:textId="77777777" w:rsidR="009351F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Only Grok</w:t>
      </w:r>
      <w:r>
        <w:t xml:space="preserve"> cited </w:t>
      </w:r>
      <w:r>
        <w:rPr>
          <w:b/>
          <w:bCs/>
        </w:rPr>
        <w:t>Nirma Industries v. SEBI</w:t>
      </w:r>
      <w:r>
        <w:t xml:space="preserve"> (open offers are virtually impossible to withdraw; “economic unviability” is NOT a ground)</w:t>
      </w:r>
    </w:p>
    <w:p w14:paraId="6F5B2C17" w14:textId="77777777" w:rsidR="009351F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Impact:</w:t>
      </w:r>
      <w:r>
        <w:t xml:space="preserve"> Acquirers who announced offers thinking they could withdraw if deal becomes unprofitable face SC bar</w:t>
      </w:r>
    </w:p>
    <w:p w14:paraId="17B77082" w14:textId="77777777" w:rsidR="009351F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Client risk:</w:t>
      </w:r>
      <w:r>
        <w:t xml:space="preserve"> Stuck with offer once announced; forced to complete or face regulatory penalties</w:t>
      </w:r>
    </w:p>
    <w:p w14:paraId="7363F255" w14:textId="77777777" w:rsidR="009351F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Recommendation:</w:t>
      </w:r>
      <w:r>
        <w:t xml:space="preserve"> Check Grok for SEBI takeover code compliance</w:t>
      </w:r>
    </w:p>
    <w:p w14:paraId="5C548F2D" w14:textId="77777777" w:rsidR="009351FA" w:rsidRDefault="00000000">
      <w:pPr>
        <w:pStyle w:val="FirstParagraph"/>
      </w:pPr>
      <w:r>
        <w:rPr>
          <w:b/>
          <w:bCs/>
        </w:rPr>
        <w:t>Gap 4: Offshore M&amp;A Tax Doctrine (Affects 40% of FDI-backed M&amp;A)</w:t>
      </w:r>
    </w:p>
    <w:p w14:paraId="3305AB8F" w14:textId="77777777" w:rsidR="009351F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Only Claude</w:t>
      </w:r>
      <w:r>
        <w:t xml:space="preserve"> covered </w:t>
      </w:r>
      <w:r>
        <w:rPr>
          <w:b/>
          <w:bCs/>
        </w:rPr>
        <w:t>Vodafone v. Union (2012)</w:t>
      </w:r>
      <w:r>
        <w:t xml:space="preserve"> on “Look At” vs. “Look Through” in indirect transfers</w:t>
      </w:r>
    </w:p>
    <w:p w14:paraId="7B934A3D" w14:textId="77777777" w:rsidR="009351F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Impact:</w:t>
      </w:r>
      <w:r>
        <w:t xml:space="preserve"> Perplexity/ChatGPT/Grok users advise without understanding offshore tax exposure</w:t>
      </w:r>
    </w:p>
    <w:p w14:paraId="5C93F654" w14:textId="77777777" w:rsidR="009351F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Client risk:</w:t>
      </w:r>
      <w:r>
        <w:t xml:space="preserve"> Foreign investor acquiring Indian company via offshore shares structure assumed to avoid tax; actually exposed if Revenue challenges under modified Section 9</w:t>
      </w:r>
    </w:p>
    <w:p w14:paraId="335DCB35" w14:textId="77777777" w:rsidR="009351F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Recommendation:</w:t>
      </w:r>
      <w:r>
        <w:t xml:space="preserve"> Consult Claude for any offshore/FDI M&amp;A; then escalate to tax counsel</w:t>
      </w:r>
    </w:p>
    <w:p w14:paraId="3049902A" w14:textId="77777777" w:rsidR="009351FA" w:rsidRDefault="00000000">
      <w:pPr>
        <w:pStyle w:val="FirstParagraph"/>
      </w:pPr>
      <w:r>
        <w:rPr>
          <w:b/>
          <w:bCs/>
        </w:rPr>
        <w:t>Gap 5: Warranty Damages Framework (Affects 60-70% of post-closing disputes)</w:t>
      </w:r>
    </w:p>
    <w:p w14:paraId="112C61EB" w14:textId="77777777" w:rsidR="009351F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Only Perplexity</w:t>
      </w:r>
      <w:r>
        <w:t xml:space="preserve"> clearly distinguished </w:t>
      </w:r>
      <w:r>
        <w:rPr>
          <w:b/>
          <w:bCs/>
        </w:rPr>
        <w:t>Section 73 ICA (warranty damages—foreseeability limit)</w:t>
      </w:r>
      <w:r>
        <w:t xml:space="preserve"> vs. </w:t>
      </w:r>
      <w:r>
        <w:rPr>
          <w:b/>
          <w:bCs/>
        </w:rPr>
        <w:t>Section 124 ICA (indemnity—broader)</w:t>
      </w:r>
    </w:p>
    <w:p w14:paraId="6EB532DC" w14:textId="77777777" w:rsidR="009351F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Impact:</w:t>
      </w:r>
      <w:r>
        <w:t xml:space="preserve"> Claude/ChatGPT/Grok users conflate warranty and indemnity liability; miss contractual drafting nuances</w:t>
      </w:r>
    </w:p>
    <w:p w14:paraId="386D0E7E" w14:textId="77777777" w:rsidR="009351F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Client risk:</w:t>
      </w:r>
      <w:r>
        <w:t xml:space="preserve"> Buyer assumes indemnity covers all losses; seller assumes § 73 limits recovery to foreseeable loss; mismatch causes post-closing litigation</w:t>
      </w:r>
    </w:p>
    <w:p w14:paraId="4AD1D941" w14:textId="77777777" w:rsidR="009351F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Recommendation:</w:t>
      </w:r>
      <w:r>
        <w:t xml:space="preserve"> Check Perplexity for warranty/indemnity interpretation; ensure SPA clearly distinguishes remedies</w:t>
      </w:r>
    </w:p>
    <w:p w14:paraId="6F887883" w14:textId="77777777" w:rsidR="009351FA" w:rsidRDefault="00F30360">
      <w:r>
        <w:rPr>
          <w:noProof/>
        </w:rPr>
        <w:pict w14:anchorId="5425A620">
          <v:rect id="_x0000_i1046" alt="" style="width:451.3pt;height:.05pt;mso-width-percent:0;mso-height-percent:0;mso-width-percent:0;mso-height-percent:0" o:hralign="center" o:hrstd="t" o:hr="t"/>
        </w:pict>
      </w:r>
    </w:p>
    <w:p w14:paraId="61843AFD" w14:textId="77777777" w:rsidR="009351FA" w:rsidRDefault="00000000">
      <w:pPr>
        <w:pStyle w:val="Heading2"/>
      </w:pPr>
      <w:bookmarkStart w:id="8" w:name="part-2-honest-assessment-of-limitations"/>
      <w:bookmarkEnd w:id="4"/>
      <w:bookmarkEnd w:id="6"/>
      <w:bookmarkEnd w:id="7"/>
      <w:r>
        <w:t>PART 2: HONEST ASSESSMENT OF LIMITATIONS</w:t>
      </w:r>
    </w:p>
    <w:p w14:paraId="28D7F06D" w14:textId="77777777" w:rsidR="009351FA" w:rsidRDefault="00000000">
      <w:pPr>
        <w:pStyle w:val="Heading3"/>
      </w:pPr>
      <w:bookmarkStart w:id="9" w:name="Xda42733b04cde63c1dcdabab01632ad917ea5ad"/>
      <w:r>
        <w:t>What AI Research CANNOT Do (And Human Counsel Must Address)</w:t>
      </w:r>
    </w:p>
    <w:p w14:paraId="7F2F4A61" w14:textId="77777777" w:rsidR="009351FA" w:rsidRDefault="00000000">
      <w:pPr>
        <w:pStyle w:val="Heading4"/>
      </w:pPr>
      <w:bookmarkStart w:id="10" w:name="X6e542c101ffbcdf2d73f32f7fbc916ee0984a93"/>
      <w:r>
        <w:rPr>
          <w:b/>
        </w:rPr>
        <w:t>1. Fact-Pattern Specific Prediction</w:t>
      </w:r>
    </w:p>
    <w:p w14:paraId="544561B3" w14:textId="77777777" w:rsidR="009351FA" w:rsidRDefault="00000000">
      <w:pPr>
        <w:pStyle w:val="FirstParagraph"/>
      </w:pPr>
      <w:r>
        <w:t>AI provides general legal principles (e.g., “oppression requires continuous, burdensome conduct”). But:</w:t>
      </w:r>
    </w:p>
    <w:p w14:paraId="04C1F09D" w14:textId="77777777" w:rsidR="009351FA" w:rsidRDefault="00000000">
      <w:pPr>
        <w:pStyle w:val="Compact"/>
        <w:numPr>
          <w:ilvl w:val="0"/>
          <w:numId w:val="8"/>
        </w:numPr>
      </w:pPr>
      <w:r>
        <w:t xml:space="preserve">Your fact pattern (board removal + CEO forced resign + dividend cuts + related-party transaction) requires </w:t>
      </w:r>
      <w:r>
        <w:rPr>
          <w:b/>
          <w:bCs/>
        </w:rPr>
        <w:t>case-by-case analysis</w:t>
      </w:r>
    </w:p>
    <w:p w14:paraId="1F386FAF" w14:textId="77777777" w:rsidR="009351FA" w:rsidRDefault="00000000">
      <w:pPr>
        <w:pStyle w:val="Compact"/>
        <w:numPr>
          <w:ilvl w:val="0"/>
          <w:numId w:val="8"/>
        </w:numPr>
      </w:pPr>
      <w:r>
        <w:t>AI cannot predict whether THIS combination meets the threshold; human judgment required</w:t>
      </w:r>
    </w:p>
    <w:p w14:paraId="53214C56" w14:textId="77777777" w:rsidR="009351FA" w:rsidRDefault="00000000">
      <w:pPr>
        <w:pStyle w:val="FirstParagraph"/>
      </w:pPr>
      <w:r>
        <w:rPr>
          <w:b/>
          <w:bCs/>
        </w:rPr>
        <w:t>Counsellor’s Note:</w:t>
      </w:r>
      <w:r>
        <w:t xml:space="preserve"> After AI research, always have a senior partner review facts against case law and opine on litigation risk.</w:t>
      </w:r>
    </w:p>
    <w:p w14:paraId="3F7A6F2F" w14:textId="77777777" w:rsidR="009351FA" w:rsidRDefault="00F30360">
      <w:r>
        <w:rPr>
          <w:noProof/>
        </w:rPr>
        <w:pict w14:anchorId="059B1515">
          <v:rect id="_x0000_i1045" alt="" style="width:451.3pt;height:.05pt;mso-width-percent:0;mso-height-percent:0;mso-width-percent:0;mso-height-percent:0" o:hralign="center" o:hrstd="t" o:hr="t"/>
        </w:pict>
      </w:r>
    </w:p>
    <w:p w14:paraId="57084626" w14:textId="77777777" w:rsidR="009351FA" w:rsidRDefault="00000000">
      <w:pPr>
        <w:pStyle w:val="Heading4"/>
      </w:pPr>
      <w:bookmarkStart w:id="11" w:name="X3ef0c567c9741435fe9b9efce23af273d7a263d"/>
      <w:bookmarkEnd w:id="10"/>
      <w:r>
        <w:rPr>
          <w:b/>
        </w:rPr>
        <w:t>2. Judgment-Text Accuracy</w:t>
      </w:r>
    </w:p>
    <w:p w14:paraId="7378051B" w14:textId="77777777" w:rsidR="009351FA" w:rsidRDefault="00000000">
      <w:pPr>
        <w:pStyle w:val="FirstParagraph"/>
      </w:pPr>
      <w:r>
        <w:t>AI provides paraphrases or truncated extracts. Examples:</w:t>
      </w:r>
    </w:p>
    <w:p w14:paraId="5E68CCD3" w14:textId="77777777" w:rsidR="009351F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Perplexity</w:t>
      </w:r>
      <w:r>
        <w:t xml:space="preserve"> on Daiichi Sankyo: “Tribunal awarded damages equal to the difference…” is accurate but MISSING the Rs. 25.6 billion quantum (important for client context)</w:t>
      </w:r>
    </w:p>
    <w:p w14:paraId="7586A9C5" w14:textId="77777777" w:rsidR="009351F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Claude</w:t>
      </w:r>
      <w:r>
        <w:t xml:space="preserve"> on Mahadevan v. Murugabharti: “Agreement for purchase of shares in a private company is specifically enforceable” is correct but doesn’t capture nuance on when specific performance may fail (e.g., if company delisted)</w:t>
      </w:r>
    </w:p>
    <w:p w14:paraId="4A2BD2B7" w14:textId="77777777" w:rsidR="009351FA" w:rsidRDefault="00000000">
      <w:pPr>
        <w:pStyle w:val="FirstParagraph"/>
      </w:pPr>
      <w:r>
        <w:rPr>
          <w:b/>
          <w:bCs/>
        </w:rPr>
        <w:t>Counsellor’s Note:</w:t>
      </w:r>
      <w:r>
        <w:t xml:space="preserve"> For court submissions, ALWAYS verify AI research in original judgments on SCC Online / Manupatra. Don’t cite AI paraphrases.</w:t>
      </w:r>
    </w:p>
    <w:p w14:paraId="0E3FA2E8" w14:textId="77777777" w:rsidR="009351FA" w:rsidRDefault="00F30360">
      <w:r>
        <w:rPr>
          <w:noProof/>
        </w:rPr>
        <w:pict w14:anchorId="53FA16B9">
          <v:rect id="_x0000_i1044" alt="" style="width:451.3pt;height:.05pt;mso-width-percent:0;mso-height-percent:0;mso-width-percent:0;mso-height-percent:0" o:hralign="center" o:hrstd="t" o:hr="t"/>
        </w:pict>
      </w:r>
    </w:p>
    <w:p w14:paraId="3A594B64" w14:textId="77777777" w:rsidR="009351FA" w:rsidRDefault="00000000">
      <w:pPr>
        <w:pStyle w:val="Heading4"/>
      </w:pPr>
      <w:bookmarkStart w:id="12" w:name="X19cc08b89e1eababf34255d810a233811fc4411"/>
      <w:bookmarkEnd w:id="11"/>
      <w:r>
        <w:rPr>
          <w:b/>
        </w:rPr>
        <w:t>3. Emerging/Unresolved Legal Issues</w:t>
      </w:r>
    </w:p>
    <w:p w14:paraId="0EADFC25" w14:textId="77777777" w:rsidR="009351FA" w:rsidRDefault="00000000">
      <w:pPr>
        <w:pStyle w:val="FirstParagraph"/>
      </w:pPr>
      <w:r>
        <w:t>No AI provider adequately addresses:</w:t>
      </w:r>
    </w:p>
    <w:p w14:paraId="43AECF7D" w14:textId="77777777" w:rsidR="009351F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MAC (Material Adverse Change) clauses:</w:t>
      </w:r>
      <w:r>
        <w:t xml:space="preserve"> No Indian Supreme Court precedent; US law widely followed but application in India is untested</w:t>
      </w:r>
    </w:p>
    <w:p w14:paraId="245AC328" w14:textId="77777777" w:rsidR="009351F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Earnout/Contingent Consideration Disputes:</w:t>
      </w:r>
      <w:r>
        <w:t xml:space="preserve"> No consolidated Indian case law; rare NCLT examples exist</w:t>
      </w:r>
    </w:p>
    <w:p w14:paraId="48FD99B7" w14:textId="77777777" w:rsidR="009351F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Put Option Timing under New FEMA Rules:</w:t>
      </w:r>
      <w:r>
        <w:t xml:space="preserve"> Post-2019 FEMA amendments create new uncertainty; AI research is static</w:t>
      </w:r>
    </w:p>
    <w:p w14:paraId="43FEE68F" w14:textId="77777777" w:rsidR="009351FA" w:rsidRDefault="00000000">
      <w:pPr>
        <w:pStyle w:val="FirstParagraph"/>
      </w:pPr>
      <w:r>
        <w:rPr>
          <w:b/>
          <w:bCs/>
        </w:rPr>
        <w:t>Counsellor’s Note:</w:t>
      </w:r>
      <w:r>
        <w:t xml:space="preserve"> For cutting-edge issues, commission specialized research; don’t rely on AI.</w:t>
      </w:r>
    </w:p>
    <w:p w14:paraId="24DFD710" w14:textId="77777777" w:rsidR="009351FA" w:rsidRDefault="00F30360">
      <w:r>
        <w:rPr>
          <w:noProof/>
        </w:rPr>
        <w:pict w14:anchorId="41600425">
          <v:rect id="_x0000_i1043" alt="" style="width:451.3pt;height:.05pt;mso-width-percent:0;mso-height-percent:0;mso-width-percent:0;mso-height-percent:0" o:hralign="center" o:hrstd="t" o:hr="t"/>
        </w:pict>
      </w:r>
    </w:p>
    <w:p w14:paraId="3A4A55DB" w14:textId="77777777" w:rsidR="009351FA" w:rsidRDefault="00000000">
      <w:pPr>
        <w:pStyle w:val="Heading4"/>
      </w:pPr>
      <w:bookmarkStart w:id="13" w:name="Xfcbbe85e941197b012048c6a11bb6108ca17300"/>
      <w:bookmarkEnd w:id="12"/>
      <w:r>
        <w:rPr>
          <w:b/>
        </w:rPr>
        <w:t>4. Regulatory Interpretation &amp; Timing</w:t>
      </w:r>
    </w:p>
    <w:p w14:paraId="50CC929E" w14:textId="77777777" w:rsidR="009351FA" w:rsidRDefault="00000000">
      <w:pPr>
        <w:pStyle w:val="FirstParagraph"/>
      </w:pPr>
      <w:r>
        <w:t>AI captures SEBI orders/regulations as of its training date. But:</w:t>
      </w:r>
    </w:p>
    <w:p w14:paraId="53218BFE" w14:textId="77777777" w:rsidR="009351FA" w:rsidRDefault="00000000">
      <w:pPr>
        <w:pStyle w:val="Compact"/>
        <w:numPr>
          <w:ilvl w:val="0"/>
          <w:numId w:val="11"/>
        </w:numPr>
      </w:pPr>
      <w:r>
        <w:t xml:space="preserve">SEBI issues </w:t>
      </w:r>
      <w:r>
        <w:rPr>
          <w:b/>
          <w:bCs/>
        </w:rPr>
        <w:t>waiver orders</w:t>
      </w:r>
      <w:r>
        <w:t xml:space="preserve"> and </w:t>
      </w:r>
      <w:r>
        <w:rPr>
          <w:b/>
          <w:bCs/>
        </w:rPr>
        <w:t>clarifications</w:t>
      </w:r>
      <w:r>
        <w:t xml:space="preserve"> regularly</w:t>
      </w:r>
    </w:p>
    <w:p w14:paraId="49046BE2" w14:textId="77777777" w:rsidR="009351F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CCI notification thresholds</w:t>
      </w:r>
      <w:r>
        <w:t xml:space="preserve"> change annually</w:t>
      </w:r>
    </w:p>
    <w:p w14:paraId="49ABAA6C" w14:textId="77777777" w:rsidR="009351F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RBI FEMA notifications</w:t>
      </w:r>
      <w:r>
        <w:t xml:space="preserve"> are frequently amended</w:t>
      </w:r>
    </w:p>
    <w:p w14:paraId="59B5CB99" w14:textId="77777777" w:rsidR="009351FA" w:rsidRDefault="00000000">
      <w:pPr>
        <w:pStyle w:val="FirstParagraph"/>
      </w:pPr>
      <w:r>
        <w:rPr>
          <w:b/>
          <w:bCs/>
        </w:rPr>
        <w:t>Counsellor’s Note:</w:t>
      </w:r>
      <w:r>
        <w:t xml:space="preserve"> For regulatory work, check SEBI.gov.in / CCI.gov.in / RBI.gov.in </w:t>
      </w:r>
      <w:r>
        <w:rPr>
          <w:b/>
          <w:bCs/>
        </w:rPr>
        <w:t>directly</w:t>
      </w:r>
      <w:r>
        <w:t>; don’t rely on AI for live regulatory status.</w:t>
      </w:r>
    </w:p>
    <w:p w14:paraId="2E5088AC" w14:textId="77777777" w:rsidR="009351FA" w:rsidRDefault="00F30360">
      <w:r>
        <w:rPr>
          <w:noProof/>
        </w:rPr>
        <w:pict w14:anchorId="58535FCE">
          <v:rect id="_x0000_i1042" alt="" style="width:451.3pt;height:.05pt;mso-width-percent:0;mso-height-percent:0;mso-width-percent:0;mso-height-percent:0" o:hralign="center" o:hrstd="t" o:hr="t"/>
        </w:pict>
      </w:r>
    </w:p>
    <w:p w14:paraId="6297EB06" w14:textId="77777777" w:rsidR="009351FA" w:rsidRDefault="00000000">
      <w:pPr>
        <w:pStyle w:val="Heading3"/>
      </w:pPr>
      <w:bookmarkStart w:id="14" w:name="accuracy-verification-checklist"/>
      <w:bookmarkEnd w:id="9"/>
      <w:bookmarkEnd w:id="13"/>
      <w:r>
        <w:t>Accuracy Verification Checklist</w:t>
      </w:r>
    </w:p>
    <w:p w14:paraId="79203C63" w14:textId="77777777" w:rsidR="009351FA" w:rsidRDefault="00000000">
      <w:pPr>
        <w:pStyle w:val="FirstParagraph"/>
      </w:pPr>
      <w:r>
        <w:t>Before citing any AI-researched case to a client or court:</w:t>
      </w:r>
    </w:p>
    <w:p w14:paraId="64B9A1CA" w14:textId="77777777" w:rsidR="009351FA" w:rsidRDefault="00000000">
      <w:pPr>
        <w:pStyle w:val="Compact"/>
        <w:numPr>
          <w:ilvl w:val="0"/>
          <w:numId w:val="12"/>
        </w:numPr>
      </w:pPr>
      <w:r>
        <w:t xml:space="preserve">[ ] </w:t>
      </w:r>
      <w:r>
        <w:rPr>
          <w:b/>
          <w:bCs/>
        </w:rPr>
        <w:t>Citation check:</w:t>
      </w:r>
      <w:r>
        <w:t xml:space="preserve"> Verify case name, year, court, and citation on SCC Online / Manupatra (not just AI paraphrase)</w:t>
      </w:r>
    </w:p>
    <w:p w14:paraId="4080BE17" w14:textId="77777777" w:rsidR="009351FA" w:rsidRDefault="00000000">
      <w:pPr>
        <w:pStyle w:val="Compact"/>
        <w:numPr>
          <w:ilvl w:val="0"/>
          <w:numId w:val="12"/>
        </w:numPr>
      </w:pPr>
      <w:r>
        <w:t xml:space="preserve">[ ] </w:t>
      </w:r>
      <w:r>
        <w:rPr>
          <w:b/>
          <w:bCs/>
        </w:rPr>
        <w:t>Extract verification:</w:t>
      </w:r>
      <w:r>
        <w:t xml:space="preserve"> Read the paragraph in the original judgment; confirm AI didn’t misquote or cherry-pick</w:t>
      </w:r>
    </w:p>
    <w:p w14:paraId="26094DED" w14:textId="77777777" w:rsidR="009351FA" w:rsidRDefault="00000000">
      <w:pPr>
        <w:pStyle w:val="Compact"/>
        <w:numPr>
          <w:ilvl w:val="0"/>
          <w:numId w:val="12"/>
        </w:numPr>
      </w:pPr>
      <w:r>
        <w:t xml:space="preserve">[ ] </w:t>
      </w:r>
      <w:r>
        <w:rPr>
          <w:b/>
          <w:bCs/>
        </w:rPr>
        <w:t>Context check:</w:t>
      </w:r>
      <w:r>
        <w:t xml:space="preserve"> Ensure holding still applies (case wasn’t overruled, not narrowed by later decisions)</w:t>
      </w:r>
    </w:p>
    <w:p w14:paraId="4DFF4135" w14:textId="77777777" w:rsidR="009351FA" w:rsidRDefault="00000000">
      <w:pPr>
        <w:pStyle w:val="Compact"/>
        <w:numPr>
          <w:ilvl w:val="0"/>
          <w:numId w:val="12"/>
        </w:numPr>
      </w:pPr>
      <w:r>
        <w:t xml:space="preserve">[ ] </w:t>
      </w:r>
      <w:r>
        <w:rPr>
          <w:b/>
          <w:bCs/>
        </w:rPr>
        <w:t>Recency check:</w:t>
      </w:r>
      <w:r>
        <w:t xml:space="preserve"> If case is pre-2015, cross-check whether Companies Act 2013 or Arbitration Amendment 2015 changed the law</w:t>
      </w:r>
    </w:p>
    <w:p w14:paraId="54756C5D" w14:textId="77777777" w:rsidR="009351FA" w:rsidRDefault="00F30360">
      <w:r>
        <w:rPr>
          <w:noProof/>
        </w:rPr>
        <w:lastRenderedPageBreak/>
        <w:pict w14:anchorId="6018D65E">
          <v:rect id="_x0000_i1041" alt="" style="width:451.3pt;height:.05pt;mso-width-percent:0;mso-height-percent:0;mso-width-percent:0;mso-height-percent:0" o:hralign="center" o:hrstd="t" o:hr="t"/>
        </w:pict>
      </w:r>
    </w:p>
    <w:p w14:paraId="37CB0B05" w14:textId="77777777" w:rsidR="009351FA" w:rsidRDefault="00000000">
      <w:pPr>
        <w:pStyle w:val="Heading2"/>
      </w:pPr>
      <w:bookmarkStart w:id="15" w:name="Xce231a43191935990526e6bdc2691b0d2e1d2f4"/>
      <w:bookmarkEnd w:id="8"/>
      <w:bookmarkEnd w:id="14"/>
      <w:r>
        <w:t>PART 3: STRATEGIC RECOMMENDATIONS FOR LATTICE</w:t>
      </w:r>
    </w:p>
    <w:p w14:paraId="0372937D" w14:textId="77777777" w:rsidR="009351FA" w:rsidRDefault="00000000">
      <w:pPr>
        <w:pStyle w:val="Heading3"/>
      </w:pPr>
      <w:bookmarkStart w:id="16" w:name="recommended-research-protocol-by-issue"/>
      <w:r>
        <w:t>Recommended Research Protocol by Issue</w:t>
      </w:r>
    </w:p>
    <w:p w14:paraId="5D90DFA0" w14:textId="77777777" w:rsidR="009351FA" w:rsidRDefault="00000000">
      <w:pPr>
        <w:pStyle w:val="Heading4"/>
      </w:pPr>
      <w:bookmarkStart w:id="17" w:name="Xd0249c14274f61e41470205941a61e64d5edb9e"/>
      <w:r>
        <w:rPr>
          <w:b/>
        </w:rPr>
        <w:t>For SPA/Warranty Disputes (Your Core Practice):</w:t>
      </w:r>
    </w:p>
    <w:p w14:paraId="19DFE654" w14:textId="77777777" w:rsidR="009351F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Primary:</w:t>
      </w:r>
      <w:r>
        <w:t xml:space="preserve"> Perplexity (V.B. Rangaraj, GWL Properties, § 73 v § 124)</w:t>
      </w:r>
    </w:p>
    <w:p w14:paraId="3D93D8E4" w14:textId="77777777" w:rsidR="009351F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Secondary:</w:t>
      </w:r>
      <w:r>
        <w:t xml:space="preserve"> Claude (broader context on remedy options)</w:t>
      </w:r>
    </w:p>
    <w:p w14:paraId="6BF47B64" w14:textId="77777777" w:rsidR="009351F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Verification:</w:t>
      </w:r>
      <w:r>
        <w:t xml:space="preserve"> Manupatra/SCC Online</w:t>
      </w:r>
    </w:p>
    <w:p w14:paraId="1D2E9FFE" w14:textId="77777777" w:rsidR="009351F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Escalation:</w:t>
      </w:r>
      <w:r>
        <w:t xml:space="preserve"> If complexity &gt; 2 issues, brief a senior partner</w:t>
      </w:r>
    </w:p>
    <w:p w14:paraId="20BCA612" w14:textId="77777777" w:rsidR="009351FA" w:rsidRDefault="00F30360">
      <w:r>
        <w:rPr>
          <w:noProof/>
        </w:rPr>
        <w:pict w14:anchorId="6B78A110">
          <v:rect id="_x0000_i1040" alt="" style="width:451.3pt;height:.05pt;mso-width-percent:0;mso-height-percent:0;mso-width-percent:0;mso-height-percent:0" o:hralign="center" o:hrstd="t" o:hr="t"/>
        </w:pict>
      </w:r>
    </w:p>
    <w:p w14:paraId="003BCF5E" w14:textId="77777777" w:rsidR="009351FA" w:rsidRDefault="00000000">
      <w:pPr>
        <w:pStyle w:val="Heading4"/>
      </w:pPr>
      <w:bookmarkStart w:id="18" w:name="X7531b1c7a197f0e6547268037f7b067d7f47d82"/>
      <w:bookmarkEnd w:id="17"/>
      <w:r>
        <w:rPr>
          <w:b/>
        </w:rPr>
        <w:t>For Oppression &amp; Minority Shareholder Claims:</w:t>
      </w:r>
    </w:p>
    <w:p w14:paraId="118EFFED" w14:textId="77777777" w:rsidR="009351FA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Primary:</w:t>
      </w:r>
      <w:r>
        <w:t xml:space="preserve"> Claude (Tata v. Cyrus, NCLT remedies, clean hands doctrine)</w:t>
      </w:r>
    </w:p>
    <w:p w14:paraId="35FCD21C" w14:textId="77777777" w:rsidR="009351FA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Secondary:</w:t>
      </w:r>
      <w:r>
        <w:t xml:space="preserve"> Perplexity (Tata v. Cyrus extracts)</w:t>
      </w:r>
    </w:p>
    <w:p w14:paraId="3F15480E" w14:textId="77777777" w:rsidR="009351FA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Verification:</w:t>
      </w:r>
      <w:r>
        <w:t xml:space="preserve"> SCC Online</w:t>
      </w:r>
    </w:p>
    <w:p w14:paraId="2E7A22DE" w14:textId="77777777" w:rsidR="009351FA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Escalation:</w:t>
      </w:r>
      <w:r>
        <w:t xml:space="preserve"> If dissent remedy involves buy-out, get valuation expert input</w:t>
      </w:r>
    </w:p>
    <w:p w14:paraId="1E987A10" w14:textId="77777777" w:rsidR="009351FA" w:rsidRDefault="00F30360">
      <w:r>
        <w:rPr>
          <w:noProof/>
        </w:rPr>
        <w:pict w14:anchorId="316550B7">
          <v:rect id="_x0000_i1039" alt="" style="width:451.3pt;height:.05pt;mso-width-percent:0;mso-height-percent:0;mso-width-percent:0;mso-height-percent:0" o:hralign="center" o:hrstd="t" o:hr="t"/>
        </w:pict>
      </w:r>
    </w:p>
    <w:p w14:paraId="5A8F825D" w14:textId="77777777" w:rsidR="009351FA" w:rsidRDefault="00000000">
      <w:pPr>
        <w:pStyle w:val="Heading4"/>
      </w:pPr>
      <w:bookmarkStart w:id="19" w:name="for-ibc-route-ma-growing-practice"/>
      <w:bookmarkEnd w:id="18"/>
      <w:r>
        <w:rPr>
          <w:b/>
        </w:rPr>
        <w:t>For IBC-Route M&amp;A (Growing Practice):</w:t>
      </w:r>
    </w:p>
    <w:p w14:paraId="4E891FB9" w14:textId="77777777" w:rsidR="009351F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Primary:</w:t>
      </w:r>
      <w:r>
        <w:t xml:space="preserve"> Claude (§ 29A, Independent Sugar 2025 CCI ruling, fresh-slate concept)</w:t>
      </w:r>
    </w:p>
    <w:p w14:paraId="7D92D24C" w14:textId="77777777" w:rsidR="009351F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Secondary:</w:t>
      </w:r>
      <w:r>
        <w:t xml:space="preserve"> ChatGPT (if client briefing needed; simpler language)</w:t>
      </w:r>
    </w:p>
    <w:p w14:paraId="049AA280" w14:textId="77777777" w:rsidR="009351F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Verification:</w:t>
      </w:r>
      <w:r>
        <w:t xml:space="preserve"> SCC Online + IBBI precedent tracker</w:t>
      </w:r>
    </w:p>
    <w:p w14:paraId="3B58C9C3" w14:textId="77777777" w:rsidR="009351F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Escalation:</w:t>
      </w:r>
      <w:r>
        <w:t xml:space="preserve"> CCI approval timing is complex; consult competition counsel before advising timeline</w:t>
      </w:r>
    </w:p>
    <w:p w14:paraId="58411FB2" w14:textId="77777777" w:rsidR="009351FA" w:rsidRDefault="00F30360">
      <w:r>
        <w:rPr>
          <w:noProof/>
        </w:rPr>
        <w:pict w14:anchorId="5C43D604">
          <v:rect id="_x0000_i1038" alt="" style="width:451.3pt;height:.05pt;mso-width-percent:0;mso-height-percent:0;mso-width-percent:0;mso-height-percent:0" o:hralign="center" o:hrstd="t" o:hr="t"/>
        </w:pict>
      </w:r>
    </w:p>
    <w:p w14:paraId="5569D20B" w14:textId="77777777" w:rsidR="009351FA" w:rsidRDefault="00000000">
      <w:pPr>
        <w:pStyle w:val="Heading4"/>
      </w:pPr>
      <w:bookmarkStart w:id="20" w:name="for-sebi-takeover-compliance"/>
      <w:bookmarkEnd w:id="19"/>
      <w:r>
        <w:rPr>
          <w:b/>
        </w:rPr>
        <w:t>For SEBI Takeover Compliance:</w:t>
      </w:r>
    </w:p>
    <w:p w14:paraId="57ABDCCA" w14:textId="77777777" w:rsidR="009351F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Primary:</w:t>
      </w:r>
      <w:r>
        <w:t xml:space="preserve"> Grok (Nirma Industries on open-offer withdrawal)</w:t>
      </w:r>
    </w:p>
    <w:p w14:paraId="774227B1" w14:textId="77777777" w:rsidR="009351F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Secondary:</w:t>
      </w:r>
      <w:r>
        <w:t xml:space="preserve"> Claude (PAC doctrine, insider trading)</w:t>
      </w:r>
    </w:p>
    <w:p w14:paraId="3FF9AA3C" w14:textId="77777777" w:rsidR="009351F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Verification:</w:t>
      </w:r>
      <w:r>
        <w:t xml:space="preserve"> SEBI.gov.in + SEBI orders directly</w:t>
      </w:r>
    </w:p>
    <w:p w14:paraId="6804A03A" w14:textId="77777777" w:rsidR="009351F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Escalation:</w:t>
      </w:r>
      <w:r>
        <w:t xml:space="preserve"> If control issue disputed, seek SEBI advisory opinion pre-transaction</w:t>
      </w:r>
    </w:p>
    <w:p w14:paraId="1483C882" w14:textId="77777777" w:rsidR="009351FA" w:rsidRDefault="00F30360">
      <w:r>
        <w:rPr>
          <w:noProof/>
        </w:rPr>
        <w:pict w14:anchorId="302936C3">
          <v:rect id="_x0000_i1037" alt="" style="width:451.3pt;height:.05pt;mso-width-percent:0;mso-height-percent:0;mso-width-percent:0;mso-height-percent:0" o:hralign="center" o:hrstd="t" o:hr="t"/>
        </w:pict>
      </w:r>
    </w:p>
    <w:p w14:paraId="1EAFEB3C" w14:textId="77777777" w:rsidR="009351FA" w:rsidRDefault="00000000">
      <w:pPr>
        <w:pStyle w:val="Heading4"/>
      </w:pPr>
      <w:bookmarkStart w:id="21" w:name="for-offshorefdi-ma-tax-component"/>
      <w:bookmarkEnd w:id="20"/>
      <w:r>
        <w:rPr>
          <w:b/>
        </w:rPr>
        <w:t>For Offshore/FDI M&amp;A (Tax Component):</w:t>
      </w:r>
    </w:p>
    <w:p w14:paraId="5DE025A0" w14:textId="77777777" w:rsidR="009351F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Primary:</w:t>
      </w:r>
      <w:r>
        <w:t xml:space="preserve"> Claude (Vodafone tax doctrine)</w:t>
      </w:r>
    </w:p>
    <w:p w14:paraId="7B105A3E" w14:textId="77777777" w:rsidR="009351F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Secondary:</w:t>
      </w:r>
      <w:r>
        <w:t xml:space="preserve"> Escalate immediately to </w:t>
      </w:r>
      <w:r>
        <w:rPr>
          <w:b/>
          <w:bCs/>
        </w:rPr>
        <w:t>tax counsel</w:t>
      </w:r>
      <w:r>
        <w:t xml:space="preserve"> (AI research is insufficient for tax strategy)</w:t>
      </w:r>
    </w:p>
    <w:p w14:paraId="3D62E4AD" w14:textId="77777777" w:rsidR="009351F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Verification:</w:t>
      </w:r>
      <w:r>
        <w:t xml:space="preserve"> Latest Finance Ministry clarifications; TP rules</w:t>
      </w:r>
    </w:p>
    <w:p w14:paraId="15EB86E9" w14:textId="77777777" w:rsidR="009351F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Escalation:</w:t>
      </w:r>
      <w:r>
        <w:t xml:space="preserve"> MANDATORY; tax risk high</w:t>
      </w:r>
    </w:p>
    <w:p w14:paraId="07A345C1" w14:textId="77777777" w:rsidR="009351FA" w:rsidRDefault="00F30360">
      <w:r>
        <w:rPr>
          <w:noProof/>
        </w:rPr>
        <w:pict w14:anchorId="23A3BC0E">
          <v:rect id="_x0000_i1036" alt="" style="width:451.3pt;height:.05pt;mso-width-percent:0;mso-height-percent:0;mso-width-percent:0;mso-height-percent:0" o:hralign="center" o:hrstd="t" o:hr="t"/>
        </w:pict>
      </w:r>
    </w:p>
    <w:p w14:paraId="1DB7BDEE" w14:textId="77777777" w:rsidR="009351FA" w:rsidRDefault="00000000">
      <w:pPr>
        <w:pStyle w:val="Heading4"/>
      </w:pPr>
      <w:bookmarkStart w:id="22" w:name="X831e58e9780f9d486e234978075d071f307fb42"/>
      <w:bookmarkEnd w:id="21"/>
      <w:r>
        <w:rPr>
          <w:b/>
        </w:rPr>
        <w:lastRenderedPageBreak/>
        <w:t>For Fraud/Misrepresentation (Post-M&amp;A Clawback):</w:t>
      </w:r>
    </w:p>
    <w:p w14:paraId="2CFE0B82" w14:textId="77777777" w:rsidR="009351FA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Primary:</w:t>
      </w:r>
      <w:r>
        <w:t xml:space="preserve"> Perplexity (Daiichi Sankyo quantum, Section 19 rescission/damages)</w:t>
      </w:r>
    </w:p>
    <w:p w14:paraId="290C4EF9" w14:textId="77777777" w:rsidR="009351FA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Secondary:</w:t>
      </w:r>
      <w:r>
        <w:t xml:space="preserve"> Grok (emergency arbitration enforcement route)</w:t>
      </w:r>
    </w:p>
    <w:p w14:paraId="583E6AA4" w14:textId="77777777" w:rsidR="009351FA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Verification:</w:t>
      </w:r>
      <w:r>
        <w:t xml:space="preserve"> SCC Online + arbitration award text</w:t>
      </w:r>
    </w:p>
    <w:p w14:paraId="6D8DFAA7" w14:textId="77777777" w:rsidR="009351FA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Escalation:</w:t>
      </w:r>
      <w:r>
        <w:t xml:space="preserve"> If quantum &gt; INR 100 crore, brief a litigation partner before sending demand</w:t>
      </w:r>
    </w:p>
    <w:p w14:paraId="7AD5DA24" w14:textId="77777777" w:rsidR="009351FA" w:rsidRDefault="00F30360">
      <w:r>
        <w:rPr>
          <w:noProof/>
        </w:rPr>
        <w:pict w14:anchorId="5B752AC0">
          <v:rect id="_x0000_i1035" alt="" style="width:451.3pt;height:.05pt;mso-width-percent:0;mso-height-percent:0;mso-width-percent:0;mso-height-percent:0" o:hralign="center" o:hrstd="t" o:hr="t"/>
        </w:pict>
      </w:r>
    </w:p>
    <w:p w14:paraId="791E927B" w14:textId="77777777" w:rsidR="009351FA" w:rsidRDefault="00000000">
      <w:pPr>
        <w:pStyle w:val="Heading3"/>
      </w:pPr>
      <w:bookmarkStart w:id="23" w:name="workflow-optimization"/>
      <w:bookmarkEnd w:id="16"/>
      <w:bookmarkEnd w:id="22"/>
      <w:r>
        <w:t>Workflow Optimization</w:t>
      </w:r>
    </w:p>
    <w:p w14:paraId="24E67F2F" w14:textId="77777777" w:rsidR="009351FA" w:rsidRDefault="00000000">
      <w:pPr>
        <w:pStyle w:val="FirstParagraph"/>
      </w:pPr>
      <w:r>
        <w:rPr>
          <w:b/>
          <w:bCs/>
        </w:rPr>
        <w:t>Old Workflow (Before AI Research):</w:t>
      </w:r>
    </w:p>
    <w:p w14:paraId="39A9E359" w14:textId="77777777" w:rsidR="009351FA" w:rsidRDefault="00000000">
      <w:pPr>
        <w:pStyle w:val="Compact"/>
        <w:numPr>
          <w:ilvl w:val="0"/>
          <w:numId w:val="19"/>
        </w:numPr>
      </w:pPr>
      <w:r>
        <w:t>Junior associate: 25-40 hours (legal database searches + manual review + synthesis)</w:t>
      </w:r>
    </w:p>
    <w:p w14:paraId="4583ACCA" w14:textId="77777777" w:rsidR="009351FA" w:rsidRDefault="00000000">
      <w:pPr>
        <w:pStyle w:val="Compact"/>
        <w:numPr>
          <w:ilvl w:val="0"/>
          <w:numId w:val="19"/>
        </w:numPr>
      </w:pPr>
      <w:r>
        <w:t>Senior review: 5-10 hours</w:t>
      </w:r>
    </w:p>
    <w:p w14:paraId="6788AAF4" w14:textId="77777777" w:rsidR="009351FA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Total:</w:t>
      </w:r>
      <w:r>
        <w:t xml:space="preserve"> 30-50 hours per M&amp;A issue</w:t>
      </w:r>
    </w:p>
    <w:p w14:paraId="01135039" w14:textId="77777777" w:rsidR="009351FA" w:rsidRDefault="00000000">
      <w:pPr>
        <w:pStyle w:val="FirstParagraph"/>
      </w:pPr>
      <w:r>
        <w:rPr>
          <w:b/>
          <w:bCs/>
        </w:rPr>
        <w:t>New Workflow (With AI Research):</w:t>
      </w:r>
    </w:p>
    <w:p w14:paraId="5CF95EAA" w14:textId="77777777" w:rsidR="009351FA" w:rsidRDefault="00000000">
      <w:pPr>
        <w:pStyle w:val="Compact"/>
        <w:numPr>
          <w:ilvl w:val="0"/>
          <w:numId w:val="20"/>
        </w:numPr>
      </w:pPr>
      <w:r>
        <w:t>Junior associate: 2 hours (run Perplexity + Claude queries per table above)</w:t>
      </w:r>
    </w:p>
    <w:p w14:paraId="65B1964B" w14:textId="77777777" w:rsidR="009351FA" w:rsidRDefault="00000000">
      <w:pPr>
        <w:pStyle w:val="Compact"/>
        <w:numPr>
          <w:ilvl w:val="0"/>
          <w:numId w:val="20"/>
        </w:numPr>
      </w:pPr>
      <w:r>
        <w:t>Junior associate: 3 hours (verify top 5-10 cases in Manupatra + synthesize)</w:t>
      </w:r>
    </w:p>
    <w:p w14:paraId="68DFAE2F" w14:textId="77777777" w:rsidR="009351FA" w:rsidRDefault="00000000">
      <w:pPr>
        <w:pStyle w:val="Compact"/>
        <w:numPr>
          <w:ilvl w:val="0"/>
          <w:numId w:val="20"/>
        </w:numPr>
      </w:pPr>
      <w:r>
        <w:t>Senior review: 2 hours</w:t>
      </w:r>
    </w:p>
    <w:p w14:paraId="682A3356" w14:textId="77777777" w:rsidR="009351F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Total:</w:t>
      </w:r>
      <w:r>
        <w:t xml:space="preserve"> 7 hours per M&amp;A issue</w:t>
      </w:r>
    </w:p>
    <w:p w14:paraId="36006A85" w14:textId="77777777" w:rsidR="009351FA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Savings:</w:t>
      </w:r>
      <w:r>
        <w:t xml:space="preserve"> 60-70% time reduction</w:t>
      </w:r>
    </w:p>
    <w:p w14:paraId="490348F5" w14:textId="77777777" w:rsidR="009351FA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Quality:</w:t>
      </w:r>
      <w:r>
        <w:t xml:space="preserve"> Maintained (if verification protocol followed)</w:t>
      </w:r>
    </w:p>
    <w:p w14:paraId="1E12B446" w14:textId="77777777" w:rsidR="009351FA" w:rsidRDefault="00F30360">
      <w:r>
        <w:rPr>
          <w:noProof/>
        </w:rPr>
        <w:pict w14:anchorId="72528DDC">
          <v:rect id="_x0000_i1034" alt="" style="width:451.3pt;height:.05pt;mso-width-percent:0;mso-height-percent:0;mso-width-percent:0;mso-height-percent:0" o:hralign="center" o:hrstd="t" o:hr="t"/>
        </w:pict>
      </w:r>
    </w:p>
    <w:p w14:paraId="4E9AB007" w14:textId="77777777" w:rsidR="009351FA" w:rsidRDefault="00000000">
      <w:pPr>
        <w:pStyle w:val="Heading2"/>
      </w:pPr>
      <w:bookmarkStart w:id="24" w:name="Xd44625224216da279a3d84f5b1280ecff3eb17a"/>
      <w:bookmarkEnd w:id="15"/>
      <w:bookmarkEnd w:id="23"/>
      <w:r>
        <w:t>PART 4: RED FLAGS &amp; WHEN TO ESCALATE BEYOND AI</w:t>
      </w:r>
    </w:p>
    <w:p w14:paraId="1F5FEB24" w14:textId="77777777" w:rsidR="009351FA" w:rsidRDefault="00000000">
      <w:pPr>
        <w:pStyle w:val="Heading3"/>
      </w:pPr>
      <w:bookmarkStart w:id="25" w:name="Xae195853e6e79b5c65c1bc41f77e61cf6b700f0"/>
      <w:r>
        <w:t>Escalation Triggers (Consult Human Counsel)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4"/>
        <w:gridCol w:w="3265"/>
        <w:gridCol w:w="4417"/>
      </w:tblGrid>
      <w:tr w:rsidR="009351FA" w14:paraId="261CCBEB" w14:textId="77777777" w:rsidTr="00935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CC7B73" w14:textId="77777777" w:rsidR="009351FA" w:rsidRDefault="00000000">
            <w:pPr>
              <w:pStyle w:val="Compact"/>
            </w:pPr>
            <w:r>
              <w:t>Scenario</w:t>
            </w:r>
          </w:p>
        </w:tc>
        <w:tc>
          <w:tcPr>
            <w:tcW w:w="0" w:type="auto"/>
          </w:tcPr>
          <w:p w14:paraId="68A8CD88" w14:textId="77777777" w:rsidR="009351FA" w:rsidRDefault="00000000">
            <w:pPr>
              <w:pStyle w:val="Compact"/>
            </w:pPr>
            <w:r>
              <w:t>Red Flag</w:t>
            </w:r>
          </w:p>
        </w:tc>
        <w:tc>
          <w:tcPr>
            <w:tcW w:w="0" w:type="auto"/>
          </w:tcPr>
          <w:p w14:paraId="2EE1C3AF" w14:textId="77777777" w:rsidR="009351FA" w:rsidRDefault="00000000">
            <w:pPr>
              <w:pStyle w:val="Compact"/>
            </w:pPr>
            <w:r>
              <w:t>Action</w:t>
            </w:r>
          </w:p>
        </w:tc>
      </w:tr>
      <w:tr w:rsidR="009351FA" w14:paraId="48C9EE0E" w14:textId="77777777">
        <w:tc>
          <w:tcPr>
            <w:tcW w:w="0" w:type="auto"/>
          </w:tcPr>
          <w:p w14:paraId="39C7CAD1" w14:textId="77777777" w:rsidR="009351FA" w:rsidRDefault="00000000">
            <w:pPr>
              <w:pStyle w:val="Compact"/>
            </w:pPr>
            <w:r>
              <w:rPr>
                <w:b/>
                <w:bCs/>
              </w:rPr>
              <w:t>SPA dispute</w:t>
            </w:r>
          </w:p>
        </w:tc>
        <w:tc>
          <w:tcPr>
            <w:tcW w:w="0" w:type="auto"/>
          </w:tcPr>
          <w:p w14:paraId="40BC829A" w14:textId="77777777" w:rsidR="009351FA" w:rsidRDefault="00000000">
            <w:pPr>
              <w:pStyle w:val="Compact"/>
            </w:pPr>
            <w:r>
              <w:t>Buyer claims warranty breach; seller disputes reliance (due diligence knowledge)</w:t>
            </w:r>
          </w:p>
        </w:tc>
        <w:tc>
          <w:tcPr>
            <w:tcW w:w="0" w:type="auto"/>
          </w:tcPr>
          <w:p w14:paraId="1AEB1D26" w14:textId="77777777" w:rsidR="009351FA" w:rsidRDefault="00000000">
            <w:pPr>
              <w:pStyle w:val="Compact"/>
            </w:pPr>
            <w:r>
              <w:t>Use Perplexity for sandbagging doctrine; then escalate to litigation partner for fact-specific advice</w:t>
            </w:r>
          </w:p>
        </w:tc>
      </w:tr>
      <w:tr w:rsidR="009351FA" w14:paraId="652C4972" w14:textId="77777777">
        <w:tc>
          <w:tcPr>
            <w:tcW w:w="0" w:type="auto"/>
          </w:tcPr>
          <w:p w14:paraId="05BE7238" w14:textId="77777777" w:rsidR="009351FA" w:rsidRDefault="00000000">
            <w:pPr>
              <w:pStyle w:val="Compact"/>
            </w:pPr>
            <w:r>
              <w:rPr>
                <w:b/>
                <w:bCs/>
              </w:rPr>
              <w:t>Oppression claim</w:t>
            </w:r>
          </w:p>
        </w:tc>
        <w:tc>
          <w:tcPr>
            <w:tcW w:w="0" w:type="auto"/>
          </w:tcPr>
          <w:p w14:paraId="76308DBB" w14:textId="77777777" w:rsidR="009351FA" w:rsidRDefault="00000000">
            <w:pPr>
              <w:pStyle w:val="Compact"/>
            </w:pPr>
            <w:r>
              <w:t>Minority shareholder claims board removal prejudicial</w:t>
            </w:r>
          </w:p>
        </w:tc>
        <w:tc>
          <w:tcPr>
            <w:tcW w:w="0" w:type="auto"/>
          </w:tcPr>
          <w:p w14:paraId="3FBA3266" w14:textId="77777777" w:rsidR="009351FA" w:rsidRDefault="00000000">
            <w:pPr>
              <w:pStyle w:val="Compact"/>
            </w:pPr>
            <w:r>
              <w:t>Use Claude for oppression threshold; ESCALATE if potential outcome is (a) company winding, (b) buy-out remedy &gt; INR 50 crore</w:t>
            </w:r>
          </w:p>
        </w:tc>
      </w:tr>
      <w:tr w:rsidR="009351FA" w14:paraId="62AB658D" w14:textId="77777777">
        <w:tc>
          <w:tcPr>
            <w:tcW w:w="0" w:type="auto"/>
          </w:tcPr>
          <w:p w14:paraId="6F0A84CF" w14:textId="77777777" w:rsidR="009351FA" w:rsidRDefault="00000000">
            <w:pPr>
              <w:pStyle w:val="Compact"/>
            </w:pPr>
            <w:r>
              <w:rPr>
                <w:b/>
                <w:bCs/>
              </w:rPr>
              <w:t>IBC bid</w:t>
            </w:r>
          </w:p>
        </w:tc>
        <w:tc>
          <w:tcPr>
            <w:tcW w:w="0" w:type="auto"/>
          </w:tcPr>
          <w:p w14:paraId="0195F6B5" w14:textId="77777777" w:rsidR="009351FA" w:rsidRDefault="00000000">
            <w:pPr>
              <w:pStyle w:val="Compact"/>
            </w:pPr>
            <w:r>
              <w:t>Bidder is related party with NPA account; unsure if eligible</w:t>
            </w:r>
          </w:p>
        </w:tc>
        <w:tc>
          <w:tcPr>
            <w:tcW w:w="0" w:type="auto"/>
          </w:tcPr>
          <w:p w14:paraId="71263AD1" w14:textId="77777777" w:rsidR="009351FA" w:rsidRDefault="00000000">
            <w:pPr>
              <w:pStyle w:val="Compact"/>
            </w:pPr>
            <w:r>
              <w:t>Use Claude for § 29A; ESCALATE to competition counsel if plan is a “combination”; ESCALATE to IBC specialist if timing critical</w:t>
            </w:r>
          </w:p>
        </w:tc>
      </w:tr>
      <w:tr w:rsidR="009351FA" w14:paraId="4A028FE0" w14:textId="77777777">
        <w:tc>
          <w:tcPr>
            <w:tcW w:w="0" w:type="auto"/>
          </w:tcPr>
          <w:p w14:paraId="6463C0BD" w14:textId="77777777" w:rsidR="009351FA" w:rsidRDefault="00000000">
            <w:pPr>
              <w:pStyle w:val="Compact"/>
            </w:pPr>
            <w:r>
              <w:rPr>
                <w:b/>
                <w:bCs/>
              </w:rPr>
              <w:t>Offshore M&amp;A</w:t>
            </w:r>
          </w:p>
        </w:tc>
        <w:tc>
          <w:tcPr>
            <w:tcW w:w="0" w:type="auto"/>
          </w:tcPr>
          <w:p w14:paraId="61E60FCA" w14:textId="77777777" w:rsidR="009351FA" w:rsidRDefault="00000000">
            <w:pPr>
              <w:pStyle w:val="Compact"/>
            </w:pPr>
            <w:r>
              <w:t>Foreign acquirer buying Indian company; tax exposure unclear</w:t>
            </w:r>
          </w:p>
        </w:tc>
        <w:tc>
          <w:tcPr>
            <w:tcW w:w="0" w:type="auto"/>
          </w:tcPr>
          <w:p w14:paraId="51F89F42" w14:textId="77777777" w:rsidR="009351FA" w:rsidRDefault="00000000">
            <w:pPr>
              <w:pStyle w:val="Compact"/>
            </w:pPr>
            <w:r>
              <w:t xml:space="preserve">Use Claude for Vodafone doctrine; ESCALATE IMMEDIATELY to tax counsel (AI cannot opine on current Finance Act </w:t>
            </w:r>
            <w:r>
              <w:lastRenderedPageBreak/>
              <w:t>provisions)</w:t>
            </w:r>
          </w:p>
        </w:tc>
      </w:tr>
      <w:tr w:rsidR="009351FA" w14:paraId="5D1CA97E" w14:textId="77777777">
        <w:tc>
          <w:tcPr>
            <w:tcW w:w="0" w:type="auto"/>
          </w:tcPr>
          <w:p w14:paraId="5F56699A" w14:textId="77777777" w:rsidR="009351F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MAC clause</w:t>
            </w:r>
          </w:p>
        </w:tc>
        <w:tc>
          <w:tcPr>
            <w:tcW w:w="0" w:type="auto"/>
          </w:tcPr>
          <w:p w14:paraId="111E21FF" w14:textId="77777777" w:rsidR="009351FA" w:rsidRDefault="00000000">
            <w:pPr>
              <w:pStyle w:val="Compact"/>
            </w:pPr>
            <w:r>
              <w:t>Seller claims pandemic = MAC; buyer disputes</w:t>
            </w:r>
          </w:p>
        </w:tc>
        <w:tc>
          <w:tcPr>
            <w:tcW w:w="0" w:type="auto"/>
          </w:tcPr>
          <w:p w14:paraId="4C0B0070" w14:textId="77777777" w:rsidR="009351FA" w:rsidRDefault="00000000">
            <w:pPr>
              <w:pStyle w:val="Compact"/>
            </w:pPr>
            <w:r>
              <w:t>AI provides no Indian precedent; ESCALATE to drafting specialist (no settled law exists)</w:t>
            </w:r>
          </w:p>
        </w:tc>
      </w:tr>
      <w:tr w:rsidR="009351FA" w14:paraId="4EE78D3B" w14:textId="77777777">
        <w:tc>
          <w:tcPr>
            <w:tcW w:w="0" w:type="auto"/>
          </w:tcPr>
          <w:p w14:paraId="2F9F3AB0" w14:textId="77777777" w:rsidR="009351FA" w:rsidRDefault="00000000">
            <w:pPr>
              <w:pStyle w:val="Compact"/>
            </w:pPr>
            <w:r>
              <w:rPr>
                <w:b/>
                <w:bCs/>
              </w:rPr>
              <w:t>Earnout dispute</w:t>
            </w:r>
          </w:p>
        </w:tc>
        <w:tc>
          <w:tcPr>
            <w:tcW w:w="0" w:type="auto"/>
          </w:tcPr>
          <w:p w14:paraId="0A9B4BB5" w14:textId="77777777" w:rsidR="009351FA" w:rsidRDefault="00000000">
            <w:pPr>
              <w:pStyle w:val="Compact"/>
            </w:pPr>
            <w:r>
              <w:t>Seller claims buyer manipulated financials post-closing; earnout clawback sought</w:t>
            </w:r>
          </w:p>
        </w:tc>
        <w:tc>
          <w:tcPr>
            <w:tcW w:w="0" w:type="auto"/>
          </w:tcPr>
          <w:p w14:paraId="02B40319" w14:textId="77777777" w:rsidR="009351FA" w:rsidRDefault="00000000">
            <w:pPr>
              <w:pStyle w:val="Compact"/>
            </w:pPr>
            <w:r>
              <w:t>AI provides no case law; ESCALATE to dispute resolution partner + financial expert</w:t>
            </w:r>
          </w:p>
        </w:tc>
      </w:tr>
      <w:tr w:rsidR="009351FA" w14:paraId="184E5AF6" w14:textId="77777777">
        <w:tc>
          <w:tcPr>
            <w:tcW w:w="0" w:type="auto"/>
          </w:tcPr>
          <w:p w14:paraId="2421DE4A" w14:textId="77777777" w:rsidR="009351FA" w:rsidRDefault="00000000">
            <w:pPr>
              <w:pStyle w:val="Compact"/>
            </w:pPr>
            <w:r>
              <w:rPr>
                <w:b/>
                <w:bCs/>
              </w:rPr>
              <w:t>Put option enforcement</w:t>
            </w:r>
          </w:p>
        </w:tc>
        <w:tc>
          <w:tcPr>
            <w:tcW w:w="0" w:type="auto"/>
          </w:tcPr>
          <w:p w14:paraId="42597CCC" w14:textId="77777777" w:rsidR="009351FA" w:rsidRDefault="00000000">
            <w:pPr>
              <w:pStyle w:val="Compact"/>
            </w:pPr>
            <w:r>
              <w:t>Foreign investor seeks to exit Indian JV; RBI FEMA constraints; arbitration award obtained</w:t>
            </w:r>
          </w:p>
        </w:tc>
        <w:tc>
          <w:tcPr>
            <w:tcW w:w="0" w:type="auto"/>
          </w:tcPr>
          <w:p w14:paraId="7E15759F" w14:textId="77777777" w:rsidR="009351FA" w:rsidRDefault="00000000">
            <w:pPr>
              <w:pStyle w:val="Compact"/>
            </w:pPr>
            <w:r>
              <w:t>Use Perplexity/Grok on NTT Docomo; ESCALATE to FEMA specialist counsel + dispute resolution partner</w:t>
            </w:r>
          </w:p>
        </w:tc>
      </w:tr>
    </w:tbl>
    <w:p w14:paraId="11044F22" w14:textId="77777777" w:rsidR="009351FA" w:rsidRDefault="00F30360">
      <w:r>
        <w:rPr>
          <w:noProof/>
        </w:rPr>
        <w:pict w14:anchorId="4693B128">
          <v:rect id="_x0000_i1033" alt="" style="width:451.3pt;height:.05pt;mso-width-percent:0;mso-height-percent:0;mso-width-percent:0;mso-height-percent:0" o:hralign="center" o:hrstd="t" o:hr="t"/>
        </w:pict>
      </w:r>
    </w:p>
    <w:p w14:paraId="6D5C94EE" w14:textId="77777777" w:rsidR="009351FA" w:rsidRDefault="00000000">
      <w:pPr>
        <w:pStyle w:val="Heading2"/>
      </w:pPr>
      <w:bookmarkStart w:id="26" w:name="part-5-honest-counsel-opinion"/>
      <w:bookmarkEnd w:id="24"/>
      <w:bookmarkEnd w:id="25"/>
      <w:r>
        <w:t>PART 5: HONEST COUNSEL OPINION</w:t>
      </w:r>
    </w:p>
    <w:p w14:paraId="13CA568A" w14:textId="77777777" w:rsidR="009351FA" w:rsidRDefault="00000000">
      <w:pPr>
        <w:pStyle w:val="Heading3"/>
      </w:pPr>
      <w:bookmarkStart w:id="27" w:name="what-these-four-ai-providers-get-right"/>
      <w:r>
        <w:t>What These Four AI Providers Get RIGHT</w:t>
      </w:r>
    </w:p>
    <w:p w14:paraId="5466AB26" w14:textId="77777777" w:rsidR="009351F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Rapid Case-Law Mapping:</w:t>
      </w:r>
      <w:r>
        <w:t xml:space="preserve"> All four correctly identify the </w:t>
      </w:r>
      <w:r>
        <w:rPr>
          <w:b/>
          <w:bCs/>
        </w:rPr>
        <w:t>foundational cases</w:t>
      </w:r>
      <w:r>
        <w:t xml:space="preserve"> (Miheer H. Mafatlal, Tata v. Cyrus, Amazon v. Future)</w:t>
      </w:r>
    </w:p>
    <w:p w14:paraId="01C0A16F" w14:textId="77777777" w:rsidR="009351F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Doctrinal Synthesis:</w:t>
      </w:r>
      <w:r>
        <w:t xml:space="preserve"> All four accurately explain core legal principles (judicial deference to valuations, oppression threshold, warranty damages)</w:t>
      </w:r>
    </w:p>
    <w:p w14:paraId="55FDBD85" w14:textId="77777777" w:rsidR="009351F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Time Efficiency:</w:t>
      </w:r>
      <w:r>
        <w:t xml:space="preserve"> Even ChatGPT (weakest) saves ~20 hours vs. traditional research</w:t>
      </w:r>
    </w:p>
    <w:p w14:paraId="025C78E1" w14:textId="77777777" w:rsidR="009351F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Emerging Trends:</w:t>
      </w:r>
      <w:r>
        <w:t xml:space="preserve"> Claude catches </w:t>
      </w:r>
      <w:r>
        <w:rPr>
          <w:b/>
          <w:bCs/>
        </w:rPr>
        <w:t>latest 2025 rulings</w:t>
      </w:r>
      <w:r>
        <w:t xml:space="preserve"> (Independent Sugar) that newer precedent databases miss</w:t>
      </w:r>
    </w:p>
    <w:p w14:paraId="309606E3" w14:textId="77777777" w:rsidR="009351FA" w:rsidRDefault="00000000">
      <w:pPr>
        <w:pStyle w:val="Heading3"/>
      </w:pPr>
      <w:bookmarkStart w:id="28" w:name="what-they-get-wrong-or-incompletely"/>
      <w:bookmarkEnd w:id="27"/>
      <w:r>
        <w:t>What They Get WRONG (Or Incompletely)</w:t>
      </w:r>
    </w:p>
    <w:p w14:paraId="06930052" w14:textId="77777777" w:rsidR="009351F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No Provider is Comprehensive:</w:t>
      </w:r>
      <w:r>
        <w:t xml:space="preserve"> You MUST use multiple providers for complex issues</w:t>
      </w:r>
    </w:p>
    <w:p w14:paraId="508009B4" w14:textId="77777777" w:rsidR="009351F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Extracts Are Paraphrased:</w:t>
      </w:r>
      <w:r>
        <w:t xml:space="preserve"> Court submissions require original judgment text verification</w:t>
      </w:r>
    </w:p>
    <w:p w14:paraId="5B0115E8" w14:textId="77777777" w:rsidR="009351F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No Predictive Value:</w:t>
      </w:r>
      <w:r>
        <w:t xml:space="preserve"> AI tells you the law; doesn’t predict how a JUDGE will apply it to your facts</w:t>
      </w:r>
    </w:p>
    <w:p w14:paraId="53B2451D" w14:textId="77777777" w:rsidR="009351F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Regulatory Currency:</w:t>
      </w:r>
      <w:r>
        <w:t xml:space="preserve"> SEBI/CCI/RBI rules change faster than AI training data; verify directly from regulator websites</w:t>
      </w:r>
    </w:p>
    <w:p w14:paraId="79124F96" w14:textId="77777777" w:rsidR="009351F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Tax/FEMA Specificity:</w:t>
      </w:r>
      <w:r>
        <w:t xml:space="preserve"> Requires specialist counsel; AI research is general orientation only</w:t>
      </w:r>
    </w:p>
    <w:p w14:paraId="4E841677" w14:textId="77777777" w:rsidR="009351FA" w:rsidRDefault="00F30360">
      <w:r>
        <w:rPr>
          <w:noProof/>
        </w:rPr>
        <w:pict w14:anchorId="0EB873D1">
          <v:rect id="_x0000_i1032" alt="" style="width:451.3pt;height:.05pt;mso-width-percent:0;mso-height-percent:0;mso-width-percent:0;mso-height-percent:0" o:hralign="center" o:hrstd="t" o:hr="t"/>
        </w:pict>
      </w:r>
    </w:p>
    <w:p w14:paraId="3C5EBF81" w14:textId="77777777" w:rsidR="009351FA" w:rsidRDefault="00000000">
      <w:pPr>
        <w:pStyle w:val="Heading3"/>
      </w:pPr>
      <w:bookmarkStart w:id="29" w:name="bottom-line-counsel-opinion"/>
      <w:bookmarkEnd w:id="28"/>
      <w:r>
        <w:lastRenderedPageBreak/>
        <w:t>Bottom-Line Counsel Opinion</w:t>
      </w:r>
    </w:p>
    <w:p w14:paraId="19E57D66" w14:textId="77777777" w:rsidR="009351FA" w:rsidRDefault="00000000">
      <w:pPr>
        <w:pStyle w:val="Heading4"/>
      </w:pPr>
      <w:bookmarkStart w:id="30" w:name="for-lattice-as-an-ma-advisory-firm"/>
      <w:r>
        <w:rPr>
          <w:b/>
        </w:rPr>
        <w:t>For LATTICE as an M&amp;A Advisory Firm:</w:t>
      </w:r>
    </w:p>
    <w:p w14:paraId="14087B1D" w14:textId="77777777" w:rsidR="009351FA" w:rsidRDefault="00000000">
      <w:pPr>
        <w:pStyle w:val="FirstParagraph"/>
      </w:pPr>
      <w:r>
        <w:rPr>
          <w:b/>
          <w:bCs/>
        </w:rPr>
        <w:t>DO:</w:t>
      </w:r>
      <w:r>
        <w:t xml:space="preserve"> ✓ Use this comparative research as </w:t>
      </w:r>
      <w:r>
        <w:rPr>
          <w:b/>
          <w:bCs/>
        </w:rPr>
        <w:t>intake and preliminary analysis tool</w:t>
      </w:r>
      <w:r>
        <w:br/>
        <w:t xml:space="preserve">✓ Leverage the </w:t>
      </w:r>
      <w:r>
        <w:rPr>
          <w:b/>
          <w:bCs/>
        </w:rPr>
        <w:t>hybrid model</w:t>
      </w:r>
      <w:r>
        <w:t xml:space="preserve"> (Perplexity + Claude per issue) to reduce research hours</w:t>
      </w:r>
      <w:r>
        <w:br/>
        <w:t xml:space="preserve">✓ Train junior associates to </w:t>
      </w:r>
      <w:r>
        <w:rPr>
          <w:b/>
          <w:bCs/>
        </w:rPr>
        <w:t>use AI + verification protocol</w:t>
      </w:r>
      <w:r>
        <w:t xml:space="preserve"> consistently</w:t>
      </w:r>
      <w:r>
        <w:br/>
        <w:t>✓ Document AI research in client files (shows due diligence to bar and clients)</w:t>
      </w:r>
    </w:p>
    <w:p w14:paraId="2467BED6" w14:textId="77777777" w:rsidR="009351FA" w:rsidRDefault="00000000">
      <w:pPr>
        <w:pStyle w:val="BodyText"/>
      </w:pPr>
      <w:r>
        <w:rPr>
          <w:b/>
          <w:bCs/>
        </w:rPr>
        <w:t>DON’T:</w:t>
      </w:r>
      <w:r>
        <w:t xml:space="preserve"> ✗ Cite AI paraphrases directly to courts; always cite original judgments</w:t>
      </w:r>
      <w:r>
        <w:br/>
        <w:t>✗ Advise clients on IBC/CCI/tax work based on AI research alone without specialist review</w:t>
      </w:r>
      <w:r>
        <w:br/>
        <w:t>✗ Assume ChatGPT is adequate (it isn’t for modern M&amp;A)</w:t>
      </w:r>
      <w:r>
        <w:br/>
        <w:t>✗ Skip verification step (trust but verify)</w:t>
      </w:r>
    </w:p>
    <w:p w14:paraId="3B10CD2B" w14:textId="77777777" w:rsidR="009351FA" w:rsidRDefault="00000000">
      <w:pPr>
        <w:pStyle w:val="Heading4"/>
      </w:pPr>
      <w:bookmarkStart w:id="31" w:name="for-client-communications"/>
      <w:bookmarkEnd w:id="30"/>
      <w:r>
        <w:rPr>
          <w:b/>
        </w:rPr>
        <w:t>For Client Communications:</w:t>
      </w:r>
    </w:p>
    <w:p w14:paraId="0E9BB1A8" w14:textId="77777777" w:rsidR="009351FA" w:rsidRDefault="00000000">
      <w:pPr>
        <w:pStyle w:val="FirstParagraph"/>
      </w:pPr>
      <w:r>
        <w:rPr>
          <w:b/>
          <w:bCs/>
        </w:rPr>
        <w:t>If Client Asks:</w:t>
      </w:r>
      <w:r>
        <w:t xml:space="preserve"> “How comprehensive is this research?”</w:t>
      </w:r>
    </w:p>
    <w:p w14:paraId="05FB3501" w14:textId="77777777" w:rsidR="009351FA" w:rsidRDefault="00000000">
      <w:pPr>
        <w:pStyle w:val="BodyText"/>
      </w:pPr>
      <w:r>
        <w:rPr>
          <w:b/>
          <w:bCs/>
        </w:rPr>
        <w:t>Answer:</w:t>
      </w:r>
      <w:r>
        <w:t xml:space="preserve"> “We conducted multi-source AI research across four leading providers, verified key cases in official databases (SCC Online, Manupatra), and cross-checked with specialist counsel where applicable. This research identifies the relevant case law and statutory framework; fact-specific litigation predictions require senior counsel review.”</w:t>
      </w:r>
    </w:p>
    <w:p w14:paraId="112D18F8" w14:textId="77777777" w:rsidR="009351FA" w:rsidRDefault="00F30360">
      <w:r>
        <w:rPr>
          <w:noProof/>
        </w:rPr>
        <w:pict w14:anchorId="651FBE53">
          <v:rect id="_x0000_i1031" alt="" style="width:451.3pt;height:.05pt;mso-width-percent:0;mso-height-percent:0;mso-width-percent:0;mso-height-percent:0" o:hralign="center" o:hrstd="t" o:hr="t"/>
        </w:pict>
      </w:r>
    </w:p>
    <w:p w14:paraId="0A239F04" w14:textId="77777777" w:rsidR="009351FA" w:rsidRDefault="00000000">
      <w:pPr>
        <w:pStyle w:val="Heading2"/>
      </w:pPr>
      <w:bookmarkStart w:id="32" w:name="X3ce34c47b1191a342d4de5f6c589cfbdce41551"/>
      <w:bookmarkEnd w:id="26"/>
      <w:bookmarkEnd w:id="29"/>
      <w:bookmarkEnd w:id="31"/>
      <w:r>
        <w:t>PART 6: RECOMMENDED NEXT STEPS FOR LATTICE</w:t>
      </w:r>
    </w:p>
    <w:p w14:paraId="1398036B" w14:textId="77777777" w:rsidR="009351FA" w:rsidRDefault="00000000">
      <w:pPr>
        <w:pStyle w:val="Heading3"/>
      </w:pPr>
      <w:bookmarkStart w:id="33" w:name="immediate-this-quarter"/>
      <w:r>
        <w:t>Immediate (This Quarter)</w:t>
      </w:r>
    </w:p>
    <w:p w14:paraId="49C7E4BB" w14:textId="77777777" w:rsidR="009351FA" w:rsidRDefault="00000000">
      <w:pPr>
        <w:numPr>
          <w:ilvl w:val="0"/>
          <w:numId w:val="24"/>
        </w:numPr>
      </w:pPr>
      <w:r>
        <w:rPr>
          <w:b/>
          <w:bCs/>
        </w:rPr>
        <w:t>Codify the Research Protocol:</w:t>
      </w:r>
      <w:r>
        <w:t xml:space="preserve"> Create a LATTICE SOP document:</w:t>
      </w:r>
    </w:p>
    <w:p w14:paraId="149EB101" w14:textId="77777777" w:rsidR="009351FA" w:rsidRDefault="00000000">
      <w:pPr>
        <w:pStyle w:val="Compact"/>
        <w:numPr>
          <w:ilvl w:val="1"/>
          <w:numId w:val="25"/>
        </w:numPr>
      </w:pPr>
      <w:r>
        <w:t>“M&amp;A Litigation Issue → Primary AI Provider” lookup table</w:t>
      </w:r>
    </w:p>
    <w:p w14:paraId="26F92963" w14:textId="77777777" w:rsidR="009351FA" w:rsidRDefault="00000000">
      <w:pPr>
        <w:pStyle w:val="Compact"/>
        <w:numPr>
          <w:ilvl w:val="1"/>
          <w:numId w:val="25"/>
        </w:numPr>
      </w:pPr>
      <w:r>
        <w:t>“Verification Checklist” (mandatory for all client deliverables)</w:t>
      </w:r>
    </w:p>
    <w:p w14:paraId="3FB59361" w14:textId="77777777" w:rsidR="009351FA" w:rsidRDefault="00000000">
      <w:pPr>
        <w:pStyle w:val="Compact"/>
        <w:numPr>
          <w:ilvl w:val="1"/>
          <w:numId w:val="25"/>
        </w:numPr>
      </w:pPr>
      <w:r>
        <w:t>“Escalation Triggers” (when human counsel must review)</w:t>
      </w:r>
    </w:p>
    <w:p w14:paraId="33E3D6F7" w14:textId="77777777" w:rsidR="009351FA" w:rsidRDefault="00000000">
      <w:pPr>
        <w:numPr>
          <w:ilvl w:val="0"/>
          <w:numId w:val="24"/>
        </w:numPr>
      </w:pPr>
      <w:r>
        <w:rPr>
          <w:b/>
          <w:bCs/>
        </w:rPr>
        <w:t>Train Associates:</w:t>
      </w:r>
      <w:r>
        <w:t xml:space="preserve"> Conduct 2-hour workshop on:</w:t>
      </w:r>
    </w:p>
    <w:p w14:paraId="46BA9CB1" w14:textId="77777777" w:rsidR="009351FA" w:rsidRDefault="00000000">
      <w:pPr>
        <w:pStyle w:val="Compact"/>
        <w:numPr>
          <w:ilvl w:val="1"/>
          <w:numId w:val="26"/>
        </w:numPr>
      </w:pPr>
      <w:r>
        <w:t>How to use Perplexity + Claude efficiently</w:t>
      </w:r>
    </w:p>
    <w:p w14:paraId="001A1FC6" w14:textId="77777777" w:rsidR="009351FA" w:rsidRDefault="00000000">
      <w:pPr>
        <w:pStyle w:val="Compact"/>
        <w:numPr>
          <w:ilvl w:val="1"/>
          <w:numId w:val="26"/>
        </w:numPr>
      </w:pPr>
      <w:r>
        <w:t>Verification protocol (how to check SCC Online / Manupatra)</w:t>
      </w:r>
    </w:p>
    <w:p w14:paraId="0541B0DF" w14:textId="77777777" w:rsidR="009351FA" w:rsidRDefault="00000000">
      <w:pPr>
        <w:pStyle w:val="Compact"/>
        <w:numPr>
          <w:ilvl w:val="1"/>
          <w:numId w:val="26"/>
        </w:numPr>
      </w:pPr>
      <w:r>
        <w:t>Red flags (when AI research is insufficient)</w:t>
      </w:r>
    </w:p>
    <w:p w14:paraId="442B087F" w14:textId="77777777" w:rsidR="009351FA" w:rsidRDefault="00000000">
      <w:pPr>
        <w:numPr>
          <w:ilvl w:val="0"/>
          <w:numId w:val="24"/>
        </w:numPr>
      </w:pPr>
      <w:r>
        <w:rPr>
          <w:b/>
          <w:bCs/>
        </w:rPr>
        <w:t>Create Case Law Library:</w:t>
      </w:r>
      <w:r>
        <w:t xml:space="preserve"> Deduplicate and organize the </w:t>
      </w:r>
      <w:r>
        <w:rPr>
          <w:b/>
          <w:bCs/>
        </w:rPr>
        <w:t>47 consolidated cases</w:t>
      </w:r>
      <w:r>
        <w:t xml:space="preserve"> into internal reference doc by issue cluster</w:t>
      </w:r>
    </w:p>
    <w:p w14:paraId="41F1BBCD" w14:textId="77777777" w:rsidR="009351FA" w:rsidRDefault="00F30360">
      <w:r>
        <w:rPr>
          <w:noProof/>
        </w:rPr>
        <w:pict w14:anchorId="4DEAAA19">
          <v:rect id="_x0000_i1030" alt="" style="width:451.3pt;height:.05pt;mso-width-percent:0;mso-height-percent:0;mso-width-percent:0;mso-height-percent:0" o:hralign="center" o:hrstd="t" o:hr="t"/>
        </w:pict>
      </w:r>
    </w:p>
    <w:p w14:paraId="71BE7BFD" w14:textId="77777777" w:rsidR="009351FA" w:rsidRDefault="00000000">
      <w:pPr>
        <w:pStyle w:val="Heading3"/>
      </w:pPr>
      <w:bookmarkStart w:id="34" w:name="medium-term-q1-q2-2026"/>
      <w:bookmarkEnd w:id="33"/>
      <w:r>
        <w:t>Medium-Term (Q1-Q2 2026)</w:t>
      </w:r>
    </w:p>
    <w:p w14:paraId="33A794EB" w14:textId="77777777" w:rsidR="009351FA" w:rsidRDefault="00000000">
      <w:pPr>
        <w:numPr>
          <w:ilvl w:val="0"/>
          <w:numId w:val="27"/>
        </w:numPr>
      </w:pPr>
      <w:r>
        <w:rPr>
          <w:b/>
          <w:bCs/>
        </w:rPr>
        <w:t>Build Internal Precedent Database:</w:t>
      </w:r>
      <w:r>
        <w:t xml:space="preserve"> Track </w:t>
      </w:r>
      <w:r>
        <w:rPr>
          <w:b/>
          <w:bCs/>
        </w:rPr>
        <w:t>LATTICE-handled cases</w:t>
      </w:r>
      <w:r>
        <w:t xml:space="preserve"> with outcomes; feed into case law library for pattern recognition</w:t>
      </w:r>
    </w:p>
    <w:p w14:paraId="3F08C686" w14:textId="77777777" w:rsidR="009351FA" w:rsidRDefault="00000000">
      <w:pPr>
        <w:numPr>
          <w:ilvl w:val="0"/>
          <w:numId w:val="27"/>
        </w:numPr>
      </w:pPr>
      <w:r>
        <w:rPr>
          <w:b/>
          <w:bCs/>
        </w:rPr>
        <w:t>Sector-Specific Protocols:</w:t>
      </w:r>
      <w:r>
        <w:t xml:space="preserve"> Develop issue-specific research checklists for:</w:t>
      </w:r>
    </w:p>
    <w:p w14:paraId="4EB4E3A3" w14:textId="77777777" w:rsidR="009351FA" w:rsidRDefault="00000000">
      <w:pPr>
        <w:pStyle w:val="Compact"/>
        <w:numPr>
          <w:ilvl w:val="1"/>
          <w:numId w:val="28"/>
        </w:numPr>
      </w:pPr>
      <w:r>
        <w:lastRenderedPageBreak/>
        <w:t>PE-backed M&amp;A (drag/tag, exit optionality, FEMA risk)</w:t>
      </w:r>
    </w:p>
    <w:p w14:paraId="0C8DBFB5" w14:textId="77777777" w:rsidR="009351FA" w:rsidRDefault="00000000">
      <w:pPr>
        <w:pStyle w:val="Compact"/>
        <w:numPr>
          <w:ilvl w:val="1"/>
          <w:numId w:val="28"/>
        </w:numPr>
      </w:pPr>
      <w:r>
        <w:t>Regulatory-sector M&amp;A (CCI, RBI, DoT approvals)</w:t>
      </w:r>
    </w:p>
    <w:p w14:paraId="35002DEA" w14:textId="77777777" w:rsidR="009351FA" w:rsidRDefault="00000000">
      <w:pPr>
        <w:pStyle w:val="Compact"/>
        <w:numPr>
          <w:ilvl w:val="1"/>
          <w:numId w:val="28"/>
        </w:numPr>
      </w:pPr>
      <w:r>
        <w:t>Cross-border M&amp;A (tax, arbitration, enforcement)</w:t>
      </w:r>
    </w:p>
    <w:p w14:paraId="62EE3575" w14:textId="77777777" w:rsidR="009351FA" w:rsidRDefault="00000000">
      <w:pPr>
        <w:pStyle w:val="Compact"/>
        <w:numPr>
          <w:ilvl w:val="1"/>
          <w:numId w:val="28"/>
        </w:numPr>
      </w:pPr>
      <w:r>
        <w:t>IBC-route M&amp;A (§ 29A, CCI, fresh-slate)</w:t>
      </w:r>
    </w:p>
    <w:p w14:paraId="6785C655" w14:textId="77777777" w:rsidR="009351FA" w:rsidRDefault="00000000">
      <w:pPr>
        <w:numPr>
          <w:ilvl w:val="0"/>
          <w:numId w:val="27"/>
        </w:numPr>
      </w:pPr>
      <w:r>
        <w:rPr>
          <w:b/>
          <w:bCs/>
        </w:rPr>
        <w:t>Monitor 2026 Rulings:</w:t>
      </w:r>
      <w:r>
        <w:t xml:space="preserve"> Track SC/HC decisions on:</w:t>
      </w:r>
    </w:p>
    <w:p w14:paraId="12169C40" w14:textId="77777777" w:rsidR="009351FA" w:rsidRDefault="00000000">
      <w:pPr>
        <w:pStyle w:val="Compact"/>
        <w:numPr>
          <w:ilvl w:val="1"/>
          <w:numId w:val="29"/>
        </w:numPr>
      </w:pPr>
      <w:r>
        <w:t>IBC resolution plan challenges (will Independent Sugar principle be refined?)</w:t>
      </w:r>
    </w:p>
    <w:p w14:paraId="0874EFE9" w14:textId="77777777" w:rsidR="009351FA" w:rsidRDefault="00000000">
      <w:pPr>
        <w:pStyle w:val="Compact"/>
        <w:numPr>
          <w:ilvl w:val="1"/>
          <w:numId w:val="29"/>
        </w:numPr>
      </w:pPr>
      <w:r>
        <w:t>SEBI regulatory exemptions (new policy on PAC definitions?)</w:t>
      </w:r>
    </w:p>
    <w:p w14:paraId="09247B04" w14:textId="77777777" w:rsidR="009351FA" w:rsidRDefault="00000000">
      <w:pPr>
        <w:pStyle w:val="Compact"/>
        <w:numPr>
          <w:ilvl w:val="1"/>
          <w:numId w:val="29"/>
        </w:numPr>
      </w:pPr>
      <w:r>
        <w:t>MAC clause litigation (expecting first major test case 2026-2027)</w:t>
      </w:r>
    </w:p>
    <w:p w14:paraId="578FF2DD" w14:textId="77777777" w:rsidR="009351FA" w:rsidRDefault="00F30360">
      <w:r>
        <w:rPr>
          <w:noProof/>
        </w:rPr>
        <w:pict w14:anchorId="3E0D651D">
          <v:rect id="_x0000_i1029" alt="" style="width:451.3pt;height:.05pt;mso-width-percent:0;mso-height-percent:0;mso-width-percent:0;mso-height-percent:0" o:hralign="center" o:hrstd="t" o:hr="t"/>
        </w:pict>
      </w:r>
    </w:p>
    <w:p w14:paraId="4864DAC8" w14:textId="77777777" w:rsidR="009351FA" w:rsidRDefault="00000000">
      <w:pPr>
        <w:pStyle w:val="Heading3"/>
      </w:pPr>
      <w:bookmarkStart w:id="35" w:name="long-term-h2-2026"/>
      <w:bookmarkEnd w:id="34"/>
      <w:r>
        <w:t>Long-Term (H2 2026+)</w:t>
      </w:r>
    </w:p>
    <w:p w14:paraId="602A03F8" w14:textId="77777777" w:rsidR="009351FA" w:rsidRDefault="00000000">
      <w:pPr>
        <w:numPr>
          <w:ilvl w:val="0"/>
          <w:numId w:val="30"/>
        </w:numPr>
      </w:pPr>
      <w:r>
        <w:rPr>
          <w:b/>
          <w:bCs/>
        </w:rPr>
        <w:t>AI Integration:</w:t>
      </w:r>
      <w:r>
        <w:t xml:space="preserve"> Consider enterprise subscription to Perplexity + Claude for paralegal research (vs. individual licenses)</w:t>
      </w:r>
    </w:p>
    <w:p w14:paraId="46E72EB7" w14:textId="77777777" w:rsidR="009351FA" w:rsidRDefault="00000000">
      <w:pPr>
        <w:numPr>
          <w:ilvl w:val="0"/>
          <w:numId w:val="30"/>
        </w:numPr>
      </w:pPr>
      <w:r>
        <w:rPr>
          <w:b/>
          <w:bCs/>
        </w:rPr>
        <w:t>Develop AI + Human Hybrid Litigation Model:</w:t>
      </w:r>
      <w:r>
        <w:t xml:space="preserve"> Use AI for initial research triage; reserved senior counsel capacity for fact-pattern analysis and court strategy</w:t>
      </w:r>
    </w:p>
    <w:p w14:paraId="2DF7F25B" w14:textId="77777777" w:rsidR="009351FA" w:rsidRDefault="00F30360">
      <w:r>
        <w:rPr>
          <w:noProof/>
        </w:rPr>
        <w:pict w14:anchorId="1ED7DE12">
          <v:rect id="_x0000_i1028" alt="" style="width:451.3pt;height:.05pt;mso-width-percent:0;mso-height-percent:0;mso-width-percent:0;mso-height-percent:0" o:hralign="center" o:hrstd="t" o:hr="t"/>
        </w:pict>
      </w:r>
    </w:p>
    <w:p w14:paraId="1C1958AA" w14:textId="77777777" w:rsidR="009351FA" w:rsidRDefault="00000000">
      <w:pPr>
        <w:pStyle w:val="Heading2"/>
      </w:pPr>
      <w:bookmarkStart w:id="36" w:name="conclusion"/>
      <w:bookmarkEnd w:id="32"/>
      <w:bookmarkEnd w:id="35"/>
      <w:r>
        <w:t>CONCLUSION</w:t>
      </w:r>
    </w:p>
    <w:p w14:paraId="136B2FCD" w14:textId="77777777" w:rsidR="009351FA" w:rsidRDefault="00000000">
      <w:pPr>
        <w:pStyle w:val="FirstParagraph"/>
      </w:pPr>
      <w:r>
        <w:rPr>
          <w:b/>
          <w:bCs/>
        </w:rPr>
        <w:t>This research cost:</w:t>
      </w:r>
      <w:r>
        <w:t xml:space="preserve"> ~40 hours (AI query + comparative analysis)</w:t>
      </w:r>
      <w:r>
        <w:br/>
      </w:r>
      <w:r>
        <w:rPr>
          <w:b/>
          <w:bCs/>
        </w:rPr>
        <w:t>Client value delivered:</w:t>
      </w:r>
      <w:r>
        <w:t xml:space="preserve"> 47-case consolidated database + issue-specific provider recommendations + verification protocol + counsel opinion</w:t>
      </w:r>
      <w:r>
        <w:br/>
      </w:r>
      <w:r>
        <w:rPr>
          <w:b/>
          <w:bCs/>
        </w:rPr>
        <w:t>Time savings vs. traditional legal research:</w:t>
      </w:r>
      <w:r>
        <w:t xml:space="preserve"> 60-70%</w:t>
      </w:r>
      <w:r>
        <w:br/>
      </w:r>
      <w:r>
        <w:rPr>
          <w:b/>
          <w:bCs/>
        </w:rPr>
        <w:t>Risk of using AI alone:</w:t>
      </w:r>
      <w:r>
        <w:t xml:space="preserve"> HIGH (gaps and paraphrasing require verification)</w:t>
      </w:r>
      <w:r>
        <w:br/>
      </w:r>
      <w:r>
        <w:rPr>
          <w:b/>
          <w:bCs/>
        </w:rPr>
        <w:t>Risk of hybrid AI + human verification model:</w:t>
      </w:r>
      <w:r>
        <w:t xml:space="preserve"> MINIMAL</w:t>
      </w:r>
    </w:p>
    <w:p w14:paraId="12158E3D" w14:textId="77777777" w:rsidR="009351FA" w:rsidRDefault="00F30360">
      <w:r>
        <w:rPr>
          <w:noProof/>
        </w:rPr>
        <w:pict w14:anchorId="4983BD64">
          <v:rect id="_x0000_i1027" alt="" style="width:451.3pt;height:.05pt;mso-width-percent:0;mso-height-percent:0;mso-width-percent:0;mso-height-percent:0" o:hralign="center" o:hrstd="t" o:hr="t"/>
        </w:pict>
      </w:r>
    </w:p>
    <w:p w14:paraId="5FFE6791" w14:textId="77777777" w:rsidR="009351FA" w:rsidRDefault="00000000">
      <w:pPr>
        <w:pStyle w:val="FirstParagraph"/>
      </w:pPr>
      <w:r>
        <w:rPr>
          <w:b/>
          <w:bCs/>
        </w:rPr>
        <w:t>RECOMMENDATION:</w:t>
      </w:r>
      <w:r>
        <w:t xml:space="preserve"> Adopt the </w:t>
      </w:r>
      <w:r>
        <w:rPr>
          <w:b/>
          <w:bCs/>
        </w:rPr>
        <w:t>hybrid model</w:t>
      </w:r>
      <w:r>
        <w:t xml:space="preserve"> for all M&amp;A litigation research going forward. Brief and train the team on the protocol within 2 weeks.</w:t>
      </w:r>
    </w:p>
    <w:p w14:paraId="3DD8025D" w14:textId="77777777" w:rsidR="009351FA" w:rsidRDefault="00F30360">
      <w:r>
        <w:rPr>
          <w:noProof/>
        </w:rPr>
        <w:pict w14:anchorId="17EFC6DB">
          <v:rect id="_x0000_i1026" alt="" style="width:451.3pt;height:.05pt;mso-width-percent:0;mso-height-percent:0;mso-width-percent:0;mso-height-percent:0" o:hralign="center" o:hrstd="t" o:hr="t"/>
        </w:pict>
      </w:r>
    </w:p>
    <w:p w14:paraId="22DF77B6" w14:textId="77777777" w:rsidR="009351FA" w:rsidRDefault="00000000">
      <w:pPr>
        <w:pStyle w:val="FirstParagraph"/>
      </w:pPr>
      <w:r>
        <w:rPr>
          <w:b/>
          <w:bCs/>
        </w:rPr>
        <w:t>Signed,</w:t>
      </w:r>
    </w:p>
    <w:p w14:paraId="7200575B" w14:textId="77777777" w:rsidR="009351FA" w:rsidRDefault="00000000">
      <w:pPr>
        <w:pStyle w:val="BodyText"/>
      </w:pPr>
      <w:r>
        <w:t>**LATTICE Dr Lokesh Sadasivan **</w:t>
      </w:r>
      <w:r>
        <w:br/>
        <w:t>Counsellor, LATTICE CONSULTING WORLDWIDE (OPC) PRIVATE LIMITED</w:t>
      </w:r>
      <w:r>
        <w:br/>
        <w:t>January 12, 2026</w:t>
      </w:r>
    </w:p>
    <w:p w14:paraId="122440E3" w14:textId="77777777" w:rsidR="009351FA" w:rsidRDefault="00F30360">
      <w:r>
        <w:rPr>
          <w:noProof/>
        </w:rPr>
        <w:pict w14:anchorId="607C68D6">
          <v:rect id="_x0000_i1025" alt="" style="width:451.3pt;height:.05pt;mso-width-percent:0;mso-height-percent:0;mso-width-percent:0;mso-height-percent:0" o:hralign="center" o:hrstd="t" o:hr="t"/>
        </w:pict>
      </w:r>
    </w:p>
    <w:p w14:paraId="13D9FDA3" w14:textId="77777777" w:rsidR="009351FA" w:rsidRDefault="00000000">
      <w:pPr>
        <w:pStyle w:val="FirstParagraph"/>
      </w:pPr>
      <w:r>
        <w:rPr>
          <w:b/>
          <w:bCs/>
        </w:rPr>
        <w:t>Distribution:</w:t>
      </w:r>
    </w:p>
    <w:p w14:paraId="2CE42065" w14:textId="77777777" w:rsidR="009351FA" w:rsidRDefault="00000000">
      <w:pPr>
        <w:pStyle w:val="Compact"/>
        <w:numPr>
          <w:ilvl w:val="0"/>
          <w:numId w:val="31"/>
        </w:numPr>
      </w:pPr>
      <w:r>
        <w:t>Partners (Confidential)</w:t>
      </w:r>
    </w:p>
    <w:p w14:paraId="46BB95C9" w14:textId="77777777" w:rsidR="009351FA" w:rsidRDefault="00000000">
      <w:pPr>
        <w:pStyle w:val="Compact"/>
        <w:numPr>
          <w:ilvl w:val="0"/>
          <w:numId w:val="31"/>
        </w:numPr>
      </w:pPr>
      <w:r>
        <w:t>Senior M&amp;A Team</w:t>
      </w:r>
    </w:p>
    <w:p w14:paraId="256E2AB8" w14:textId="77777777" w:rsidR="009351FA" w:rsidRDefault="00000000">
      <w:pPr>
        <w:pStyle w:val="Compact"/>
        <w:numPr>
          <w:ilvl w:val="0"/>
          <w:numId w:val="31"/>
        </w:numPr>
      </w:pPr>
      <w:r>
        <w:t>Research &amp; Knowledge Management</w:t>
      </w:r>
    </w:p>
    <w:p w14:paraId="0E69A180" w14:textId="77777777" w:rsidR="009351FA" w:rsidRDefault="00000000">
      <w:pPr>
        <w:pStyle w:val="FirstParagraph"/>
      </w:pPr>
      <w:r>
        <w:rPr>
          <w:b/>
          <w:bCs/>
        </w:rPr>
        <w:lastRenderedPageBreak/>
        <w:t>Privilege:</w:t>
      </w:r>
      <w:r>
        <w:t xml:space="preserve"> Attorney-Client Privilege &amp; Work Product Doctrine Apply</w:t>
      </w:r>
      <w:bookmarkEnd w:id="0"/>
      <w:bookmarkEnd w:id="36"/>
    </w:p>
    <w:sectPr w:rsidR="009351F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8701E" w14:textId="77777777" w:rsidR="00F30360" w:rsidRDefault="00F30360">
      <w:pPr>
        <w:spacing w:after="0"/>
      </w:pPr>
      <w:r>
        <w:separator/>
      </w:r>
    </w:p>
  </w:endnote>
  <w:endnote w:type="continuationSeparator" w:id="0">
    <w:p w14:paraId="17B0CF20" w14:textId="77777777" w:rsidR="00F30360" w:rsidRDefault="00F303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3B529" w14:textId="77777777" w:rsidR="00F30360" w:rsidRDefault="00F30360">
      <w:r>
        <w:separator/>
      </w:r>
    </w:p>
  </w:footnote>
  <w:footnote w:type="continuationSeparator" w:id="0">
    <w:p w14:paraId="71DA91A6" w14:textId="77777777" w:rsidR="00F30360" w:rsidRDefault="00F303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0C755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18E05E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26C330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4"/>
    <w:multiLevelType w:val="multilevel"/>
    <w:tmpl w:val="BE4E5C56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7"/>
    <w:multiLevelType w:val="multilevel"/>
    <w:tmpl w:val="33EA077A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" w16cid:durableId="116606461">
    <w:abstractNumId w:val="0"/>
  </w:num>
  <w:num w:numId="2" w16cid:durableId="16344083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97521118">
    <w:abstractNumId w:val="1"/>
  </w:num>
  <w:num w:numId="4" w16cid:durableId="67927762">
    <w:abstractNumId w:val="1"/>
  </w:num>
  <w:num w:numId="5" w16cid:durableId="439571310">
    <w:abstractNumId w:val="1"/>
  </w:num>
  <w:num w:numId="6" w16cid:durableId="270404098">
    <w:abstractNumId w:val="1"/>
  </w:num>
  <w:num w:numId="7" w16cid:durableId="182786642">
    <w:abstractNumId w:val="1"/>
  </w:num>
  <w:num w:numId="8" w16cid:durableId="342635558">
    <w:abstractNumId w:val="1"/>
  </w:num>
  <w:num w:numId="9" w16cid:durableId="218175749">
    <w:abstractNumId w:val="1"/>
  </w:num>
  <w:num w:numId="10" w16cid:durableId="1638220752">
    <w:abstractNumId w:val="1"/>
  </w:num>
  <w:num w:numId="11" w16cid:durableId="326524089">
    <w:abstractNumId w:val="1"/>
  </w:num>
  <w:num w:numId="12" w16cid:durableId="1538278078">
    <w:abstractNumId w:val="1"/>
  </w:num>
  <w:num w:numId="13" w16cid:durableId="831333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81087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74157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908472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688990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883405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01682297">
    <w:abstractNumId w:val="1"/>
  </w:num>
  <w:num w:numId="20" w16cid:durableId="13787482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74803371">
    <w:abstractNumId w:val="1"/>
  </w:num>
  <w:num w:numId="22" w16cid:durableId="1079786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890937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600529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29559064">
    <w:abstractNumId w:val="1"/>
  </w:num>
  <w:num w:numId="26" w16cid:durableId="1970747232">
    <w:abstractNumId w:val="1"/>
  </w:num>
  <w:num w:numId="27" w16cid:durableId="39944525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8" w16cid:durableId="1931810783">
    <w:abstractNumId w:val="1"/>
  </w:num>
  <w:num w:numId="29" w16cid:durableId="180902373">
    <w:abstractNumId w:val="1"/>
  </w:num>
  <w:num w:numId="30" w16cid:durableId="918903658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31" w16cid:durableId="1032802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51FA"/>
    <w:rsid w:val="00264023"/>
    <w:rsid w:val="00342EA9"/>
    <w:rsid w:val="009351FA"/>
    <w:rsid w:val="00F3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B1A1B"/>
  <w15:docId w15:val="{713179DC-9171-3040-BCB7-7293BE05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2256</Words>
  <Characters>12864</Characters>
  <Application>Microsoft Office Word</Application>
  <DocSecurity>0</DocSecurity>
  <Lines>107</Lines>
  <Paragraphs>30</Paragraphs>
  <ScaleCrop>false</ScaleCrop>
  <Company/>
  <LinksUpToDate>false</LinksUpToDate>
  <CharactersWithSpaces>15090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Dr Lokesh Sadasivan</cp:lastModifiedBy>
  <cp:revision>2</cp:revision>
  <dcterms:created xsi:type="dcterms:W3CDTF">1970-01-01T00:00:00Z</dcterms:created>
  <dcterms:modified xsi:type="dcterms:W3CDTF">2026-01-12T07:43:00Z</dcterms:modified>
</cp:coreProperties>
</file>