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eastAsia="SimHei" w:hAnsi="SimHei"/>
          <w:b/>
          <w:bCs/>
          <w:sz w:val="44"/>
          <w:szCs w:val="44"/>
        </w:rPr>
        <w:t xml:space="preserve">专利技术交底书</w:t>
      </w:r>
    </w:p>
    <w:p>
      <w:p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技术问题联系人：</w:t>
      </w:r>
      <w:r>
        <w:rPr>
          <w:rFonts w:ascii="SimSun" w:eastAsia="SimSun" w:hAnsi="SimSun"/>
          <w:sz w:val="24"/>
          <w:szCs w:val="24"/>
        </w:rPr>
        <w:t xml:space="preserve">          </w:t>
      </w:r>
      <w:r>
        <w:rPr>
          <w:rFonts w:ascii="SimSun" w:eastAsia="SimSun" w:hAnsi="SimSun"/>
          <w:sz w:val="24"/>
          <w:szCs w:val="24"/>
        </w:rPr>
        <w:t xml:space="preserve">所属技术领域：模拟集成电路</w:t>
      </w:r>
    </w:p>
    <w:p>
      <w:p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发明人：</w:t>
      </w:r>
      <w:r>
        <w:rPr>
          <w:rFonts w:ascii="SimSun" w:eastAsia="SimSun" w:hAnsi="SimSun"/>
          <w:sz w:val="24"/>
          <w:szCs w:val="24"/>
        </w:rPr>
        <w:t xml:space="preserve">                    </w:t>
      </w:r>
      <w:r>
        <w:rPr>
          <w:rFonts w:ascii="SimSun" w:eastAsia="SimSun" w:hAnsi="SimSun"/>
          <w:sz w:val="24"/>
          <w:szCs w:val="24"/>
        </w:rPr>
        <w:t xml:space="preserve">所属部门：</w:t>
      </w:r>
    </w:p>
    <w:p>
      <w:pPr>
        <w:spacing w:after="240" w:line="360"/>
      </w:pPr>
      <w:r>
        <w:rPr>
          <w:rFonts w:ascii="SimSun" w:eastAsia="SimSun" w:hAnsi="SimSun"/>
          <w:sz w:val="24"/>
          <w:szCs w:val="24"/>
        </w:rPr>
        <w:t xml:space="preserve">联系人电话：</w:t>
      </w:r>
      <w:r>
        <w:rPr>
          <w:rFonts w:ascii="SimSun" w:eastAsia="SimSun" w:hAnsi="SimSun"/>
          <w:sz w:val="24"/>
          <w:szCs w:val="24"/>
        </w:rPr>
        <w:t xml:space="preserve">          </w:t>
      </w:r>
      <w:r>
        <w:rPr>
          <w:rFonts w:ascii="SimSun" w:eastAsia="SimSun" w:hAnsi="SimSun"/>
          <w:sz w:val="24"/>
          <w:szCs w:val="24"/>
        </w:rPr>
        <w:t xml:space="preserve">电子邮箱：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SimHei" w:eastAsia="SimHei" w:hAnsi="SimHei"/>
          <w:b/>
          <w:bCs/>
          <w:sz w:val="32"/>
          <w:szCs w:val="32"/>
        </w:rPr>
        <w:t xml:space="preserve">一、发明的名称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（后期与代理人确定）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一种基于阈值抖动的SAR ADC电容权重校准方法及装置</w:t>
      </w:r>
    </w:p>
    <w:p>
      <w:pPr>
        <w:pStyle w:val="Heading1"/>
        <w:spacing w:after="120" w:before="240"/>
      </w:pPr>
      <w:r>
        <w:rPr>
          <w:rFonts w:ascii="SimHei" w:eastAsia="SimHei" w:hAnsi="SimHei"/>
          <w:b/>
          <w:bCs/>
          <w:sz w:val="32"/>
          <w:szCs w:val="32"/>
        </w:rPr>
        <w:t xml:space="preserve">二、所属技术领域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本发明属于模拟/混合信号集成电路设计技术领域，具体涉及逐次逼近型模数转换器（SAR ADC）的电容失配校准技术，应用于12位及以上精度SAR ADC产品中高位电容等效权重的上电前景测量与数字修正。</w:t>
      </w:r>
    </w:p>
    <w:p>
      <w:pPr>
        <w:pStyle w:val="Heading1"/>
        <w:spacing w:after="120" w:before="240"/>
      </w:pPr>
      <w:r>
        <w:rPr>
          <w:rFonts w:ascii="SimHei" w:eastAsia="SimHei" w:hAnsi="SimHei"/>
          <w:b/>
          <w:bCs/>
          <w:sz w:val="32"/>
          <w:szCs w:val="32"/>
        </w:rPr>
        <w:t xml:space="preserve">三、背景技术及其缺陷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现有技术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高分辨率SAR ADC的线性度受电容DAC（CDAC）中单位电容失配的限制。根据Pelgrom律，电容失配标准差σ(ΔC/C)与电容面积平方根成反比，增大单位电容面积可降低失配，但会增加CDAC面积、功耗和采样网络kT/C噪声，在高速场景下不可接受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为缓解电容失配，现有技术主要包括以下方案：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增大单位电容面积。通过增大电容面积降低失配，但面积、功耗和噪声代价大。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动态元件匹配（DEM）。通过随机或轮换使用MSB电容，将静态失配转化为随机噪声。该方案会增加带内噪声，降低信噪比（SNR），且需要额外的随机数发生器和控制逻辑。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背景数字校准。在ADC正常工作期间利用冗余位或辅助电路在线估计电容权重。该方案不中断正常转换，但数字逻辑复杂，收敛时间长，且校准精度受噪声限制。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前景数字校准。在上电或空闲阶段测量高位电容的真实权重，校准完成后切回正常转换模式。该方案测量条件可控、精度高，但需中断正常转换。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最接近的现有技术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最接近的现有技术为基于D+/D−双向测量的前景权重校准方案。参见专利文献：US 2022/0362658 A1，"SAR ADC with Foreground Calibration"，公开日期2022年11月10日，申请人Analog Devices Inc.。该专利公开了一种利用低位冗余电容组成offset-binary校准DAC（calDAC），对高位电容进行正反双向测量，通过残差R ≈ D+ − D−恢复权重的方法。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另参见非专利文献：X. Zhu et al., "A 14-bit 4-channel SAR ADC with digital foreground calibration," in Proc. IEEE Asian Solid-State Circuits Conf. (A-SSCC), Nov. 2022, pp. 21–24. 该文献描述了类似的D+/D−差分测量方案。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现有技术的技术内容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上述最接近现有技术的技术内容如下：calDAC由低位冗余电容组成，本设计中calDAC权重为[48, 32, 20, 12, 8, 4, 2]，最小步长为2 LSB，实际可达分辨率为4 LSB。校准时，calDAC设置为中心码64，对应差分电压Vcal = 126 − 2S（S为calDAC码值）。对每个目标权重，分别在D+方向（差分输入高于参考墙）和D−方向（差分输入低于参考墙）进行测量，记录两个方向的SAR判决码D+和D−，残差R ≈ D+ − D−。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现有技术的问题和缺点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上述现有技术存在以下问题和缺点：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calDAC离散步长限制测量分辨率。calDAC由有限个低位电容组成，其最小步长为整数个ADC LSB。当目标电容的真实权重与标称值之差小于一个calDAC步长时（例如本设计中calDAC步长为4 LSB，残差在[−4, +4) LSB范围内），D+/D−测量无法分辨该残差，形成测量盲区。原因在于calDAC的物理步长由电容面积和工艺决定，无法无限减小。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比较器固定失调引入系统偏置。实际比较器存在输入等效失调电压VOS，该失调叠加在D+/D−测量结果上。现有技术虽采用双向测量试图抵消失调，但当失调随温度漂移时，正反向平均无法完全消除。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随机噪声需大量平均。为克服比较器噪声和量化噪声，现有技术对每个D+/D−测量进行多次平均。随机噪声的收敛速度为1/√N，达到0.1 LSB精度需上百次平均，校准时间过长。原因在于随机噪声的方差随样本数线性减小，收敛慢。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校准模式与正常模式切换存在残留。部分方案在从校准模式切换到正常转换模式时，校准电路的残留状态（如阈值偏移寄存器）会影响正常转换的线性度。</w:t>
      </w:r>
    </w:p>
    <w:p>
      <w:pPr>
        <w:pStyle w:val="Heading1"/>
        <w:spacing w:after="120" w:before="240"/>
      </w:pPr>
      <w:r>
        <w:rPr>
          <w:rFonts w:ascii="SimHei" w:eastAsia="SimHei" w:hAnsi="SimHei"/>
          <w:b/>
          <w:bCs/>
          <w:sz w:val="32"/>
          <w:szCs w:val="32"/>
        </w:rPr>
        <w:t xml:space="preserve">四、发明目的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本发明针对现有技术中calDAC离散步长限制测量分辨率、比较器固定失调引入偏置、随机噪声收敛慢、校准/正常模式切换残留等问题，提供一种基于阈值抖动的SAR ADC电容权重校准方法及装置，要解决的技术问题包括：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在不增加calDAC电容面积的前提下，将权重测量分辨率从calDAC步长提升至calDAC步长的1/N；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消除比较器固定失调对权重估计的影响；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缩短校准收敛时间；</w:t>
      </w:r>
    </w:p>
    <w:p>
      <w:pPr>
        <w:pStyle w:val="ListParagraph"/>
        <w:numPr>
          <w:ilvl w:val="0"/>
          <w:numId w:val="4"/>
        </w:numPr>
        <w:spacing w:after="60" w:line="360"/>
      </w:pPr>
      <w:r>
        <w:rPr>
          <w:rFonts w:ascii="SimSun" w:eastAsia="SimSun" w:hAnsi="SimSun"/>
          <w:sz w:val="24"/>
          <w:szCs w:val="24"/>
        </w:rPr>
        <w:t xml:space="preserve">保证校准模式与正常转换模式切换无残留。</w:t>
      </w:r>
    </w:p>
    <w:p>
      <w:pPr>
        <w:pStyle w:val="Heading1"/>
        <w:spacing w:after="120" w:before="240"/>
      </w:pPr>
      <w:r>
        <w:rPr>
          <w:rFonts w:ascii="SimHei" w:eastAsia="SimHei" w:hAnsi="SimHei"/>
          <w:b/>
          <w:bCs/>
          <w:sz w:val="32"/>
          <w:szCs w:val="32"/>
        </w:rPr>
        <w:t xml:space="preserve">五、发明内容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本发明通过在比较器判决阈值上注入确定性抖动电压，结合D+/D−双向差分测量，实现高位电容权重的精确恢复。本发明的技术方案包括以下步骤：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步骤1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在SAR ADC上电或空闲阶段，校准使能信号CAL从低电平变为高电平，比较器进入校准模式。比较器内部的抖动状态机初始化：抖动索引k清零，边沿计数器清零，抖动电压Vdith设置为第一个中点值。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该步骤的作用是启动校准流程并初始化抖动序列。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步骤2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比较器在每个D+/D−测量对的第一个CLK上升沿更新抖动电压，抖动值按以下公式计算：</w:t>
      </w:r>
    </w:p>
    <w:p>
      <w:pPr>
        <w:spacing w:after="60" w:before="60"/>
        <w:jc w:val="center"/>
      </w:pPr>
      <w:r>
        <w:rPr>
          <w:rFonts w:ascii="SimSun" w:eastAsia="SimSun" w:hAnsi="SimSun"/>
          <w:sz w:val="24"/>
          <w:szCs w:val="24"/>
        </w:rPr>
        <w:t xml:space="preserve">Vdith,k = VLSB,cal × [(k + 0.5) / N − 0.5],  k = 0, 1, ..., N−1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其中N为抖动级数（本实施例N=32），VLSB,cal为一个校准码LSB对应的差分电压，k为抖动序列索引。抖动电压在整个D+/D−测量对内（包含16个CLK上升沿，D+方向8次、D−方向8次）保持不变。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该步骤的作用是将比较器判决阈值在[−0.5, +0.5) VLSB,cal区间内按N个等间距中点均匀扫描，使N次测量的平均值严格等于真实期望，消除一阶量化误差。抖动步进为VLSB,cal/N，提供1/N校准LSB的有效分辨率。D+/D−对内保持抖动不变，保证两个方向在相同阈值条件下测量，使差分测量有效。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步骤3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对每个目标权重，在抖动序列的每一级执行D+/D−双向测量：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步骤3.1：calDAC设置为参考墙码值，使差分输入高于参考墙Rtrue，执行D+方向8次CLK判决，记录判决码；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步骤3.2：calDAC设置为目标权重码值，使差分输入低于参考墙Rtrue，执行D−方向8次CLK判决，记录判决码；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步骤3.3：抖动索引k加1，更新抖动电压，重复步骤3.1和3.2，直到N级抖动全部完成。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该步骤的作用是通过双向测量获取残差信息。D+和D−方向使用相同抖动电压，使得比较器固定失调VOS在两个方向上产生相同的偏移，在后续差分计算中被消除。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步骤4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根据D+/D−测量结果计算残差并恢复目标权重：</w:t>
      </w:r>
    </w:p>
    <w:p>
      <w:pPr>
        <w:spacing w:after="60" w:before="60"/>
        <w:jc w:val="center"/>
      </w:pPr>
      <w:r>
        <w:rPr>
          <w:rFonts w:ascii="SimSun" w:eastAsia="SimSun" w:hAnsi="SimSun"/>
          <w:sz w:val="24"/>
          <w:szCs w:val="24"/>
        </w:rPr>
        <w:t xml:space="preserve">R = (1/N) × Σ(D+ − D−) ≈ 2 × Rtrue / VLSB,cal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权重恢复采用从低位到高位的递归顺序：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W2 = Wwall + R2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W1 = (W2 − W3) + R1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W0 = (W1 − W4) + R0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其中Wwall = W3 + W4为参考墙（未校准的低位权重之和），Ri为各目标权重的测量残差。校准后的权重以Q格式定点数存储（Q = 2^NF，NF=6）。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该步骤的作用是利用已校准的低位结果作为下一步测量的参考，避免误差累积。D+/D−差分计算消除比较器固定失调VOS，无需额外测量或校准失调本身。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步骤5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校准使能信号CAL从高电平变为低电平，比较器进入正常转换模式。抖动电压强制归零，边沿计数器复位。此后每个CLK上升沿，抖动保持为零。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该步骤的作用是保证正常转换模式下比较器完全理想，无任何抖动残留，使校准后A/B验证结果可靠。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步骤6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正常转换时，14个原始判决r0, r1, ..., r13使用校准后的Q格式权重进行加权求和，减去冗余中心偏移后截断为12位输出：</w:t>
      </w:r>
    </w:p>
    <w:p>
      <w:pPr>
        <w:spacing w:after="60" w:before="60"/>
        <w:jc w:val="center"/>
      </w:pPr>
      <w:r>
        <w:rPr>
          <w:rFonts w:ascii="SimSun" w:eastAsia="SimSun" w:hAnsi="SimSun"/>
          <w:sz w:val="24"/>
          <w:szCs w:val="24"/>
        </w:rPr>
        <w:t xml:space="preserve">Dout = clip[0,4095](round((Σri × wi − 128 × Q) / Q))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该步骤的作用是将14个冗余判决精确映射为标准12位输出，输出线性度由校准权重精度决定。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可选步骤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在步骤2中，抖动级数N可根据精度需求调整。当N=64时，有效分辨率为VLSB,cal/64，但校准时间加倍；当N=16时，有效分辨率为VLSB,cal/16，校准时间减半。步骤4中的递归顺序也可以从W0（MSB）开始向下递归，但需要额外的参考墙校准。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装置方面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本发明的装置包括非二进制冗余CDAC、比较器、SAR逻辑、校准解码控制器和底板开关驱动器。比较器包含抖动注入模块，由CAL信号控制。校准解码控制器包含抖动状态机、Q格式权重存储器和加权解码器。各部件的连接关系为：CDAC的差分输出连接到比较器的P和N输入端；比较器的COMP和COMN输出连接到SAR逻辑；SAR逻辑的14位判决输出连接到校准解码控制器；校准解码控制器的底板开关信号连接到CDAC；校准解码控制器的12位输出作为ADC最终输出。</w:t>
      </w:r>
    </w:p>
    <w:p>
      <w:pPr>
        <w:pStyle w:val="Heading1"/>
        <w:spacing w:after="120" w:before="240"/>
      </w:pPr>
      <w:r>
        <w:rPr>
          <w:rFonts w:ascii="SimHei" w:eastAsia="SimHei" w:hAnsi="SimHei"/>
          <w:b/>
          <w:bCs/>
          <w:sz w:val="32"/>
          <w:szCs w:val="32"/>
        </w:rPr>
        <w:t xml:space="preserve">六、有益效果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本发明与最接近的现有技术（基于D+/D−双向测量的前景校准，无抖动注入）相比，具有以下有益效果：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（1）测量分辨率提升N倍。现有技术中calDAC步长为4 LSB，存在[−4, +4) LSB的测量盲区。本发明通过32级抖动扫描，将有效测量分辨率提升至4/32 = 0.125 LSB。原因是抖动扫描将连续残差映射为离散计数，计数斜率为1/VLSB,cal，N次测量给出VLSB,cal/N的有效分辨率。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（2）比较器固定失调精确消除。现有技术中失调VOS在正反向平均中只能部分消除。本发明通过D+/D−差分计算R = D+ − D−，由于抖动序列零均值，VOS在两个方向上产生相同的偏移，在差分中被数学消除。原因是VOS对D+和D−的贡献相同，相减后为零。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（3）收敛速度提升3倍以上。现有技术采用随机噪声抖动，收敛速度为1/√N，达到0.1 LSB精度需约100次平均。本发明采用确定性中点均匀抖动，32次测量后覆盖完整的[−0.5, +0.5) VLSB,cal区间，达到0.125 LSB精度。原因是中点法则消除一阶量化误差，不存在随机方差问题。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（4）校准/正常模式无残留。现有技术中部分方案在模式切换时存在残留状态。本发明通过CAL下降沿触发抖动归零和计数器复位，保证正常转换模式下抖动严格为零。原因是状态机由CAL边沿驱动，切换时序确定。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（5）不增加电容面积。现有技术中增大电容面积的方案在面积、功耗和速度上代价大。本发明的抖动方案用时间换精度，N次测量换取N倍分辨率提升，不增加任何calDAC电容面积。</w:t>
      </w:r>
    </w:p>
    <w:p>
      <w:pPr>
        <w:pStyle w:val="Heading1"/>
        <w:spacing w:after="120" w:before="240"/>
      </w:pPr>
      <w:r>
        <w:rPr>
          <w:rFonts w:ascii="SimHei" w:eastAsia="SimHei" w:hAnsi="SimHei"/>
          <w:b/>
          <w:bCs/>
          <w:sz w:val="32"/>
          <w:szCs w:val="32"/>
        </w:rPr>
        <w:t xml:space="preserve">七、最佳实施方式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实施例一：12位非二进制冗余SAR ADC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本实施例针对一个12位差分SAR ADC，采用14个非二进制冗余电容权重，标称权重为：</w:t>
      </w:r>
    </w:p>
    <w:p>
      <w:pPr>
        <w:spacing w:after="60" w:before="60"/>
        <w:jc w:val="center"/>
      </w:pPr>
      <w:r>
        <w:rPr>
          <w:rFonts w:ascii="SimSun" w:eastAsia="SimSun" w:hAnsi="SimSun"/>
          <w:sz w:val="24"/>
          <w:szCs w:val="24"/>
        </w:rPr>
        <w:t xml:space="preserve">W = [2048, 1024, 512, 256, 256, 128, 48, 32, 20, 12, 8, 4, 2, 1]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总权重Wtotal = 4351，冗余Wred = 256 LSB，对称冗余中心偏移Ored = 128 LSB。差分满量程为2 × 1.8 V = 3.6 V，校准LSB电压VLSB,cal = 3.6/4351 = 0.8274 mV。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CDAC结构：CDAC采用差分结构，正相（P）和负相（N）各有一组14个电容。电容Ci的物理值与权重Wi成正比，Ci = Wi × Cunit，其中Cunit = 10 fF。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calDAC配置：校准DAC由低位电容[C6, C7, C8, C9, C10, C11, C12]组成，对应权重[48, 32, 20, 12, 8, 4, 2]，总权重126。calDAC采用offset-binary编码，中心码为64。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比较器参数：输出高电平VHIGH = 1.8 V，CLK判决阈值VTH,CLK = 0.9 V，CAL判决阈值VTH,CAL = 0.9 V，输入失调VOS = 0 V（可配置），传输延迟TD = 20 ps，上升/下降时间TR = TF = 10 ps，输出驱动电阻RDRV = 1.0 Ω。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抖动参数：抖动级数N = 32，每对CLK边沿数M = 16（D+方向8次，D−方向8次），校准LSB电压VLSB,cal = 0.8274 mV。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校准流程：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（1）CAL上升沿，初始化抖动序列：k=0，Vdith = 0.8274 × (0.5/32 − 0.5) = −0.4007 mV。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（2）对目标权重W2（标称512 LSB）：k=0时，calDAC设为参考墙码（W3 + W4 = 512 LSB），D+方向8次CLK判决记录D+(0)；calDAC设为目标码（W2 = 512 LSB），D−方向8次CLK判决记录D−(0)。k=1至k=31：重复上述过程，抖动电压按公式更新。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（3）计算R2 = (1/32)Σ(D+ − D−)，恢复W2 = Wwall + R2。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（4）对W1和W0重复步骤（2）和（3），使用递归公式。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（5）CAL下降沿，抖动归零，切换到正常转换模式。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正常转换：每次转换产生14个原始判决r0, ..., r13，按步骤6的公式解码为12位输出。</w:t>
      </w:r>
    </w:p>
    <w:p>
      <w:pPr>
        <w:spacing w:after="60" w:before="120"/>
      </w:pPr>
      <w:r>
        <w:rPr>
          <w:rFonts w:ascii="SimHei" w:eastAsia="SimHei" w:hAnsi="SimHei"/>
          <w:b/>
          <w:bCs/>
          <w:sz w:val="22"/>
          <w:szCs w:val="22"/>
        </w:rPr>
        <w:t xml:space="preserve">表1 关键参数一览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/>
                <w:bCs/>
                <w:sz w:val="22"/>
                <w:szCs w:val="22"/>
              </w:rPr>
              <w:t xml:space="preserve">单位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VHIGH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1.8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V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输出高电平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VTH,CLK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0.9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V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CLK判决阈值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VTH,CAL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0.9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V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CAL判决阈值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VOS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V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输入失调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TD / TR / TF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20 / 10 / 10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ps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延迟/上升/下降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RDRV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输出驱动电阻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VLSB,cal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0.8274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mV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校准LSB电压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抖动级数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每对CLK边沿数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Cunit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fF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单位电容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Q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SimSun" w:eastAsia="SimSun" w:hAnsi="SimSun"/>
                <w:b w:val="false"/>
                <w:bCs w:val="false"/>
                <w:sz w:val="22"/>
                <w:szCs w:val="22"/>
              </w:rPr>
              <w:t xml:space="preserve">Q格式缩放因子</w:t>
            </w:r>
          </w:p>
        </w:tc>
      </w:tr>
    </w:tbl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实施例二：可变抖动级数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当精度需求更高时，可选取N=64，有效分辨率VLSB,cal/64 = 12.93 μV，约为ADC LSB的1/256，但校准时间加倍。当面积或时间受限时，可选取N=16，有效分辨率VLSB,cal/16 = 51.7 μV，仍优于calDAC步长。其余参数和流程与实施例一相同。</w:t>
      </w:r>
    </w:p>
    <w:p>
      <w:pPr>
        <w:pStyle w:val="Heading2"/>
        <w:spacing w:after="120" w:before="240"/>
      </w:pPr>
      <w:r>
        <w:rPr>
          <w:rFonts w:ascii="SimHei" w:eastAsia="SimHei" w:hAnsi="SimHei"/>
          <w:b/>
          <w:bCs/>
          <w:sz w:val="28"/>
          <w:szCs w:val="28"/>
        </w:rPr>
        <w:t xml:space="preserve">实施例三：14位SAR ADC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本发明可推广至14位SAR ADC。此时总权重增大（例如Wtotal = 17403），VLSB,cal相应减小，但抖动公式不变。更高的分辨率要求可通过增大N（如N=64或128）实现。其余参数和流程与实施例一相同。</w:t>
      </w:r>
    </w:p>
    <w:p>
      <w:pPr>
        <w:pStyle w:val="Heading1"/>
        <w:spacing w:after="120" w:before="240"/>
      </w:pPr>
      <w:r>
        <w:rPr>
          <w:rFonts w:ascii="SimHei" w:eastAsia="SimHei" w:hAnsi="SimHei"/>
          <w:b/>
          <w:bCs/>
          <w:sz w:val="32"/>
          <w:szCs w:val="32"/>
        </w:rPr>
        <w:t xml:space="preserve">八、附图及附图说明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图1为本发明的系统架构框图，标注各部件及连接关系。图1中：部件1为非二进制冗余CDAC，包含14个电容，产生差分比较器输入信号；部件2为比较器，包含抖动注入模块，在校准模式下按步骤2注入抖动电压；部件3为SAR逻辑，产生14次逐次逼近判决；部件4为校准解码控制器，包含抖动状态机、Q格式权重存储器和加权解码器；部件5为底板开关驱动器，根据校准解码控制器的信号驱动CDAC底板开关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图2为D+/D−测量对的时序图，标注CLK、抖动电压和边沿计数器的对应关系。图2中：CLK为比较器时钟信号；D+方向包含8次CLK上升沿判决，calDAC设置为参考墙码值；D−方向包含8次CLK上升沿判决，calDAC设置为目标权重码值；抖动电压Vdith在整个D+/D−对内（16个CLK边沿）保持不变；边沿计数器从0计到15，第16个边沿后清零并更新抖动电压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图3为抖动电压序列示意图，标注32个抖动值及其覆盖范围。图3中：横轴k为抖动序列索引（0至31）；纵轴为抖动电压与VLSB,cal的比值；序列关于零点反对称，零均值；步进为1/N = 1/32。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图4为校准流程图，标注各步骤及其顺序关系。图4中：步骤1至步骤5为校准模式流程，步骤6为正常转换模式流程。步骤4完成后若仍有未校准的目标权重，返回步骤2进行下一权重的测量；所有权重校准完成后执行步骤5切换到正常模式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注：附图请参见LaTeX PDF版本中的TikZ矢量图，Word版本中以文字说明为主。</w:t>
      </w:r>
    </w:p>
    <w:p>
      <w:pPr>
        <w:pStyle w:val="Heading1"/>
        <w:spacing w:after="120" w:before="240"/>
      </w:pPr>
      <w:r>
        <w:rPr>
          <w:rFonts w:ascii="SimHei" w:eastAsia="SimHei" w:hAnsi="SimHei"/>
          <w:b/>
          <w:bCs/>
          <w:sz w:val="32"/>
          <w:szCs w:val="32"/>
        </w:rPr>
        <w:t xml:space="preserve">九、权利要求书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（可暂不写，后期与代理人确定）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权利要求1. 一种SAR ADC电容权重校准方法，其特征在于包括以下步骤：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步骤1：校准使能信号有效时，比较器进入校准模式，初始化抖动序列；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步骤2：比较器在每个测量对的第一个时钟上升沿按公式Vdith,k = VLSB,cal × [(k+0.5)/N − 0.5]更新抖动电压，且该抖动电压在整个测量对内保持不变；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步骤3：对每个目标权重，在抖动序列的每一级执行D+/D−双向测量；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步骤4：根据D+/D−测量结果计算残差，通过递归公式恢复目标权重；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步骤5：校准使能信号失效时，抖动电压归零，比较器进入正常转换模式，使用校准后的权重进行加权解码输出。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权利要求2. 根据权利要求1所述的方法，其特征在于：所述抖动级数N为32，每个测量对包含16个时钟上升沿。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权利要求3. 根据权利要求1所述的方法，其特征在于：所述D+/D−双向测量中，比较器固定失调在差分计算中被消除。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权利要求4. 根据权利要求1所述的方法，其特征在于：所述校准使能信号上升沿初始化抖动序列，下降沿将抖动电压归零。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权利要求5. 一种SAR ADC装置，包括非二进制冗余CDAC、比较器、SAR逻辑和校准解码控制器，其特征在于：所述比较器包含抖动注入模块，在校准模式下按权利要求1所述方法注入抖动电压。</w:t>
      </w:r>
    </w:p>
    <w:p>
      <w:pPr>
        <w:spacing w:after="120" w:line="360"/>
      </w:pPr>
      <w:r>
        <w:rPr>
          <w:rFonts w:ascii="SimSun" w:eastAsia="SimSun" w:hAnsi="SimSun"/>
          <w:sz w:val="24"/>
          <w:szCs w:val="24"/>
        </w:rPr>
        <w:t xml:space="preserve">权利要求6. 根据权利要求5所述的装置，其特征在于：所述校准解码控制器包含Q格式权重存储器和加权解码器。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eastAsia="SimSun" w:hAnsi="SimSun"/>
        <w:sz w:val="20"/>
        <w:szCs w:val="20"/>
      </w:rPr>
      <w:t xml:space="preserve">第 </w:t>
    </w:r>
    <w:r>
      <w:rPr>
        <w:rFonts w:ascii="SimSun" w:eastAsia="SimSun" w:hAnsi="SimSu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eastAsia="SimSun" w:hAnsi="SimSun"/>
        <w:color w:val="888888"/>
        <w:sz w:val="20"/>
        <w:szCs w:val="20"/>
      </w:rPr>
      <w:t xml:space="preserve">专利技术交底书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（%1）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（%1）"/>
      <w:lvlJc w:val="left"/>
      <w:pPr>
        <w:ind w:left="48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（%1）"/>
      <w:lvlJc w:val="left"/>
      <w:pPr>
        <w:ind w:left="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SimSun" w:hAnsi="SimSu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60"/>
      <w:outlineLvl w:val="0"/>
    </w:pPr>
    <w:rPr>
      <w:rFonts w:ascii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80"/>
      <w:outlineLvl w:val="2"/>
    </w:pPr>
    <w:rPr>
      <w:rFonts w:ascii="SimHei" w:eastAsia="SimHei" w:hAnsi="Sim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2026-07-20T17:15:19.240Z</dcterms:created>
  <dcterms:modified xsi:type="dcterms:W3CDTF">2026-07-20T17:15:19.241Z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