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SAR16 SKY130HS</w:t>
        <w:br/>
        <w:t>DRC 与 LVS 最终修复报告</w:t>
      </w:r>
    </w:p>
    <w:p>
      <w:pPr>
        <w:pStyle w:val="Subtitle"/>
      </w:pPr>
      <w:r>
        <w:t>2026 年 10 月 6 日  |  最终交付版本 candidate_v2_diodefree</w:t>
      </w:r>
    </w:p>
    <w:p>
      <w:r>
        <w:rPr>
          <w:b/>
        </w:rPr>
        <w:t>最终候选已通过本次执行的全部开源检查：</w:t>
      </w:r>
      <w:r>
        <w:t>真实合并 GDS 的 Magic full DRC 为 0，KLayout BEOL 与 off-grid 为 0，晶体管级提取 LVS 唯一匹配且器件属性错误为 0。该候选替代先前 run_v6 作为最终交付；原始 run_v6 保留不变。</w:t>
      </w:r>
    </w:p>
    <w:p>
      <w:r>
        <w:t>验证对象为 SKY130HS 1.8 V 数字核心。结果不等同于专有 foundry 签核或完整模拟 ADC 验证；密度检查及其余覆盖边界见第 4 页。</w:t>
      </w:r>
    </w:p>
    <w:p>
      <w:pPr>
        <w:pStyle w:val="Heading1"/>
      </w:pPr>
      <w:r>
        <w:t>最终验证结果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4694"/>
      </w:tblGrid>
      <w:tr>
        <w:trPr>
          <w:cantSplit/>
          <w:tblHeader/>
        </w:trPr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5EEF5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检查项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5EEF5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9"/>
              </w:rPr>
              <w:t>最终结果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Magic 8.3.684 真实 GDS drc(full)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0 个原始违规矩形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6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KLayout 0.30.0 BEOL / off-grid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6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0 个标记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Netgen 1.5.324 提取 LVS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唯一匹配；属性错误 0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6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LVS 网数 / 功能单元数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6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4,335 / 4,335；4,301 / 4,301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Fresh-process 天线检查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net 0 / pin 0；diode 0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6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Router DRC 布局及信号与电源连接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6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SPEF 已连接网覆盖 电气 CDC 与复位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6F8FA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数字等价及负对照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6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9"/>
              </w:rPr>
              <w:t>9 项检查，两次运行全部 PASS</w:t>
            </w:r>
          </w:p>
        </w:tc>
      </w:tr>
    </w:tbl>
    <w:p>
      <w:pPr>
        <w:spacing w:after="0" w:line="60" w:lineRule="exact" w:before="0"/>
      </w:pPr>
      <w:r/>
    </w:p>
    <w:p>
      <w:pPr>
        <w:pStyle w:val="Heading1"/>
      </w:pPr>
      <w:r>
        <w:t>时序边界保持不变</w:t>
      </w:r>
    </w:p>
    <w:p>
      <w:r>
        <w:t>时钟约束仍为 clk 10 ns、dec_clk 3 ns，输出负载仍为 50 fF。两组模型下 setup 与 hold 最差裕量均为正，13 项 CDC bounds、Gray span 和复位检查通过。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18"/>
        <w:gridCol w:w="3024"/>
        <w:gridCol w:w="3024"/>
      </w:tblGrid>
      <w:tr>
        <w:trPr>
          <w:cantSplit/>
          <w:tblHeader/>
        </w:trPr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5EEF5"/>
          </w:tcPr>
          <w:p>
            <w:pPr>
              <w:spacing w:after="0" w:line="260" w:lineRule="exact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5EEF5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Setup WNS  ns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5EEF5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Hold WNS  ns</w:t>
            </w:r>
          </w:p>
        </w:tc>
      </w:tr>
      <w:tr>
        <w:trPr>
          <w:cantSplit/>
        </w:trPr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Nominal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1.062018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0.153111</w:t>
            </w:r>
          </w:p>
        </w:tc>
      </w:tr>
      <w:tr>
        <w:trPr>
          <w:cantSplit/>
        </w:trPr>
        <w:tc>
          <w:tcPr>
            <w:tcW w:type="dxa" w:w="4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6F8FA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Scalar stress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6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0.947274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6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0.050880</w:t>
            </w:r>
          </w:p>
        </w:tc>
      </w:tr>
    </w:tbl>
    <w:p>
      <w:pPr>
        <w:spacing w:after="0" w:line="60" w:lineRule="exact" w:before="0"/>
      </w:pPr>
      <w:r/>
    </w:p>
    <w:p>
      <w:r>
        <w:rPr>
          <w:b/>
        </w:rPr>
        <w:t>全程未引入规则豁免、金参考改值或器件属性检查删除。</w:t>
      </w:r>
      <w:r/>
    </w:p>
    <w:p>
      <w:pPr>
        <w:pStyle w:val="Caption"/>
        <w:spacing w:after="140"/>
      </w:pPr>
      <w:r>
        <w:t>证据：signoff_summary.json；verification/candidate_v2_diodefree/reports；candidate_v2_diodefree/reports/final_summary.json</w:t>
      </w:r>
    </w:p>
    <w:p>
      <w:pPr>
        <w:spacing w:line="20" w:lineRule="exact" w:after="0"/>
      </w:pPr>
      <w:r>
        <w:br w:type="page"/>
      </w:r>
    </w:p>
    <w:p>
      <w:pPr>
        <w:pStyle w:val="Heading1"/>
      </w:pPr>
      <w:r>
        <w:t>失败根因与实际物理修复</w:t>
      </w:r>
    </w:p>
    <w:p>
      <w:r>
        <w:t>冻结原版检查产生 2,838 个 Magic 原始违规矩形，其中含 nwell 间距与宽度、tap 连通/距离及 LI 间距问题。矩形数不等于独立根因数。提取布局有 4,577 个网，参考有 4,335 个网；多出的 242 个均为未接回 VDD 的 VPB/well 岛。</w:t>
      </w:r>
    </w:p>
    <w:p>
      <w:r>
        <w:t>缺少标准单元 filler 导致 well 不连续；另有 3 个 dfrtp_1 时钟接入点，LEF 的 CLK 矩形覆盖实际 GDS 缺口，使 mcon 接入靠近缺口，产生 6 个 KLayout LI 间距标记。</w:t>
      </w:r>
    </w:p>
    <w:p>
      <w:pPr>
        <w:pStyle w:val="Heading2"/>
      </w:pPr>
      <w:r>
        <w:t>执行的修复</w:t>
      </w:r>
    </w:p>
    <w:p>
      <w:r>
        <w:t>1  插入 8,900 个官方 HS fill_1/2/4/8 单元，填补原有空位并恢复 well 连续性。</w:t>
      </w:r>
    </w:p>
    <w:p>
      <w:r>
        <w:t>2  将 3 个 CLK 接入 mcon 的局部 y 坐标从 1.665 移至 1.480 µm，各补 0.185 µm metal1 小折线。</w:t>
      </w:r>
    </w:p>
    <w:p>
      <w:r>
        <w:t>3  移除 8 个 antenna diode，并补回曾借用其内部 LI 连通的真实布线分支。</w:t>
      </w:r>
    </w:p>
    <w:p>
      <w:r>
        <w:t>4  用 3 处实际跨层布线解决天线：clk 的 1.44 µm met4 跨接、时钟末端 0.72 µm 分支由 met3 升到 met4，以及 _0827_ 的 met2 桥接，并补齐合法 landing 面积。</w:t>
      </w:r>
    </w:p>
    <w:p>
      <w:pPr>
        <w:pStyle w:val="Heading2"/>
      </w:pPr>
      <w:r>
        <w:t>时钟跨接的真实 GDS 几何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3052916"/>
            <wp:docPr id="1" name="Picture 1" descr="jumper_clk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mper_cl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52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t>图 1  左侧为 candidate v1，右侧为最终无 diode 候选。图像来自实际 GDS 多边形；右侧新增 met4 跨接和两处 M3–M4 接触。坐标单位为 µm。</w:t>
      </w:r>
    </w:p>
    <w:p>
      <w:r>
        <w:t>最终冻结 ODB 在新进程中重新读取后，天线违规为 net 0 / pin 0，diode 实例和 DIODE 端子均为 0。全部 3,230 个 master-pin 的 gate/diffusion 天线模型与工艺天线规则保持原值，未通过放宽模型取得通过结果。</w:t>
      </w:r>
    </w:p>
    <w:p>
      <w:pPr>
        <w:pStyle w:val="Caption"/>
        <w:spacing w:after="140"/>
      </w:pPr>
      <w:r>
        <w:t>证据：candidate_v2_diodefree/reports 中的 access_edits.json、diodefree_route_edits.json、invariance_audit.json、antenna_model_integrity.json 与 antenna_fresh_full.rpt</w:t>
      </w:r>
    </w:p>
    <w:p>
      <w:pPr>
        <w:spacing w:line="20" w:lineRule="exact" w:after="0"/>
      </w:pPr>
      <w:r>
        <w:br w:type="page"/>
      </w:r>
    </w:p>
    <w:p>
      <w:pPr>
        <w:pStyle w:val="Heading1"/>
      </w:pPr>
      <w:r>
        <w:t>最终版图与面积</w:t>
      </w:r>
    </w:p>
    <w:p>
      <w:r>
        <w:t>外框仍为 392.98 × 392.98 µm，面积 154,433.2804 µm²；core 为 135,032.832 µm²。RTL、保留实例的连接/位置/方向、178 个物理端口与 4,200 个数据库网名和类型保持不变。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60520" cy="4160520"/>
            <wp:docPr id="2" name="Picture 2" descr="01_routed_full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outed_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t>图 2  最终候选的实际全局布线视图，含标准单元行、信号布线与电源网络。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2160"/>
        <w:gridCol w:w="3542"/>
      </w:tblGrid>
      <w:tr>
        <w:trPr>
          <w:cantSplit/>
          <w:tblHeader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5EEF5"/>
          </w:tcPr>
          <w:p>
            <w:pPr>
              <w:spacing w:after="0" w:line="260" w:lineRule="exact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5EEF5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实例数</w:t>
            </w:r>
          </w:p>
        </w:tc>
        <w:tc>
          <w:tcPr>
            <w:tcW w:type="dxa" w:w="35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5EEF5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面积  µm²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逻辑含 buffers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4,301</w:t>
            </w:r>
          </w:p>
        </w:tc>
        <w:tc>
          <w:tcPr>
            <w:tcW w:type="dxa" w:w="35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64,567.3680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6F8FA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Tap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6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1,456</w:t>
            </w:r>
          </w:p>
        </w:tc>
        <w:tc>
          <w:tcPr>
            <w:tcW w:type="dxa" w:w="35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6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2,327.2704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Filler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8,900</w:t>
            </w:r>
          </w:p>
        </w:tc>
        <w:tc>
          <w:tcPr>
            <w:tcW w:type="dxa" w:w="35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68,138.1936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6F8FA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Antenna diode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6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5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6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合计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14,657</w:t>
            </w:r>
          </w:p>
        </w:tc>
        <w:tc>
          <w:tcPr>
            <w:tcW w:type="dxa" w:w="35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135,032.8320</w:t>
            </w:r>
          </w:p>
        </w:tc>
      </w:tr>
    </w:tbl>
    <w:p>
      <w:pPr>
        <w:spacing w:after="0" w:line="60" w:lineRule="exact" w:before="0"/>
      </w:pPr>
      <w:r/>
    </w:p>
    <w:p>
      <w:r>
        <w:t>Filler 填补的是既有 core 空位，不代表增加逻辑功能或扩大芯片外框。最终含 98 种 master，空 cell 为 0。</w:t>
      </w:r>
    </w:p>
    <w:p>
      <w:pPr>
        <w:pStyle w:val="Caption"/>
        <w:spacing w:after="140"/>
      </w:pPr>
      <w:r>
        <w:t>证据：candidate_v2_diodefree/reports/final_summary.json、invariance_audit.json；实际图像位于 candidate_v2_diodefree/images</w:t>
      </w:r>
    </w:p>
    <w:p>
      <w:pPr>
        <w:spacing w:line="20" w:lineRule="exact" w:after="0"/>
      </w:pPr>
      <w:r>
        <w:br w:type="page"/>
      </w:r>
    </w:p>
    <w:p>
      <w:pPr>
        <w:pStyle w:val="Heading1"/>
      </w:pPr>
      <w:r>
        <w:t>可复核性与覆盖边界</w:t>
      </w:r>
    </w:p>
    <w:p>
      <w:pPr>
        <w:pStyle w:val="Heading2"/>
      </w:pPr>
      <w:r>
        <w:t>参考库选择与数字证明</w:t>
      </w:r>
    </w:p>
    <w:p>
      <w:r>
        <w:t>官方 HS diode_2 的实际扩散区为 0.69 × 0.93 µm，Magic 与 KLayout 均得到周长 3.24 µm，而官方 SPICE 为 7.32 µm；独立单元提取复现同一属性差异。最终通过真实布线消除 diode 需求，未修改参考或豁免属性。参考版本与冻结 ORFS GDS 几何匹配，也避开新版 conb_1 的布局与电阻长度变化。</w:t>
      </w:r>
    </w:p>
    <w:p>
      <w:r>
        <w:t>数字等价覆盖 RTL → mapped → 最终 routed，两次各 9 项检查通过，其中 5 项负对照均产生预期反例。每组比较覆盖 20 个功能输出端口共 146 bit，mapped/routed 各 846 个状态 bit；无未解析功能 blackbox。该证明采用默认参数、复位可达状态与理想布尔/Liberty 语义。</w:t>
      </w:r>
    </w:p>
    <w:p>
      <w:pPr>
        <w:pStyle w:val="Heading2"/>
      </w:pPr>
      <w:r>
        <w:t>工具与来源版本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494"/>
      </w:tblGrid>
      <w:tr>
        <w:trPr>
          <w:cantSplit/>
          <w:tblHeader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5EEF5"/>
          </w:tcPr>
          <w:p>
            <w:pPr>
              <w:spacing w:after="0" w:line="260" w:lineRule="exact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6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E5EEF5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18"/>
              </w:rPr>
              <w:t>锁定版本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Magic / Netgen / KLayout</w:t>
            </w:r>
          </w:p>
        </w:tc>
        <w:tc>
          <w:tcPr>
            <w:tcW w:type="dxa" w:w="6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8.3.684 / 1.5.324 / 0.30.0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6F8FA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open-pdks</w:t>
            </w:r>
          </w:p>
        </w:tc>
        <w:tc>
          <w:tcPr>
            <w:tcW w:type="dxa" w:w="6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6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1.0.611  ·  801834fc…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几何匹配 HS 参考</w:t>
            </w:r>
          </w:p>
        </w:tc>
        <w:tc>
          <w:tcPr>
            <w:tcW w:type="dxa" w:w="6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968e0c3b…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6F8FA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ORFS 平台</w:t>
            </w:r>
          </w:p>
        </w:tc>
        <w:tc>
          <w:tcPr>
            <w:tcW w:type="dxa" w:w="6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F6F8FA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18"/>
              </w:rPr>
              <w:t>ad11cc9f…</w:t>
            </w:r>
          </w:p>
        </w:tc>
      </w:tr>
    </w:tbl>
    <w:p>
      <w:pPr>
        <w:spacing w:after="0" w:line="60" w:lineRule="exact" w:before="0"/>
      </w:pPr>
      <w:r/>
    </w:p>
    <w:p>
      <w:pPr>
        <w:pStyle w:val="Caption"/>
        <w:spacing w:after="140"/>
      </w:pPr>
      <w:r>
        <w:t>完整 commit、官方来源链接与校验和见 pdk/PDK_AUDIT.md、pdk/source_manifest.json 及原环境 RECONSTRUCTION.md；工具来源与 smoke test 见 tools/tool-status.json。</w:t>
      </w:r>
    </w:p>
    <w:p>
      <w:pPr>
        <w:pStyle w:val="Heading2"/>
      </w:pPr>
      <w:r>
        <w:t>交付身份绑定</w:t>
      </w:r>
    </w:p>
    <w:p>
      <w:r>
        <w:t>最终交付 GDS 为 candidate_v2_diodefree/results/candidate.gds，其 SHA256 为：</w:t>
      </w:r>
    </w:p>
    <w:p>
      <w:pPr>
        <w:spacing w:after="80"/>
      </w:pPr>
      <w:r>
        <w:rPr>
          <w:rFonts w:ascii="Noto Sans Mono" w:hAnsi="Noto Sans Mono"/>
          <w:sz w:val="16"/>
        </w:rPr>
        <w:t>bc8f2590c514a8f8bfb819057fcf0f848fc8107b0726860d7581b8bcdadd8c4b</w:t>
      </w:r>
    </w:p>
    <w:p>
      <w:r>
        <w:t>独立验证 GDS 除 BGNLIB / BGNSTR 的创建与修改时间外，所有记录与交付 GDS 逐字节一致。对应审计见 verification/candidate_v2_diodefree/reports/final_gds_binding.json。</w:t>
      </w:r>
    </w:p>
    <w:p>
      <w:pPr>
        <w:pStyle w:val="Heading2"/>
      </w:pPr>
      <w:r>
        <w:t>仍需由后续集成验证的范围</w:t>
      </w:r>
    </w:p>
    <w:p>
      <w:r>
        <w:t>• Magic drc(full) 是本次公开 FEOL/BEOL 几何检查，并非完整专有 foundry rule deck。标准 DRC 不含 density 和完整 antenna signoff。</w:t>
      </w:r>
    </w:p>
    <w:p>
      <w:r>
        <w:t>• 官方密度检查要求至少 700 × 700 µm 窗口；本 392.98 × 392.98 µm block 更小，须在顶层集成后完成窗口密度验证，简单面积比不能替代。</w:t>
      </w:r>
    </w:p>
    <w:p>
      <w:r>
        <w:t>• 天线 0/0 来自未改原始工艺及单元模型的 fresh-process 计算，不构成专有 foundry 天线认证。</w:t>
      </w:r>
    </w:p>
    <w:p>
      <w:r>
        <w:t>• 本结果不证明完整模拟 ADC 的 SNDR / ENOB，也不是 SMIC180 工艺签核。</w:t>
      </w:r>
    </w:p>
    <w:p>
      <w:pPr>
        <w:pStyle w:val="Caption"/>
        <w:spacing w:after="140"/>
      </w:pPr>
      <w:r>
        <w:t>复核入口：README_DRC_LVS.md、signoff_summary.json、scripts/verify_variant.sh；数字证明详见 equivalence_candidate_v2_diodefree/final_summary.json。</w:t>
      </w:r>
    </w:p>
    <w:sectPr w:rsidR="00FC693F" w:rsidRPr="0006063C" w:rsidSect="00034616">
      <w:footerReference w:type="default" r:id="rId9"/>
      <w:pgSz w:w="12240" w:h="15840"/>
      <w:pgMar w:top="893" w:right="1037" w:bottom="907" w:left="1037" w:header="331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SAR16 SKY130HS  |  2026-10-06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exact"/>
    </w:pPr>
    <w:rPr>
      <w:rFonts w:ascii="Noto Sans CJK SC" w:hAnsi="Noto Sans CJK SC" w:eastAsia="Noto Sans CJK SC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360" w:lineRule="exact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300" w:lineRule="exact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560" w:lineRule="exact"/>
      <w:contextualSpacing/>
    </w:pPr>
    <w:rPr>
      <w:rFonts w:asciiTheme="majorHAnsi" w:eastAsiaTheme="majorEastAsia" w:hAnsiTheme="majorHAnsi" w:cstheme="majorBidi" w:ascii="Noto Sans CJK SC" w:hAnsi="Noto Sans CJK SC" w:eastAsia="Noto Sans CJK SC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00" w:lineRule="exact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20" w:lineRule="exact" w:after="120"/>
    </w:pPr>
    <w:rPr>
      <w:rFonts w:ascii="Noto Sans CJK SC" w:hAnsi="Noto Sans CJK SC" w:eastAsia="Noto Sans CJK SC"/>
      <w:b w:val="0"/>
      <w:bCs/>
      <w:i w:val="0"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SAR16 SKY130HS DRC 与 LVS 最终修复报告</dc:title>
  <dc:subject>candidate_v2_diodefree 开源物理验证结果</dc:subject>
  <dc:creator/>
  <cp:keywords>SAR16 SKY130HS DRC LVS 20261006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