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Tesla Market Research &amp; Strategy</w:t>
      </w:r>
    </w:p>
    <w:p>
      <w:pPr>
        <w:pStyle w:val="Heading1"/>
      </w:pPr>
      <w:r>
        <w:t>Executive Summary</w:t>
      </w:r>
    </w:p>
    <w:p>
      <w:r>
        <w:t>Tesla's U.S. EV market share is eroding as legacy automakers and new entrants increase spend on digital and traditional advertising. To protect market share and drive growth, a $500k media plan focuses on high‑impact digital channels, a robust content cadence, and measurable KPIs, while leveraging Tesla's brand equity and innovation leadership.</w:t>
      </w:r>
    </w:p>
    <w:p>
      <w:pPr>
        <w:pStyle w:val="Heading1"/>
      </w:pPr>
      <w:r>
        <w:t>Competitors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Ford</w:t>
            </w:r>
          </w:p>
        </w:tc>
        <w:tc>
          <w:tcPr>
            <w:tcW w:type="dxa" w:w="2880"/>
          </w:tcPr>
          <w:p>
            <w:r>
              <w:t>https://ford.com</w:t>
            </w:r>
          </w:p>
        </w:tc>
        <w:tc>
          <w:tcPr>
            <w:tcW w:type="dxa" w:w="2880"/>
          </w:tcPr>
          <w:p>
            <w:r>
              <w:t>Legacy automaker with Mustang Mach-E and F-150 Lightning</w:t>
            </w:r>
          </w:p>
        </w:tc>
      </w:tr>
      <w:tr>
        <w:tc>
          <w:tcPr>
            <w:tcW w:type="dxa" w:w="2880"/>
          </w:tcPr>
          <w:p>
            <w:r>
              <w:t>BYD</w:t>
            </w:r>
          </w:p>
        </w:tc>
        <w:tc>
          <w:tcPr>
            <w:tcW w:type="dxa" w:w="2880"/>
          </w:tcPr>
          <w:p>
            <w:r>
              <w:t>https://byd.com</w:t>
            </w:r>
          </w:p>
        </w:tc>
        <w:tc>
          <w:tcPr>
            <w:tcW w:type="dxa" w:w="2880"/>
          </w:tcPr>
          <w:p>
            <w:r>
              <w:t>World's largest EV manufacturer focusing on affordability</w:t>
            </w:r>
          </w:p>
        </w:tc>
      </w:tr>
    </w:tbl>
    <w:p>
      <w:pPr>
        <w:pStyle w:val="Heading1"/>
      </w:pPr>
      <w:r>
        <w:t>Recommendations</w:t>
      </w:r>
    </w:p>
    <w:p>
      <w:pPr>
        <w:pStyle w:val="ListBullet"/>
      </w:pPr>
      <w:r>
        <w:t>Allocate $200k to Google Ads for high‑intent search and display to capture demand‑ready shoppers.</w:t>
      </w:r>
    </w:p>
    <w:p>
      <w:pPr>
        <w:pStyle w:val="ListBullet"/>
      </w:pPr>
      <w:r>
        <w:t>Deploy $150k to Meta for social engagement, retargeting, and lead generation across Meta and Twitter/X.</w:t>
      </w:r>
    </w:p>
    <w:p>
      <w:pPr>
        <w:pStyle w:val="ListBullet"/>
      </w:pPr>
      <w:r>
        <w:t>Invest $100k in YouTube video ads to reinforce brand storytelling and product demos on YouTube and Instagram.</w:t>
      </w:r>
    </w:p>
    <w:p>
      <w:pPr>
        <w:pStyle w:val="ListBullet"/>
      </w:pPr>
      <w:r>
        <w:t>Use $50k on LinkedIn to target B2B and corporate fleet decision‑makers.</w:t>
      </w:r>
    </w:p>
    <w:p>
      <w:pPr>
        <w:pStyle w:val="ListBullet"/>
      </w:pPr>
      <w:r>
        <w:t>Implement a weekly content cadence: 2 videos (YouTube/Instagram), 1 blog (website), 5 social posts (Meta, Twitter/X).</w:t>
      </w:r>
    </w:p>
    <w:p>
      <w:pPr>
        <w:pStyle w:val="ListBullet"/>
      </w:pPr>
      <w:r>
        <w:t>Track brand awareness lift, website traffic, cost per lead, and ROAS; adjust spend monthly based on performance.</w:t>
      </w:r>
    </w:p>
    <w:p>
      <w:pPr>
        <w:pStyle w:val="ListBullet"/>
      </w:pPr>
      <w:r>
        <w:t>Leverage Tesla's innovation narrative in creative assets to differentiate from price‑driven competitors.</w:t>
      </w:r>
    </w:p>
    <w:p>
      <w:pPr>
        <w:pStyle w:val="ListBullet"/>
      </w:pPr>
      <w:r>
        <w:t>Integrate government incentive messaging to boost conversion among price‑sensitive segments.</w:t>
      </w:r>
    </w:p>
    <w:p>
      <w:pPr>
        <w:pStyle w:val="Heading1"/>
      </w:pPr>
      <w:r>
        <w:t>Budget Allocation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SWOT</w:t>
      </w:r>
    </w:p>
    <w:p>
      <w:pPr>
        <w:pStyle w:val="Heading2"/>
      </w:pPr>
      <w:r>
        <w:t>Strengths</w:t>
      </w:r>
    </w:p>
    <w:p>
      <w:pPr>
        <w:pStyle w:val="ListBullet"/>
      </w:pPr>
      <w:r>
        <w:t>Strong brand equity</w:t>
      </w:r>
    </w:p>
    <w:p>
      <w:pPr>
        <w:pStyle w:val="ListBullet"/>
      </w:pPr>
      <w:r>
        <w:t>Innovation leadership</w:t>
      </w:r>
    </w:p>
    <w:p>
      <w:pPr>
        <w:pStyle w:val="Heading2"/>
      </w:pPr>
      <w:r>
        <w:t>Weaknesses</w:t>
      </w:r>
    </w:p>
    <w:p>
      <w:pPr>
        <w:pStyle w:val="ListBullet"/>
      </w:pPr>
      <w:r>
        <w:t>High price perception</w:t>
      </w:r>
    </w:p>
    <w:p>
      <w:pPr>
        <w:pStyle w:val="ListBullet"/>
      </w:pPr>
      <w:r>
        <w:t>Limited advertising</w:t>
      </w:r>
    </w:p>
    <w:p>
      <w:pPr>
        <w:pStyle w:val="Heading2"/>
      </w:pPr>
      <w:r>
        <w:t>Opportunities</w:t>
      </w:r>
    </w:p>
    <w:p>
      <w:pPr>
        <w:pStyle w:val="ListBullet"/>
      </w:pPr>
      <w:r>
        <w:t>Growing EV market</w:t>
      </w:r>
    </w:p>
    <w:p>
      <w:pPr>
        <w:pStyle w:val="ListBullet"/>
      </w:pPr>
      <w:r>
        <w:t>Government incentives</w:t>
      </w:r>
    </w:p>
    <w:p>
      <w:pPr>
        <w:pStyle w:val="Heading2"/>
      </w:pPr>
      <w:r>
        <w:t>Threats</w:t>
      </w:r>
    </w:p>
    <w:p>
      <w:pPr>
        <w:pStyle w:val="ListBullet"/>
      </w:pPr>
      <w:r>
        <w:t>Intense competition</w:t>
      </w:r>
    </w:p>
    <w:p>
      <w:pPr>
        <w:pStyle w:val="ListBullet"/>
      </w:pPr>
      <w:r>
        <w:t>Supply chain challenges</w:t>
      </w:r>
    </w:p>
    <w:p>
      <w:pPr>
        <w:pStyle w:val="Heading1"/>
      </w:pPr>
      <w:r>
        <w:t>Timeline</w:t>
      </w:r>
    </w:p>
    <w:p>
      <w:r>
        <w:t>Sep 1‑30, 2025: Setup &amp; Creative – develop video, blog, and social assets; configure tracking and attribution.</w:t>
      </w:r>
    </w:p>
    <w:p>
      <w:r>
        <w:t>Oct 1‑Nov 30, 2025: Execution – launch media spend per weekly calendar, monitor KPIs, and optimize.</w:t>
      </w:r>
    </w:p>
    <w:p>
      <w:r>
        <w:t>Week 1: $50,000 Google Ads – focus on high‑intent keywords and brand search.</w:t>
      </w:r>
    </w:p>
    <w:p>
      <w:r>
        <w:t>Week 2: $37,500 Meta – launch awareness video and carousel ads.</w:t>
      </w:r>
    </w:p>
    <w:p>
      <w:r>
        <w:t>Ongoing: Weekly performance review and budget reallocation based on ROAS and lead quality.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