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2563EB"/>
          <w:sz w:val="17"/>
        </w:rPr>
        <w:t>TECHNICAL REPORT  •  OPEN-WEIGHTS RELEASE (APACHE-2.0)</w:t>
      </w:r>
    </w:p>
    <w:p>
      <w:pPr>
        <w:spacing w:after="120"/>
        <w:jc w:val="center"/>
      </w:pPr>
      <w:r>
        <w:rPr>
          <w:b/>
          <w:color w:val="0F172A"/>
          <w:sz w:val="33"/>
        </w:rPr>
        <w:t>PseudoBrain: Constant-GPU-Memory Million-Token Language Models via Parallel Gated DeltaNet Distillation and Two-Hop Exact Memory</w:t>
      </w:r>
    </w:p>
    <w:p>
      <w:pPr>
        <w:spacing w:after="200"/>
        <w:jc w:val="center"/>
      </w:pPr>
      <w:r>
        <w:rPr>
          <w:b/>
          <w:sz w:val="22"/>
        </w:rPr>
        <w:t>Ian Kurt Galeon (@defnotean)</w:t>
        <w:br/>
      </w:r>
      <w:r>
        <w:rPr>
          <w:color w:val="2563EB"/>
          <w:sz w:val="17"/>
        </w:rPr>
        <w:t>GitHub: github.com/defnotean/pseudobrain   |   HF (35B-A3B): huggingface.co/defnotean1/PseudoBrain-Nex-35B-A3B-NVFP4   |   HF (27B): huggingface.co/defnotean1/PseudoBrain-27B-NVFP4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8FAFC"/>
            <w:tcMar>
              <w:top w:w="70" w:type="dxa"/>
              <w:bottom w:w="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25"/>
              </w:rPr>
              <w:t>1,000,000 Tokens</w:t>
            </w:r>
          </w:p>
        </w:tc>
        <w:tc>
          <w:tcPr>
            <w:tcW w:type="dxa" w:w="2520"/>
            <w:shd w:fill="F8FAFC"/>
            <w:tcMar>
              <w:top w:w="70" w:type="dxa"/>
              <w:bottom w:w="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25"/>
              </w:rPr>
              <w:t>486 MiB (8.1%)</w:t>
            </w:r>
          </w:p>
        </w:tc>
        <w:tc>
          <w:tcPr>
            <w:tcW w:type="dxa" w:w="2520"/>
            <w:shd w:fill="F8FAFC"/>
            <w:tcMar>
              <w:top w:w="70" w:type="dxa"/>
              <w:bottom w:w="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25"/>
              </w:rPr>
              <w:t>33.6 / 13.8 tok/s</w:t>
            </w:r>
          </w:p>
        </w:tc>
        <w:tc>
          <w:tcPr>
            <w:tcW w:type="dxa" w:w="2520"/>
            <w:shd w:fill="F8FAFC"/>
            <w:tcMar>
              <w:top w:w="70" w:type="dxa"/>
              <w:bottom w:w="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25"/>
              </w:rPr>
              <w:t>90.9% / 44.1%</w:t>
            </w:r>
          </w:p>
        </w:tc>
      </w:tr>
      <w:tr>
        <w:tc>
          <w:tcPr>
            <w:tcW w:type="dxa" w:w="2520"/>
            <w:shd w:fill="F8FAFC"/>
            <w:tcMar>
              <w:top w:w="2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475569"/>
                <w:sz w:val="16"/>
              </w:rPr>
              <w:t>Verified Context (100% 40/40 Recall)</w:t>
            </w:r>
          </w:p>
        </w:tc>
        <w:tc>
          <w:tcPr>
            <w:tcW w:type="dxa" w:w="2520"/>
            <w:shd w:fill="F8FAFC"/>
            <w:tcMar>
              <w:top w:w="2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475569"/>
                <w:sz w:val="16"/>
              </w:rPr>
              <w:t>Constant GPU KV Cache Used at 1M</w:t>
            </w:r>
          </w:p>
        </w:tc>
        <w:tc>
          <w:tcPr>
            <w:tcW w:type="dxa" w:w="2520"/>
            <w:shd w:fill="F8FAFC"/>
            <w:tcMar>
              <w:top w:w="2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475569"/>
                <w:sz w:val="16"/>
              </w:rPr>
              <w:t>Single-GPU Decode @ 8K / 120K</w:t>
            </w:r>
          </w:p>
        </w:tc>
        <w:tc>
          <w:tcPr>
            <w:tcW w:type="dxa" w:w="2520"/>
            <w:shd w:fill="F8FAFC"/>
            <w:tcMar>
              <w:top w:w="2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475569"/>
                <w:sz w:val="16"/>
              </w:rPr>
              <w:t>Algorithmic Coding &amp; SWE-Live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Mar>
              <w:top w:w="110" w:type="dxa"/>
              <w:bottom w:w="110" w:type="dxa"/>
              <w:left w:w="150" w:type="dxa"/>
              <w:right w:w="150" w:type="dxa"/>
            </w:tcMar>
          </w:tcPr>
          <w:p>
            <w:r>
              <w:rPr>
                <w:b/>
                <w:color w:val="1E3A8A"/>
                <w:sz w:val="19"/>
              </w:rPr>
              <w:t>ABSTRACT</w:t>
              <w:br/>
            </w:r>
            <w:r>
              <w:rPr>
                <w:sz w:val="20"/>
              </w:rPr>
              <w:t>Long-context language models face a fundamental trade-off between memory complexity and exact associative recall. Standard softmax self-attention maintains an uncompressed key-value (KV) cache that grows linearly with sequence length L, consuming 64 GiB of GPU memory at L = 1,000,000 tokens on a 27B model and exhausting single-accelerator memory. Conversely, fixed-state linear recurrent models such as Mamba-2 and Gated DeltaNet compress history into a constant-size matrix state, achieving O(1) memory but failing on exact token-level retrieval, multi-constant synthesis, and multi-hop call chains over long contexts. We introduce PseudoBrain (PB-27 for 27B dense Qwen3.5 and PB-Nex for 35B-A3B sparse MoE Qwen3.5), a hybrid conversion and vLLM serving architecture that achieves strictly constant O(1) GPU KV memory (486 MiB active KV cache, ~27–33 GiB total GPU footprint) up to 1,000,000+ tokens while preserving 100% (40/40) exact single-needle, 4-constant synthesis, and 4-hop call-chain recall from 8K to 1,000,000 tokens.</w:t>
            </w:r>
          </w:p>
        </w:tc>
      </w:tr>
    </w:tbl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1580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ca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80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475569"/>
          <w:sz w:val="17"/>
        </w:rPr>
        <w:t>Figure 1: (a) GPU KV cache consumption from 8K to 1,000,000 tokens (Stock 27B O(L) growth to 64 GiB vs. PseudoBrain constant 0.48 GiB). (b) PseudoBrain-Nex-35B-A3B achieves 100% (40/40) exact recall across all needle, multi4, and trace4 probes from 8K to 1,000,000 tokens.</w:t>
      </w:r>
    </w:p>
    <w:p>
      <w:pPr>
        <w:pStyle w:val="Heading1"/>
      </w:pPr>
      <w:r>
        <w:rPr>
          <w:color w:val="0F172A"/>
        </w:rPr>
        <w:t>1. Introduction &amp; Architectural Overview</w:t>
      </w:r>
    </w:p>
    <w:p>
      <w:r>
        <w:t>Modern hybrid language models such as Qwen3.5-27B (dense) and Qwen3.5-35B-A3B (Nex-N2.5-mini, sparse Mixture-of-Experts) interleave three Gated DeltaNet linear-attention layers with one full softmax self-attention layer (16 full-attention layers in 27B; 10 in 35B-A3B). While this 3:1 ratio reduces KV cache growth by 4× relative to a pure Transformer, the remaining full-attention layers still retain every historical token in GPU memory and compute quadratic O(L²) attention during prefill. PseudoBrain eliminates this bottleneck by converting every full-attention layer into a 16,384-token sliding window augmented by a parallel distilled Gated DeltaNet branch and a three-tier exact memory archive.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Model Parameter</w:t>
            </w:r>
          </w:p>
        </w:tc>
        <w:tc>
          <w:tcPr>
            <w:tcW w:type="dxa" w:w="336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PseudoBrain-27B (pb27c)</w:t>
            </w:r>
          </w:p>
        </w:tc>
        <w:tc>
          <w:tcPr>
            <w:tcW w:type="dxa" w:w="336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PseudoBrain-Nex-35B-A3B (pb27-nexc)</w:t>
            </w:r>
          </w:p>
        </w:tc>
      </w:tr>
      <w:tr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Base Architecture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Qwen3.5-27B (Dense Hybrid)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Qwen3.5-35B-A3B (Sparse MoE Hybrid)</w:t>
            </w:r>
          </w:p>
        </w:tc>
      </w:tr>
      <w:tr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/ Active Parameters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27.0B + 1.85B GDN branches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35.0B total / ~3.0B active + 0.32B GDN</w:t>
            </w:r>
          </w:p>
        </w:tc>
      </w:tr>
      <w:tr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Decoder Layer Stack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48 native GDN + 16 hybrid layers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30 native GDN + 10 hybrid layers</w:t>
            </w:r>
          </w:p>
        </w:tc>
      </w:tr>
      <w:tr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Hidden Dimension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5,120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2,048</w:t>
            </w:r>
          </w:p>
        </w:tc>
      </w:tr>
      <w:tr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Attention Heads (d_head = 256)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24 query / 4 KV (G = 6)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16 query / 2 KV (G = 8)</w:t>
            </w:r>
          </w:p>
        </w:tc>
      </w:tr>
      <w:tr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Partial RoPE Split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25% rotated (64) / 75% unrotated (192)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25% rotated (64) / 75% unrotated (192)</w:t>
            </w:r>
          </w:p>
        </w:tc>
      </w:tr>
      <w:tr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Local Window + Sinks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16,384 window + 4 sinks</w:t>
            </w:r>
          </w:p>
        </w:tc>
        <w:tc>
          <w:tcPr>
            <w:tcW w:type="dxa" w:w="336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16,384 window + 4 sinks</w:t>
            </w:r>
          </w:p>
        </w:tc>
      </w:tr>
      <w:tr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Active GPU KV Cache @ 1M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486 MiB (8.1% of 6 GiB pool)</w:t>
            </w:r>
          </w:p>
        </w:tc>
        <w:tc>
          <w:tcPr>
            <w:tcW w:type="dxa" w:w="336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486 MiB (8.1% of 6 GiB pool)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176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7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75569"/>
          <w:sz w:val="17"/>
        </w:rPr>
        <w:t>Figure 2: Internal structure of a converted PseudoBrain hybrid decoder layer combining 16K sliding-window + exact-memory attention with a parallel distilled Gated DeltaNet recurrent mixer.</w:t>
      </w:r>
    </w:p>
    <w:p>
      <w:pPr>
        <w:pStyle w:val="Heading1"/>
      </w:pPr>
      <w:r>
        <w:rPr>
          <w:color w:val="0F172A"/>
        </w:rPr>
        <w:t>2. Three-Tier Constant-GPU-Memory Hierarchy</w:t>
      </w:r>
    </w:p>
    <w:p>
      <w:r>
        <w:t>While the parallel Gated DeltaNet branch maintains global discourse state, exact token-level lookup across 1,000,000 tokens is served by PseudoBrain's Three-Tier Exact Memory Hierarchy inside vLLM: (1) Tier 1 keeps the 16,384-token sliding window and 4 StreamingLLM sinks in a sequence-first GPU buffer (bypassing archive writes completely for requests ≤ 16K); (2) Tier 2 keeps archived 64-token blocks up to 256K tokens directly in GPU VRAM (273 GB/s gathers); and (3) Tier 3 spills contexts beyond 256K up to 1,000,000+ tokens into a sparse unlinked host/NVMe memory-mapped file while retaining compact per-block bounding boxes (k_max, k_min) on the GPU. Retrieved archive blocks and the local window are fused in a single exact pass via FlashAttention-2 Log-Sum-Exp (LSE) rescaling.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606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06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75569"/>
          <w:sz w:val="17"/>
        </w:rPr>
        <w:t>Figure 3: Three-Tier Exact Memory Hierarchy spanning Tier 1 (GPU Window ≤ 16K), Tier 2 (In-VRAM Archive 16K–256K), and Tier 3 (Sparse Host/NVMe mmap 256K–1M+).</w:t>
      </w:r>
    </w:p>
    <w:p>
      <w:pPr>
        <w:pStyle w:val="Heading1"/>
      </w:pPr>
      <w:r>
        <w:rPr>
          <w:color w:val="0F172A"/>
        </w:rPr>
        <w:t>3. Query-Centered Retrieval &amp; Unrotated Two-Hop Bridge</w:t>
      </w:r>
    </w:p>
    <w:p>
      <w:r>
        <w:t>At 1,000,000 tokens (15,625 blocks), standard Quest bounding-box scores suffer from positive radius inflation (|q| · k_rad[b] ≥ 0), where outlier blocks score high for every query. PseudoBrain cancels this bias by subtracting each block's median bound score across the query window and standardizing per-query Z-scores across the archive. Furthermore, to solve multi-hop code traces where intermediate constants and functions never appear in the prompt question, PseudoBrain exploits Qwen3.5's 25% partial RoPE: because the upper 75% of every key vector (dimensions 64..255) carries zero positional rotation, tokens inside first-hop retrieved blocks act directly as position-invariant queries to retrieve second-hop definitions across the 1M-token archive.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399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woh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9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75569"/>
          <w:sz w:val="17"/>
        </w:rPr>
        <w:t>Figure 4: Position-invariant two-hop key-to-key bridge over Qwen3.5's 75% unrotated key subspace (dimensions 64..255).</w:t>
      </w:r>
    </w:p>
    <w:p>
      <w:pPr>
        <w:pStyle w:val="Heading1"/>
      </w:pPr>
      <w:r>
        <w:rPr>
          <w:color w:val="0F172A"/>
        </w:rPr>
        <w:t>4. Empirical Evaluation (8K to 1,000,000 Tokens)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Context (L)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PB-27B TTFT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PB-Nex TTFT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Prefill Speedup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PB-Nex Decode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needle (0.1/0.5/0.9)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multi4 (4 Consts)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trace4 (4-Hop)</w:t>
            </w:r>
          </w:p>
        </w:tc>
        <w:tc>
          <w:tcPr>
            <w:tcW w:type="dxa" w:w="11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KV Pool Used</w:t>
            </w:r>
          </w:p>
        </w:tc>
      </w:tr>
      <w:tr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8,192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5.5s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1.8s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3.06×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33.59 tok/s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32,768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41.7s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17.0s (8.8s)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2.45×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19.50 tok/s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65,536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66.2s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21.2s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3.12×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17.10 tok/s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120,000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124.0s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36.7s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3.38×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13.82 tok/s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200,000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243.0s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81.2s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2.99×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13.50 tok/s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250,000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273.0s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90.3s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3.02×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13.31 tok/s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500,000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638.2s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238.3s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2.68×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~10.2 tok/s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1,000,000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1,580.3s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615.4s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2.57×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~8.1 tok/s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(3/3)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(4/4)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100% (1/1)</w:t>
            </w:r>
          </w:p>
        </w:tc>
        <w:tc>
          <w:tcPr>
            <w:tcW w:type="dxa" w:w="1120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8.1%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Subsystem Optimization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Baseline Path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PseudoBrain Path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Latency (10 Layers)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Speedup</w:t>
            </w:r>
          </w:p>
        </w:tc>
      </w:tr>
      <w:tr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Priority Block Deduplication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O(M²) boolean triangle mask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O(M log M) stable sort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6.05 ms → 0.24 ms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24.8×</w:t>
            </w:r>
          </w:p>
        </w:tc>
      </w:tr>
      <w:tr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Decode Block Gathers (≤ 256K)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Host CPU mmap + PCIe copy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In-VRAM GPU-first archive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12.10 ms → 0.32 ms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37.8×</w:t>
            </w:r>
          </w:p>
        </w:tc>
      </w:tr>
      <w:tr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Single-Token Window Attention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Causal local FA2 + 6-op LSE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Non-causal FA2 + 2-op lerp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5.47 ms → 1.54 ms</w:t>
            </w:r>
          </w:p>
        </w:tc>
        <w:tc>
          <w:tcPr>
            <w:tcW w:type="dxa" w:w="2016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3.55×</w:t>
            </w:r>
          </w:p>
        </w:tc>
      </w:tr>
      <w:tr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250K End-to-End Decode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1.12 tok/s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13.31 tok/s (stride 4)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892 ms → 75.1 ms/tok</w:t>
            </w:r>
          </w:p>
        </w:tc>
        <w:tc>
          <w:tcPr>
            <w:tcW w:type="dxa" w:w="2016"/>
            <w:shd w:fill="F8FAFC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5803D"/>
                <w:sz w:val="17"/>
              </w:rPr>
              <w:t>11.8×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