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2629853" cy="2324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2651068"/>
                          <a:ext cx="2743200" cy="2257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2629853" cy="2324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853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943225" cy="23228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79150" y="2623348"/>
                          <a:ext cx="2933700" cy="231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943225" cy="23228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2322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ПЛАТФОРМА ДЛЯ ФИНАНСИРОВАНИЯ ПРОЕКТОВ «CLOSERTOTHESKY»</w:t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right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Дата введения: 25 сентября 2018 г.</w:t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5103" w:right="100" w:firstLine="709.0000000000003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ПРОГРАММЫ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Функциональное назначение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Эксплуатационное назначение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Состав функций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УСЛОВИЯ ВЫПОЛНЕНИЯ ПРОГРАММЫ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Минимальный состав технических средств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Минимальный состав программных средств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ВЫПОЛНЕНИЕ ПРОГРАММЫ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СООБЩЕНИЯ ОПЕРАТОРУ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360" w:lineRule="auto"/>
            <w:rPr>
              <w:rFonts w:ascii="Times New Roman" w:cs="Times New Roman" w:eastAsia="Times New Roman" w:hAnsi="Times New Roman"/>
              <w:i w:val="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spacing w:after="0" w:before="0" w:line="360" w:lineRule="auto"/>
        <w:ind w:left="1069" w:firstLine="349.00000000000006"/>
        <w:jc w:val="both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НАЗНАЧЕНИЕ ПРОГРАММЫ 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Программа является средством для помощи и существенного упрощения взаимодействия между разработчиками и пользователями платформы. Платформа на основе программы осуществляет возможность поддержки начинающих разработчиков программного обеспечения, оповещает поддержавших проект людей об этапах разработки, об окончании каждого из этих этапов, а также окончании полного цикла разработки. Назначение – налаживание взаимодействия между разработчиками программного обеспечения и потенциальными инвесторами, которые могут быть как обычными пользователями платформы, так и издательскими компаниями.</w:t>
      </w:r>
    </w:p>
    <w:p w:rsidR="00000000" w:rsidDel="00000000" w:rsidP="00000000" w:rsidRDefault="00000000" w:rsidRPr="00000000" w14:paraId="0000002D">
      <w:pPr>
        <w:pStyle w:val="Heading3"/>
        <w:numPr>
          <w:ilvl w:val="1"/>
          <w:numId w:val="1"/>
        </w:numPr>
        <w:spacing w:after="0" w:before="0" w:line="360" w:lineRule="auto"/>
        <w:ind w:left="1429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Функциональным назначением программы является предоставление пользователю возможности регистрации и поддержки проектов.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1"/>
        </w:numPr>
        <w:spacing w:after="0" w:before="0" w:line="360" w:lineRule="auto"/>
        <w:ind w:left="1429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Эксплуатационное назначение</w:t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Программа должна эксплуатироваться в профильных подразделениях на объектах заказчика.</w:t>
      </w:r>
    </w:p>
    <w:p w:rsidR="00000000" w:rsidDel="00000000" w:rsidP="00000000" w:rsidRDefault="00000000" w:rsidRPr="00000000" w14:paraId="00000031">
      <w:pPr>
        <w:shd w:fill="ffffff" w:val="clear"/>
        <w:spacing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Пользователями программы должны являться сотрудники профильных подразделений объектов заказчика.</w:t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"/>
        </w:numPr>
        <w:spacing w:after="0" w:before="0" w:line="360" w:lineRule="auto"/>
        <w:ind w:left="1429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Состав функций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обеспечивает возможность выполнения перечисленных ниже функций: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регистрации и просмотра проектов;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дополнения существующего проекта;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отслеживания и обработки поступающих на счет проекта средств;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отслеживание активности пользователей платформы;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line="360" w:lineRule="auto"/>
        <w:ind w:left="1418" w:firstLine="709"/>
        <w:rPr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функции отображения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color w:val="000000"/>
            <w:u w:val="none"/>
            <w:rtl w:val="0"/>
          </w:rPr>
          <w:t xml:space="preserve">названия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 программы, версии программы.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2127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spacing w:after="0" w:before="0" w:line="360" w:lineRule="auto"/>
        <w:ind w:left="1069" w:firstLine="349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3"/>
        </w:numPr>
        <w:spacing w:after="0" w:before="0" w:line="360" w:lineRule="auto"/>
        <w:ind w:left="1429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Минимальный состав технических средств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состав технических средств должен входить персональный компьютер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ПЭВМ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включающий в себя: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компьютер с процессором Intel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Pentium Dual Core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и выше;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оперативная память не менее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Gb;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свободное место на жестком диске объемом не менее 5 Gb;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наличие адаптера подключения к сети;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line="360" w:lineRule="auto"/>
        <w:ind w:left="1418" w:firstLine="709"/>
        <w:rPr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установленная операционная система (далее – ОС) Windows 7/8/10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3"/>
        </w:numPr>
        <w:spacing w:after="0" w:before="0" w:line="360" w:lineRule="auto"/>
        <w:ind w:left="1429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Минимальный состав программных средств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color w:val="000000"/>
            <w:highlight w:val="white"/>
            <w:u w:val="none"/>
            <w:rtl w:val="0"/>
          </w:rPr>
          <w:t xml:space="preserve">Системные программные средства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highlight w:val="white"/>
          <w:rtl w:val="0"/>
        </w:rPr>
        <w:t xml:space="preserve">, используемые программой, должны быть представлены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color w:val="000000"/>
            <w:highlight w:val="white"/>
            <w:u w:val="none"/>
            <w:rtl w:val="0"/>
          </w:rPr>
          <w:t xml:space="preserve">лицензионной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highlight w:val="white"/>
          <w:rtl w:val="0"/>
        </w:rPr>
        <w:t xml:space="preserve"> локализованной версией операционной системы. Допускается использование пакета Microsoft.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"/>
        </w:numPr>
        <w:spacing w:after="0" w:before="0" w:line="360" w:lineRule="auto"/>
        <w:ind w:left="1069" w:firstLine="349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Работа оператора состоит в том, чтобы запрос, отправленный пользователем, обменивался на результат выдаваемой базой данных (далее – БД).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 видит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, что запрос, отправленный пользователем, принят БД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 обрабатывается и выдается результат на терминал оператора;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результат соответствует запросу, то он отправляется пользователю, а оператор подтверждает правильность выполнения задачи БД.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spacing w:after="0" w:before="0" w:line="360" w:lineRule="auto"/>
        <w:ind w:left="1069" w:firstLine="349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СООБЩЕНИЯ ОПЕРАТОРУ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Если при работе БД произошла ошибка и результат, выданный ею, не соответствует запросу, то тогда оператор должен выполнить ряд действий: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первоначально сообщить пользователю, что результат, полученный им, неверен;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несколько подобных запросов к программе для получения аналогично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результата и записи в журнале ошибки;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i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если подобная ошибка повторяется у нескольких пользователей, то необходимо перевести Систему в режим технических работ и вызвать администратора и системного администратора;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если подобная ошибка больше не повторилась,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 данный журнал системному администратору.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40" w:w="11907"/>
      <w:pgMar w:bottom="1134" w:top="1134" w:left="1701" w:right="850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  <w:font w:name="ГОСТ тип 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>
        <w:b w:val="1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149" w:hanging="144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2509" w:hanging="180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2509" w:hanging="180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2869" w:hanging="216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3229" w:hanging="2520"/>
      </w:pPr>
      <w:rPr>
        <w:b w:val="1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2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6054" w:hanging="180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ГОСТ тип А" w:cs="ГОСТ тип А" w:eastAsia="ГОСТ тип А" w:hAnsi="ГОСТ тип А"/>
        <w:i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