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OVERVIEW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США, в отличие от ЕС, используют секторальный подход, сочетающий законодательство, регулирование и саморегулирование. Министерство торговли, чтобы урегулировать существующие различия в обеспечении конфиденциальности, выпускают принципы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(защита конфиденциальности), включая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Supplemental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(дополнительные) принципы, обобщенно называемые "Принципы" для обеспечения Международной торговли. Принципы были разработаны совместно, чтобы облегчить торговлю между США и ЕС. Они предназначены исключительно для организаций в США, работающими с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ПДн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 ЕС. Принципы не влияют на существующие положения, имплементирующие директиву 95/46/ЕС Европейского союза. Принципы не ограничивают обязательства по конфиденциальности, которые применяются в соответствии с законодательством США.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 Чтобы полагаться на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организация должна самостоятельно подтвердить соблюдение принципов Министерству торговли или его назначенному лицу. Для эффективного соблюдения требований необходимо: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а) самостоятельно сертифицироваться. Чтобы вступить в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, организация должна быть субъектом проверки в рамках полномочий FTC, Министерства транспорта или другого подзаконного органа;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б) публично заявить о соблюдении Принципов;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в) публично раскрыть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Policy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соответствии с Принципами;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г) Полностью выполнить их.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Невыполнение подлежит исполнению в соответствии с разделом 5 ФЗ о торговой комиссии, запрещающий недобросовестные и вводящие в заблуждение действия.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 Министерство торговли ведет список организаций США, которые прошли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самосертификацию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заявили соблюдении Принципов (Список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). Преимущества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гарантируются с даты включения в список. Министерство будет удалять организации из списка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добровольном выходе, не соблюдении Принципов или прекращения подаче ежегодной повторной сертификации. Удаление организации из списка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означает прекращения получения преим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уществ. Организация продолжает </w:t>
      </w: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применять Принципы к личной информации, полученной во время участия в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, и подтверждать это на ежегодной основе, пока она сохраняет такую информацию; в противном случае, необходимо вернуть или удалить информацию или обеспечить защиту возможными средствами.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Министерство ведет четкий список организаций США, которые ранее прошли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самосертификацию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Министерстве, но которые были удалены из списка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 предупреждает об этом. Такие организации не могут претендовать на соответствие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должны избегать любых заявлений или вводящей в заблуждение практики, подразумевающей, что они участвуют в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; Организация, вводящая в заблуждение, может быть подвергнута принудительным действиям со стороны FTC или других компетентных органов;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5. Соблюдение этих Принципов может быть ограничено: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а) в той мере, в какой это необходимо для удовлетворения требований национальной безопасности, общественных интересов или правоохранительных требований;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b) по закону, постановлением правительства или прецедентным правом, которое создает коллизии обязательств или явное разрешение, при условии, что при осуществлении любого такого разрешения организация может продемонстрировать, что ее несоблюдение Принципов ограничено в той мере, в какой это необходимо.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С) если директива или законодательство государств-членов допускают исключения или отступления, при условии, что такие исключения или отступления применяются в сопоставимых условиях. 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В случае ограничения соблюдения Принципов необходимо указывать в своей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Policy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, где происходит исключения из Принципов, разрешенных в подпункте (b), на регулярной основе. По той же причине, когда ограничение допустимо, ожидается выбор наиболее возможной полной защиты.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6. Организации обязаны применять Принципы ко всем персональным данным, передаваемым с использованием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после входа в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  Организация, распространяющая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информацию о </w:t>
      </w: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людских ресурсах организации, переданные из ЕС для использования в трудовых отношениях, должна указать, когда она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самосертифицируется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министерстве по требованиям, изложенным в дополнительных принципах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самосертификации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 Законодательство США будет применяться к вопросам толкования и соблюдения Принципов и соответствующей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Policy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организациями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, за исключением случаев, когда такие организации обязались сотрудничать с европейскими органами по защите данных (“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”).  Если не указано иное, все положения принципов применяются там, где они уместны.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8. Определения: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a. “Персональные данные” и "личная информация" - это данные об идентифицированном или идентифицируемом физическом лице, которые входят в сферу действия директивы, полученные организацией в США от ЕС и записанные в любой форме.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b. "Обработка" персональных данных - любая операция или комплекс операций, которые выполняются с использованием персональных данных, будь то автоматизированными средствами, такими как сбор, запись, организация, хранение, корректировка или изменение, поиск, консультирование, использование, раскрытие или распространение, а также стирание или уничтожение.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с. “Контроллер” - лицо или организацию, которое самостоятельно или совместно с другими определяет цели и средства обработки персональных данных.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9. Датой вступления в силу принципов является дата окончательного утверждения определения адекватности Европейской комиссией.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E4F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notice</w:t>
      </w:r>
      <w:proofErr w:type="spellEnd"/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а. Организация должна информировать людей о: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1. своем участии в 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предоставить ссылку или веб-адрес на список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;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2. типах личных данных, которые собираются и, при необходимости, подразделения или дочерние организации, придерживаясь Принципов;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   3. своём обязательство в соответствии с Принципами,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связаное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 всеми персональными данными, полученными от ЕС в соответствии с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4. целях, для которых она собирает и использует личную информацию;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5. том, как связаться с организацией с любыми запросами или жалобами, включая любое соответствующее учреждение в ЕС, которое может ответить на такие запросы или жалобы;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   6. типе или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личносте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третьих лиц, которым она раскрывает личную информацию, и цели, для которых она это делает;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7. правах физических лиц на доступ к своим личным данным;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8. выборе и средствах, которые организация предлагает физическим лицам для ограничения использования и раскрытия их персональных данных;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9. независимом органе по разрешению споров, назначенном для рассмотрения жалоб и предоставления соответствующих бесплатных средств правовой защиты отдельному лицу, и являющийся: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       1) группе, учрежденной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,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    2) альтернативном поставщике услуг по разрешению споров, базирующимся в ЕС, или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    3) альтернативном поставщике услуг по разрешению споров, базирующимся в США.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10. Том, что она является субъектом следственных и исполнительных полномочий FTC, Министерства транспорта или любого другого уполномоченного статутного органа США,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11. возможностях, при определенных условиях, для физического лица ссылаться на обязательный арбитраж,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12. требованиях раскрывать личную информацию в ответ на законные запросы государственных органов, в том числе для удовлетворения требований национальной безопасности или правоохранительных органов, и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13. его ответственности в случаях последующей передачи третьим лицам.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b. Это уведомление должно быть представлено четким и понятным языком, при первом обращении физического лица или как можно скорее после обращения, но в любом случае до того, как организация использует такую информацию для целей, отличных от первоначальных или раскрытия ее впервые третьей стороне.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CHOICE</w:t>
      </w: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a. Организация должна предоставить физическим лицам возможность выбрать (отказаться), может ли их личная информация (i) быть раскрыта третьей стороне или (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ii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) использоваться для целей, которые существенно отличаются от первоначальных целей или впоследствии разрешенных им. Физические лица должны быть обеспечены четкими, понятным и легко доступными механизмами для этого.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б. В дополнение к предыдущему параграфу, выбор предоставлять не требуется, когда раскрытие информации третьим лицам происходит для выполнения задач от имени или по поручению в качестве агента при заключенном договоре с ним.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   c. Для чувствительной категории информации (т. е. медицинских записей или состояние здоровья, расового или этнического происхождения, политическая принадлежность, религиозных или философских убеждений, членства в профсоюзах или информации с указанием половой жизни лица) необходимо </w:t>
      </w: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получить от отдельных лиц прямое согласие, если такая информация должна быть (i) раскрыта третьей стороне или (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ii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) использована для целей, отличных от первоначальных или разрешенных им впоследствии. Кроме того, организация должна рассматривать информацию, полученную от третьей стороны, как чувствительную, если третья сторона идентифицирует и рассматривает ее как чувствительную.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ACCOUNTABILITY FOR ONWARD TRANSFER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   a. Для передачи личной информации третьей стороне, действующей в качестве контролера, организации должны соблюдать Принципы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Notice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Choise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. Организации должны также заключить договор с контролером третьей стороны, который предусматривает обработку только в конкретных целях и в согласии с физическим лицом, при уровне защиты, как и в Принципах, с уведомлением при отсутствии такой возможности. В договоре предусматривается, что при вынесении такого определения контролер третьей стороны прекращает обработку или принимает меры по исправлению положения.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б. На передачу персональных данных третьей стороне, действующей в качестве агента, организация должна: (I) передавать данные только для конкретных целей; и (II) удостовериться в том, что агент обязуется обеспечить уровень защиты конфиденциальности, как того требуют Принципы; (III) принимать меры, чтобы гарантировать, что агент эффективно обрабатывает персональные данные.; и (IV) требовать от агента уведомлять организации, если он не может выполнять свои обязательства по обеспечению уровня защиты, как требуют Принципы; (V) после направления уведомления, в том числе в рамках (IV), принимать меры для прекращения и устранения несанкционированной обработки; и (VI) предоставить резюме или копию соответствующих положений и договора с агентом Министерству по запросу.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RECOURSE, ENFORCEMENT AND LIABILITY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a. Эффективная защита частной жизни должна включать надежные механизмы обеспечения соблюдения Принципов, обращение за помощью и последствия для организации, когда происходит несоблюдение принципов.  Как минимум такие механизмы должны включать: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 I.) легкодоступные независимые механизмы обжалования, с помощью которых жалобы и споры каждого лица расследуются и оперативно выполняются без каких-либо затрат для данного лица и на основе Принципов, а также возмещения ущерба, если это предусмотрено;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 II.) процедуры действий для проверки достоверности сертификатов, утверждений и практики организаций относительно их практики конфиденциальности и работы при случаях несоблюдения;  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III.) обязательства по устранению проблем, возникающих при несоблюдении Принципов организациями, заявляющими о своей приверженности им, и последствия для таких организаций;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color w:val="1AADE0"/>
          <w:sz w:val="20"/>
          <w:szCs w:val="20"/>
          <w:lang w:eastAsia="ru-RU"/>
        </w:rPr>
        <w:t>    </w:t>
      </w: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b. Организации и их отдельные независимые механизмы защиты будут оперативно реагировать на запросы и просьбы Министерства о предоставлении информации, касающейся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Организации, которые решили сотрудничать с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, включая организации, обрабатывающие данные о людских ресурсах, должны непосредственно реагировать на такие просьбы и жалобы. 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с. Организации обязаны проводить арбитражные разбирательства по искам и соблюдать условия, изложенные в Приложении I, при условии, что какое-либо лицо прибегло к арбитражу, направив уведомление, следуя процедурам в приложении I.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color w:val="1AADE0"/>
          <w:sz w:val="20"/>
          <w:szCs w:val="20"/>
          <w:lang w:eastAsia="ru-RU"/>
        </w:rPr>
        <w:t>  </w:t>
      </w: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 d. В контексте возможной передачи организация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несет ответственность за обработку личной информации, которую она получает под защитой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впоследствии передает третьей стороне, действующей от ее имени, если не докажет, что она не несет ответственности за возможный ущерб.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   e. Когда организация становится субъектом FTC или судебного постановления, основанного на несоблюдении, организация предает гласности любые соответствующие разделы, связанные с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Министерство создало специальный контактный пункт по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любым проблемам соблюдения организациями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.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E4F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Journalistic</w:t>
      </w:r>
      <w:proofErr w:type="spellEnd"/>
      <w:r w:rsidRPr="00EE4F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Exceptions</w:t>
      </w:r>
      <w:proofErr w:type="spellEnd"/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a. С учетом конституционной защиты свободы печати в США и исключения из директивы журналистских материалов, когда права Свободной Прессы, закрепленные в Первой поправке к Конституции США, пересекаются с интересами защиты частной жизни, Первая поправка должна регулировать баланс этих интересов в отношении деятельности лиц или организаций США.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   b. Личная информация, которая собирается для публикации, трансляции или других форм публичной коммуникации журналистского материала, используется она или нет, а также информация, найденная в ранее опубликованных материалах, распространяемых из медиа-архивов, не подпадает под требования принципов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E4F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Secondary</w:t>
      </w:r>
      <w:proofErr w:type="spellEnd"/>
      <w:r w:rsidRPr="00EE4F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Liability</w:t>
      </w:r>
      <w:proofErr w:type="spellEnd"/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    a. Интернет-провайдеры ("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ISPs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"), телекоммуникационные компании и другие организации не несут ответственности в соответствии с принципами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когда передача, маршрутизация, переключение или кэширование информации происходит от имени другой организации. Как и в случае с самой директивой,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создает вторичной ответственности.  Так как такая организация действует в качестве простого канала передачи данных как третья сторона и не определяет цели и средства обработки этих персональных данных, она не несет ответственности.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E4F8F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Performing Due Diligence and Conducting Audits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а. Деятельность аудиторов и инвестиционных банкиров может включать обработку персональных данных без согласия или знания физического лица. Это допускается принципами, описанными ниже.  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b. Публичные фондовые корпорации и компании, находящиеся в тесном контакте, включая организации защиты конфиденциальности, регулярно подвергаются аудиту. Такие проверки могут быть поставлены под угрозу в случае их преждевременного раскрытия, так как проверка может затрагивать информацию о ключевых сотрудниках. Преждевременное раскрытие информации может помешать сделке или даже нарушить действующее регулирование ценных бумаг. Инвестиционные банкиры и адвокаты, осуществляющие должную осмотрительность, или аудиторы могут обрабатывать информацию без ведома физического лица только в той мере и в течение периода, необходимого в обстоятельствах, при которых применение настоящих принципов нанесло бы ущерб законным интересам организации. Эти законные интересы включают в себя мониторинг соблюдения организациями своих юридических обязательств и законной бухгалтерской деятельности, а также необходимость соблюдения конфиденциальности в операциях, осуществляемых инвестиционными банкирами или аудиторами.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E4F8F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The Role of the Data Protection Authorities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a. Ниже описан принцип сотрудничества по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  Под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американские организации, получающие персональные данные из ЕС, обязуются эффективно соблюдать принципы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. Организация должны обеспечить: a) i) обращение за помощью к лицам, к которым относятся данные; (A) (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ii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) последующие процедуры проверки правильности свидетельств и утверждений, которые они сделали о своей практике конфиденциальности; и(A) (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iii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) обязательства по устранению проблем, возникающих в результате несоблюдения принципов и последствий для таких организаций.  Организация может выполнять пункты (а) (i) и(А) (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iii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), если она соблюдает изложенные здесь требования сотрудничества по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. 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б. Организация обязуется сотрудничать по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объявив в своей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самосертификации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, что эта организация: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i. Обязуется удовлетворять требования в пунктах (A)(I) и (A)(III) от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пунктах 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Recourse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Enforcement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and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Liability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Principle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соглашаясь сотрудничать по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;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II. будет сотрудничать по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ходе расследования и урегулирования жалоб, поданных под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; и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   III. будет выполнять любые рекомендации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если по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сочтут, что необходимо принять меры для соблюдения Принципов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представить по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письменное подтверждение того, что меры были приняты.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c. Функции уполномоченного контролирующего органа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   i. Сотрудничество по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будет осуществляться в формате оповещения и консультаций следующим образом: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       1. Рекомендации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будут предоставляться через неофициальную группу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, учрежденную на уровне ЕС, которая поможет обеспечить унифицированный и согласованный подход.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       2. Группа будет консультировать соответствующие организации США по неурегулированным жалобам отдельных лиц на обработку личной информации, которая была передана из ЕС под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.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       3. Группа будет предоставлять такие консультации в ответ на обращения соответствующих организаций и/или жалобы, полученные непосредственно от отдельных лиц в отношении организаций, сотрудничающих по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    4. Консультации будут предоставляться только после того, как обе стороны в споре получат разумную возможность высказать свои замечания и представить любые доказательства, которые они пожелают в течение 60 дней после получения.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    5. Группа обнародует результаты рассмотрения жалоб, если сочтет нужным.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    6. Предоставление консультаций через группу не повлечет за собой каких-либо обязательст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 для группы или для отдельных 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.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ii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Как отмечалось выше, организации, выбирающие этот вариант урегулирования споров, должны взять на себя обязательство выполнять рекомендации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Если какая-либо организация не выполнит это требование в течение 25 дней с момента консультации и не представит удовлетворительного объяснения </w:t>
      </w: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задержки, группа уведомляет о своем намерении либо передать этот вопрос федеральному органу или органу штата США, либо заключить, что соглашение о сотрудничестве было серьезно нарушено и поэтому должно считаться недействительным.  В последнем случае группа проинформирует Министерство торговли, с тем, чтобы можно было внести надлежащие изменения в список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д. Организация, которая желает, чтобы ее преимущество по 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охватывали данные о людских ресурсах, передаваемые из ЕС в контексте трудовых отношений, должна взять на себя обязательство сотрудничать по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DPAs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отношении таких данных.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e. Организации, выбирающие этот вариант, должны будут выплачивать ежегодный сбор, который будет рассчитан на покрытие оперативных расходов группы, и им может быть дополнительно предложено покрыть любые необходимые расходы на письменный перевод, возникающие в связи с рассмотрением группой обращений или жалоб на них.  Годовой взнос не будет превышать 500 долларов США и будет меньше для небольших компаний.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E4F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Self-Certification</w:t>
      </w:r>
      <w:proofErr w:type="spellEnd"/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a. Преимущества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гарантируются с даты, когда Министерство поместил представление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самосертификации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организации в список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после определения того, что представление завершено.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b. Для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самосертификации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организация должна предоставить министерству представление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самосертификации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подписанное корпоративным сотрудником от имени организации, которая присоединяется к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, которое содержит по крайней мере следующую информацию: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I. название организации, почтовый адрес, адрес электронной почты, номера телефона и факса;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ii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. описание деятельности организации в отношении личной информации, полученной от ЕС; и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iii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. описание политики конфиденциальности организации в отношении такой личной информации, в том числе: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       1. если организация имеет открытый веб-сайт, соответствующий веб-адрес, где доступна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Policy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, или если организация не имеет открытого веб-сайта то, где 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Policy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доступна для просмотра общественностью;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    2. дата его вступления в силу;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       3. контактное бюро для обработки жалоб, запросов на доступ и любых других вопросов, возникающих в рамках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;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    4. конкретный подзаконный орган, который обладает юрисдикцией для рассмотрения любых претензий к организации;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    5. название любой программы конфиденциальности, членом которой является организация;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    6. метод проверки (например, внутренняя, третья сторона) (см. дополнительный принцип проверки; и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        7. независимый механизм обжалования, который доступен для расследования неурегулированных жалоб.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c. Если организация желает, чтобы ее преимущества по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охватывали информацию о людских ресурсах, передаваемую из ЕС для использования в трудовых отношениях, она может сделать это в тех случаях, когда подзаконный орган, указанный в Принципах, обладает юрисдикцией для рассмотрения претензий к организации, возникающих в связи с обработкой информации о людских ресурсах, а также необходимо указать это в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самосертификации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заявить о сотрудничестве с соответствующем органом и выполнении рекомендации от этого органа. Организация необходимо предоставить министерству копию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Policy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предоставить просмотр ее затронутыми сотрудниками.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д. Министерство ведет список организаций, которые подают заполненные документы о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самосертификации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Заявления о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самосертификации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должны представляться не реже одного раза в год; в противном случае организация будет исключена из списка защиты конфиденциальности, и преимущества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больше не будут гарантироваться. Организации в списке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публично заявляют, что придерживаются Принципов.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Policy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организации, если она доступна в режиме онлайн, должна включать гиперссылку на веб-сайт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Министерства и гиперссылку на веб-сайт или форму подачи жалобы независимого механизма обжалования, который доступен для расследования неурегулированных жалоб.  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e. Принципы конфиденциальности применяются сразу же после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самосертификации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Признавая, что Принципы будут влиять на коммерческие отношения с третьими сторонами, организации, удостоверяющие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Framework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течение первых двух месяцев со вступления PSF в силу, максимально быстро (не позднее девяти месяцев с даты удостоверения) приведут существующие коммерческие отношения с третьими сторонами в соответствие с Принципом ответственности за последующую передачу.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f. Организация должна относить к принципам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все персональные данные, полученные от ЕС в зависимости от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  Соблюдение обязательств не ограничено по времени присутствия в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даже если впоследствии она по какой-либо причине покидает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но в случае, когда организация, которая выходит из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хочет сохранить данные, она должна подтвердить Министерству на ежегодной основе соблюдение Принципов и адекватной защиты информации. В противном случае организация должна вернуть или удалить информацию.  Организация, которая выходит из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vacy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, должна удалить из </w:t>
      </w: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политики конфиденциальности любые ссылки на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подразумевающие участие организации в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g. Организация, которая прекратит свое существование в качестве отдельного юридического лица в результате слияния или поглощения, должна заранее уведомить об этом Министерство.  В уведомлении следует 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казать, будет ли приобретающая </w:t>
      </w: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организация, возникшая в результате слияния, i) по-прежнему связана Принципами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действием закона, регулирующего поглощение или слияние, или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ii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) решит самостоятельно подтвердить свою соблюдение </w:t>
      </w:r>
      <w:r w:rsidRPr="00EE4F8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Принципов </w:t>
      </w:r>
      <w:proofErr w:type="spellStart"/>
      <w:r w:rsidRPr="00EE4F8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Privacy</w:t>
      </w:r>
      <w:proofErr w:type="spellEnd"/>
      <w:r w:rsidRPr="00EE4F8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или ввести другие гарантии, такие как письменное соглашение.  Если ни (i), ни (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ii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не применяются, любые персональные данные, которые были приобретены под </w:t>
      </w:r>
      <w:proofErr w:type="spellStart"/>
      <w:r w:rsidRPr="00EE4F8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Privacy</w:t>
      </w:r>
      <w:proofErr w:type="spellEnd"/>
      <w:r w:rsidRPr="00EE4F8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, должны быть незамедлительно удалены. </w:t>
      </w: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4F8F" w:rsidRPr="00EE4F8F" w:rsidRDefault="00EE4F8F" w:rsidP="00EE4F8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h. Когда организация покидает </w:t>
      </w:r>
      <w:proofErr w:type="spellStart"/>
      <w:r w:rsidRPr="00EE4F8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Privacy</w:t>
      </w:r>
      <w:proofErr w:type="spellEnd"/>
      <w:r w:rsidRPr="00EE4F8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какой-либо причине, она должна удалить все заявления об участии в </w:t>
      </w:r>
      <w:proofErr w:type="spellStart"/>
      <w:r w:rsidRPr="00EE4F8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Privacy</w:t>
      </w:r>
      <w:proofErr w:type="spellEnd"/>
      <w:r w:rsidRPr="00EE4F8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Shield</w:t>
      </w:r>
      <w:proofErr w:type="spellEnd"/>
      <w:r w:rsidRPr="00EE4F8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удалить с</w:t>
      </w:r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ертификационный знак EU-U. S.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Privacy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Shield</w:t>
      </w:r>
      <w:proofErr w:type="spellEnd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, если он используется. Искажения информации могут быть обжалов</w:t>
      </w:r>
      <w:bookmarkStart w:id="0" w:name="_GoBack"/>
      <w:bookmarkEnd w:id="0"/>
      <w:r w:rsidRPr="00EE4F8F">
        <w:rPr>
          <w:rFonts w:ascii="Times New Roman" w:eastAsia="Times New Roman" w:hAnsi="Times New Roman" w:cs="Times New Roman"/>
          <w:sz w:val="20"/>
          <w:szCs w:val="20"/>
          <w:lang w:eastAsia="ru-RU"/>
        </w:rPr>
        <w:t>аны FTC или другим соответствующим государственным органом, или в соответствии с Законом о ложных заявлениях (18 U. S. C. § 1001) могут быть поданы иски в адрес Министерства.</w:t>
      </w:r>
    </w:p>
    <w:p w:rsidR="00E34063" w:rsidRPr="00EE4F8F" w:rsidRDefault="00E34063" w:rsidP="00EE4F8F">
      <w:pPr>
        <w:rPr>
          <w:sz w:val="20"/>
          <w:szCs w:val="20"/>
        </w:rPr>
      </w:pPr>
    </w:p>
    <w:sectPr w:rsidR="00E34063" w:rsidRPr="00EE4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28"/>
    <w:rsid w:val="00051D28"/>
    <w:rsid w:val="00E25048"/>
    <w:rsid w:val="00E34063"/>
    <w:rsid w:val="00E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222D6-645E-4232-A262-FC048EAD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3595</Words>
  <Characters>20498</Characters>
  <Application>Microsoft Office Word</Application>
  <DocSecurity>0</DocSecurity>
  <Lines>170</Lines>
  <Paragraphs>48</Paragraphs>
  <ScaleCrop>false</ScaleCrop>
  <Company>SPecialiST RePack</Company>
  <LinksUpToDate>false</LinksUpToDate>
  <CharactersWithSpaces>24045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Валюхов</dc:creator>
  <cp:keywords/>
  <dc:description/>
  <cp:lastModifiedBy>Олег Валюхов</cp:lastModifiedBy>
  <cp:revision>3</cp:revision>
  <dcterms:created xsi:type="dcterms:W3CDTF">2019-04-17T13:23:00Z</dcterms:created>
  <dcterms:modified xsi:type="dcterms:W3CDTF">2019-04-17T18:08:00Z</dcterms:modified>
</cp:coreProperties>
</file>