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Token Smart Contract address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"https://etherscan.io/address/0xd555498a524612c67f286df0e0a9a64a73a7cdc7#code"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https://etherscan.io/address/0xd555498a524612c67f286df0e0a9a64a73a7cdc7#code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 Backend Description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First need to run node /backend/getowner.js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code analyze the … nft transactions using quick node endpoint so get the existing NFTs and its owners.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Based on the existing nfts, this makes the duplicated nfts and available nfts mongodb database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mongodb database will be nfts, availble id1, duplicated id1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Second need to run node makemetadatas.js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code make the new metadata model to prevent the nft duplication.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the duplicated nfts using availble ids, and make realmetadata.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Third need to run node /backend/new.js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 the metadata api.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in smart contract, the tokenURI is connected to this backend 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 quick node api is saved in .env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So you need to input KEY to the .env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Current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KEY = wss://proud-billowing-water.quiknode.pro/0adf4a23bdc648e70255709235b348f7ab319a08/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If the problem occurred again, you can run those 3 steps again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969A1"/>
    <w:rsid w:val="3A9E03E1"/>
    <w:rsid w:val="58112904"/>
    <w:rsid w:val="601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2024-04-24T13:07:20Z</dcterms:created>
  <dc:creator>SUPERSTAR</dc:creator>
  <cp:lastModifiedBy>Strong Wall</cp:lastModifiedBy>
  <dcterms:modified xsi:type="dcterms:W3CDTF">2024-04-24T16:21:37Z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AD0F369B2FEE4D179EE6B68266AFBAAE_12</vt:lpwstr>
  </property>
</Properties>
</file>