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СОЦИАЛЬНОГО КАПИТАЛА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На данный момент у меня имеется достаточно широкий социальный капитал в виду активной социальной деятельности в университете (студенческое кураторство), но в то же время достаточно плотное общение происходит только с узким кругом лиц в виде семьи и близких друзей. 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Эффективность использования связей достаточно высокая, но в то же время мне тоже приходится достаточно часто помогать знакомым.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Для достижения долгосрочных целей, в целом, текущего соц. капитала достаточно, но есть вероятная нехватка связей в профессиональной сфере, что может затормозить достижение целей в экономической сфере.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Для решения этой проблемы скорее всего нужно искать знакомства в профессиональной среде через преподавателей и знакомых, а так же на работе среди коллег.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