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rPr>
          <w:rtl w:val="0"/>
        </w:rPr>
        <w:t xml:space="preserve">Санкт-Петербургский Государственный Электротехнический Университет "ЛЭТИ"</w:t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  <w:t xml:space="preserve">кафедра физики</w:t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  <w:t xml:space="preserve">Задание №3 по дисциплине </w:t>
      </w:r>
      <w:r/>
    </w:p>
    <w:p>
      <w:pPr>
        <w:jc w:val="center"/>
        <w:spacing w:after="200" w:line="276" w:lineRule="auto"/>
      </w:pPr>
      <w:r>
        <w:rPr>
          <w:rtl w:val="0"/>
        </w:rPr>
        <w:t xml:space="preserve">"Физические основы информационных технологий"</w:t>
      </w:r>
      <w:r/>
    </w:p>
    <w:p>
      <w:pPr>
        <w:jc w:val="center"/>
        <w:spacing w:after="200" w:line="276" w:lineRule="auto"/>
      </w:pPr>
      <w:r>
        <w:rPr>
          <w:rtl w:val="0"/>
        </w:rPr>
        <w:t xml:space="preserve">Название: Прохождение сигнала через четырёхполюсник</w:t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tbl>
      <w:tblPr>
        <w:tblStyle w:val="632"/>
        <w:tblW w:w="6485" w:type="dxa"/>
        <w:tblInd w:w="3085" w:type="dxa"/>
        <w:tblLayout w:type="fixed"/>
        <w:tblLook w:val="0400" w:firstRow="0" w:lastRow="0" w:firstColumn="0" w:lastColumn="0" w:noHBand="0" w:noVBand="1"/>
      </w:tblPr>
      <w:tblGrid>
        <w:gridCol w:w="3544"/>
        <w:gridCol w:w="2942"/>
        <w:tblGridChange w:id="0">
          <w:tblGrid>
            <w:gridCol w:w="3544"/>
            <w:gridCol w:w="2942"/>
          </w:tblGrid>
        </w:tblGridChange>
      </w:tblGrid>
      <w:tr>
        <w:trPr>
          <w:cantSplit w:val="false"/>
          <w:trHeight w:val="384"/>
        </w:trPr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Фамилия И.О.:</w:t>
            </w:r>
            <w:r/>
          </w:p>
        </w:tc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Чубан Д.В.</w:t>
            </w:r>
            <w:r/>
          </w:p>
        </w:tc>
      </w:tr>
      <w:tr>
        <w:trPr>
          <w:cantSplit w:val="false"/>
          <w:trHeight w:val="384"/>
        </w:trPr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группа:</w:t>
            </w:r>
            <w:r/>
          </w:p>
        </w:tc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1303</w:t>
            </w:r>
            <w:r/>
          </w:p>
        </w:tc>
      </w:tr>
      <w:tr>
        <w:trPr>
          <w:cantSplit w:val="false"/>
          <w:trHeight w:val="384"/>
        </w:trPr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Преподаватель: </w:t>
            </w:r>
            <w:r/>
          </w:p>
        </w:tc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Альтмарк А.М.</w:t>
            </w:r>
            <w:r/>
          </w:p>
        </w:tc>
      </w:tr>
      <w:tr>
        <w:trPr>
          <w:cantSplit w:val="false"/>
          <w:trHeight w:val="384"/>
        </w:trPr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  <w:t xml:space="preserve">Итоговый балл:</w:t>
            </w:r>
            <w:r/>
          </w:p>
        </w:tc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84"/>
        </w:trPr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tl w:val="0"/>
              </w:rPr>
            </w:r>
            <w:r/>
          </w:p>
        </w:tc>
      </w:tr>
    </w:tbl>
    <w:p>
      <w:pPr>
        <w:ind w:left="1416" w:firstLine="707"/>
        <w:jc w:val="center"/>
        <w:spacing w:after="200" w:line="276" w:lineRule="auto"/>
      </w:pPr>
      <w:r>
        <w:rPr>
          <w:rtl w:val="0"/>
        </w:rPr>
        <w:t xml:space="preserve">Крайний срок сдачи:</w:t>
        <w:tab/>
        <w:tab/>
        <w:t xml:space="preserve">22.11.23</w:t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  <w:tab/>
        <w:tab/>
      </w:r>
      <w:r/>
    </w:p>
    <w:p>
      <w:pPr>
        <w:jc w:val="center"/>
        <w:spacing w:after="200" w:line="276" w:lineRule="auto"/>
      </w:pPr>
      <w:r>
        <w:rPr>
          <w:rtl w:val="0"/>
        </w:rPr>
        <w:t xml:space="preserve"> </w:t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</w:r>
      <w:r/>
    </w:p>
    <w:p>
      <w:pPr>
        <w:jc w:val="center"/>
        <w:spacing w:after="200" w:line="276" w:lineRule="auto"/>
      </w:pPr>
      <w:r>
        <w:rPr>
          <w:rtl w:val="0"/>
        </w:rPr>
        <w:t xml:space="preserve">Санкт-Петербург 2023</w:t>
      </w:r>
      <w:r/>
    </w:p>
    <w:p>
      <w:pPr>
        <w:rPr>
          <w:u w:val="single"/>
        </w:rPr>
      </w:pPr>
      <w:r>
        <w:br w:type="page" w:clear="all"/>
      </w:r>
      <w:r>
        <w:rPr>
          <w:rtl w:val="0"/>
        </w:rPr>
      </w:r>
      <w:r>
        <w:rPr>
          <w:u w:val="single"/>
        </w:rPr>
      </w:r>
    </w:p>
    <w:p>
      <w:pPr>
        <w:rPr>
          <w:u w:val="single"/>
        </w:rPr>
      </w:pPr>
      <w:r>
        <w:rPr>
          <w:rtl w:val="0"/>
        </w:rPr>
      </w:r>
      <w:r>
        <w:rPr>
          <w:u w:val="single"/>
        </w:rPr>
      </w:r>
    </w:p>
    <w:p>
      <w:pPr>
        <w:jc w:val="center"/>
        <w:spacing w:after="200" w:line="276" w:lineRule="auto"/>
        <w:rPr>
          <w:u w:val="single"/>
        </w:rPr>
      </w:pPr>
      <w:r>
        <w:rPr>
          <w:u w:val="single"/>
          <w:rtl w:val="0"/>
        </w:rPr>
        <w:t xml:space="preserve">Условие задания 3</w:t>
      </w:r>
      <w:r>
        <w:rPr>
          <w:u w:val="single"/>
        </w:rPr>
      </w:r>
    </w:p>
    <w:p>
      <w:pPr>
        <w:ind w:firstLine="708"/>
        <w:jc w:val="both"/>
      </w:pPr>
      <w:r>
        <w:rPr>
          <w:rtl w:val="0"/>
        </w:rPr>
        <w:t xml:space="preserve">Сиг</w:t>
      </w:r>
      <w:r>
        <w:rPr>
          <w:rtl w:val="0"/>
        </w:rPr>
        <w:t xml:space="preserve">нал поступает на вход четырёхполюсника (контакты 1 и 2), показанного на рис.1. Четырехполюсник состоит из катушек индуктивности (L1 и L2), конденсаторов (C1 и C2) и резисторов (R1, R2, R3 и R4). Сигнал представляет собой суперпозицию гармонических функций:</w:t>
      </w:r>
      <w:r/>
    </w:p>
    <w:p>
      <w:pPr>
        <w:jc w:val="center"/>
      </w:pPr>
      <w:r/>
      <m:oMath>
        <m:r>
          <w:rPr>
            <w:rFonts w:ascii="Cambria Math" w:hAnsi="Cambria Math" w:eastAsia="Cambria Math" w:cs="Cambria Math"/>
          </w:rPr>
          <m:rPr/>
          <m:t>s[t]=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k=1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4</m:t>
            </m:r>
          </m:sup>
          <m:e>
            <m:r>
              <w:rPr>
                <w:rFonts w:ascii="Cambria Math" w:hAnsi="Cambria Math" w:eastAsia="Cambria Math" w:cs="Cambria Math"/>
              </w:rPr>
              <m:rPr/>
              <m:t/>
            </m:r>
          </m:e>
        </m:nary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Amp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k</m:t>
            </m:r>
          </m:sub>
        </m:sSub>
        <m:r>
          <w:rPr>
            <w:rFonts w:ascii="Cambria Math" w:hAnsi="Cambria Math" w:eastAsia="Cambria Math" w:cs="Cambria Math"/>
          </w:rPr>
          <m:rPr/>
          <m:t> Cos[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ω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k</m:t>
            </m:r>
          </m:sub>
        </m:sSub>
        <m:r>
          <w:rPr>
            <w:rFonts w:ascii="Cambria Math" w:hAnsi="Cambria Math" w:eastAsia="Cambria Math" w:cs="Cambria Math"/>
          </w:rPr>
          <m:rPr/>
          <m:t>t]</m:t>
        </m:r>
      </m:oMath>
      <w:r>
        <w:rPr>
          <w:rtl w:val="0"/>
        </w:rPr>
        <w:t xml:space="preserve">.</w:t>
      </w:r>
      <w:r/>
    </w:p>
    <w:p>
      <w:pPr>
        <w:ind w:firstLine="708"/>
        <w:jc w:val="both"/>
      </w:pPr>
      <w:r>
        <w:rPr>
          <w:rtl w:val="0"/>
        </w:rPr>
        <w:t xml:space="preserve">Определить во сколько раз уменьшится амплитуда </w:t>
      </w:r>
      <w:r>
        <w:rPr>
          <w:i/>
          <w:rtl w:val="0"/>
        </w:rPr>
        <w:t xml:space="preserve">k</w:t>
      </w:r>
      <w:r>
        <w:rPr>
          <w:rtl w:val="0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N элементов, который нужно взять из текстового файла. Каждый элемент массива соответствует определённому моменту времени </w:t>
      </w:r>
      <w:r>
        <w:rPr>
          <w:i/>
          <w:rtl w:val="0"/>
        </w:rPr>
        <w:t xml:space="preserve">t</w:t>
      </w:r>
      <w:r>
        <w:rPr>
          <w:i/>
          <w:vertAlign w:val="subscript"/>
          <w:rtl w:val="0"/>
        </w:rPr>
        <w:t xml:space="preserve">i</w:t>
      </w:r>
      <w:r>
        <w:rPr>
          <w:rtl w:val="0"/>
        </w:rPr>
        <w:t xml:space="preserve">. Интервал между соседними моментами времени также дается в задании и обозначается как </w:t>
      </w:r>
      <w:r>
        <w:rPr>
          <w:i/>
          <w:rtl w:val="0"/>
        </w:rPr>
        <w:t xml:space="preserve">δt=t</w:t>
      </w:r>
      <w:r>
        <w:rPr>
          <w:i/>
          <w:vertAlign w:val="subscript"/>
          <w:rtl w:val="0"/>
        </w:rPr>
        <w:t xml:space="preserve">i+1</w:t>
      </w:r>
      <w:r>
        <w:rPr>
          <w:i/>
          <w:rtl w:val="0"/>
        </w:rPr>
        <w:t xml:space="preserve">-t</w:t>
      </w:r>
      <w:r>
        <w:rPr>
          <w:i/>
          <w:vertAlign w:val="subscript"/>
          <w:rtl w:val="0"/>
        </w:rPr>
        <w:t xml:space="preserve">i</w:t>
      </w:r>
      <w:r>
        <w:rPr>
          <w:rtl w:val="0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m:rPr/>
          <m:t>ω</m:t>
        </m:r>
      </m:oMath>
      <w:r>
        <w:rPr>
          <w:rtl w:val="0"/>
        </w:rPr>
        <w:t xml:space="preserve"> от 0 до 100 рад/с, а также графики сигнала и его спектра.</w:t>
      </w:r>
      <w:r/>
    </w:p>
    <w:p>
      <w:pPr>
        <w:ind w:firstLine="708"/>
        <w:jc w:val="both"/>
      </w:pPr>
      <w:r>
        <w:rPr>
          <w:rtl w:val="0"/>
        </w:rP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“FOIT_IDZ3.xlsx”.</w:t>
      </w:r>
      <w:r/>
    </w:p>
    <w:p>
      <w:pPr>
        <w:jc w:val="both"/>
      </w:pPr>
      <w:r>
        <w:rPr>
          <w:rtl w:val="0"/>
        </w:rPr>
        <w:t xml:space="preserve"> 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1254" cy="391662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951254" cy="391662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1.12pt;height:308.4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center"/>
      </w:pPr>
      <w:r>
        <w:rPr>
          <w:rtl w:val="0"/>
        </w:rPr>
        <w:t xml:space="preserve">Рисунок 1. Исследуемый четырехполюсник</w:t>
      </w:r>
      <w:r/>
    </w:p>
    <w:p>
      <w:pPr>
        <w:jc w:val="center"/>
      </w:pPr>
      <w:r>
        <w:rPr>
          <w:rtl w:val="0"/>
        </w:rPr>
      </w:r>
      <w:r/>
    </w:p>
    <w:p>
      <w:pPr>
        <w:ind w:firstLine="708"/>
        <w:jc w:val="both"/>
      </w:pPr>
      <w:r>
        <w:rPr>
          <w:rtl w:val="0"/>
        </w:rPr>
        <w:t xml:space="preserve">Отношение амплитуды </w:t>
      </w:r>
      <w:r>
        <w:rPr>
          <w:i/>
          <w:rtl w:val="0"/>
        </w:rPr>
        <w:t xml:space="preserve">k</w:t>
      </w:r>
      <w:r>
        <w:rPr>
          <w:rtl w:val="0"/>
        </w:rPr>
        <w:t xml:space="preserve">-й гармоники на выходе к амплитуде </w:t>
      </w:r>
      <w:r>
        <w:rPr>
          <w:i/>
          <w:rtl w:val="0"/>
        </w:rPr>
        <w:t xml:space="preserve">k</w:t>
      </w:r>
      <w:r>
        <w:rPr>
          <w:rtl w:val="0"/>
        </w:rPr>
        <w:t xml:space="preserve">-й гармонике на входе (</w:t>
      </w:r>
      <m:oMath>
        <m:sSubSup>
          <m:sSubSupPr>
            <m:alnScr m:val="off"/>
            <m:ctrlPr>
              <w:rPr>
                <w:rFonts w:ascii="Cambria Math" w:hAnsi="Cambria Math" w:eastAsia="Cambria Math" w:cs="Cambria Math"/>
              </w:rPr>
            </m:ctrlPr>
          </m:sSubSupPr>
          <m:e>
            <m:r>
              <w:rPr>
                <w:rFonts w:ascii="Cambria Math" w:hAnsi="Cambria Math" w:eastAsia="Cambria Math" w:cs="Cambria Math"/>
              </w:rPr>
              <m:rPr/>
              <m:t>Amp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k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вых</m:t>
            </m:r>
          </m:sup>
        </m:sSubSup>
        <m:r>
          <w:rPr>
            <w:rFonts w:ascii="Cambria Math" w:hAnsi="Cambria Math" w:eastAsia="Cambria Math" w:cs="Cambria Math"/>
          </w:rPr>
          <m:rPr/>
          <m:t>/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</w:rPr>
            </m:ctrlPr>
          </m:sSubSupPr>
          <m:e>
            <m:r>
              <w:rPr>
                <w:rFonts w:ascii="Cambria Math" w:hAnsi="Cambria Math" w:eastAsia="Cambria Math" w:cs="Cambria Math"/>
              </w:rPr>
              <m:rPr/>
              <m:t>Amp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k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вх</m:t>
            </m:r>
          </m:sup>
        </m:sSubSup>
      </m:oMath>
      <w:r>
        <w:rPr>
          <w:rtl w:val="0"/>
        </w:rPr>
        <w:t xml:space="preserve">) нужно вычислить и записать в фа</w:t>
      </w:r>
      <w:r>
        <w:rPr>
          <w:rtl w:val="0"/>
        </w:rPr>
        <w:t xml:space="preserve">йл IDZ3.txt в папке IDZ3. Помимо текстового файла IDZ3.txt в папке IDZ3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</w:pPr>
      <w:r>
        <w:rPr>
          <w:rtl w:val="0"/>
        </w:rPr>
        <w:t xml:space="preserve">Пример содержания файла IDZ3.txt:</w:t>
      </w:r>
      <w:r/>
    </w:p>
    <w:p>
      <w:pPr>
        <w:jc w:val="both"/>
      </w:pPr>
      <w:r>
        <w:rPr>
          <w:rtl w:val="0"/>
        </w:rPr>
        <w:t xml:space="preserve">4.53258</w:t>
      </w:r>
      <w:r/>
    </w:p>
    <w:p>
      <w:pPr>
        <w:jc w:val="center"/>
      </w:pPr>
      <w:r>
        <w:rPr>
          <w:rtl w:val="0"/>
        </w:rPr>
      </w:r>
      <w:r/>
    </w:p>
    <w:p>
      <w:r>
        <w:rPr>
          <w:rtl w:val="0"/>
        </w:rPr>
      </w:r>
      <w:r/>
    </w:p>
    <w:p>
      <w:pPr>
        <w:jc w:val="center"/>
        <w:rPr>
          <w:u w:val="single"/>
        </w:rPr>
      </w:pPr>
      <w:r>
        <w:rPr>
          <w:u w:val="single"/>
          <w:rtl w:val="0"/>
        </w:rPr>
        <w:t xml:space="preserve">Исходные данные:</w:t>
      </w:r>
      <w:r>
        <w:rPr>
          <w:u w:val="single"/>
        </w:rPr>
      </w:r>
    </w:p>
    <w:p>
      <w:r>
        <w:rPr>
          <w:rtl w:val="0"/>
        </w:rPr>
        <w:t xml:space="preserve">Вариант 21</w:t>
      </w:r>
      <w:r/>
    </w:p>
    <w:p>
      <w:r>
        <w:rPr>
          <w:rtl w:val="0"/>
        </w:rPr>
      </w:r>
      <w:r/>
    </w:p>
    <w:tbl>
      <w:tblPr>
        <w:tblStyle w:val="633"/>
        <w:tblW w:w="54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243"/>
        <w:tblGridChange w:id="1">
          <w:tblGrid>
            <w:gridCol w:w="2235"/>
            <w:gridCol w:w="3243"/>
          </w:tblGrid>
        </w:tblGridChange>
      </w:tblGrid>
      <w:tr>
        <w:trPr>
          <w:cantSplit w:val="false"/>
          <w:trHeight w:val="366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L1,Гн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13.2111694517397</w:t>
            </w:r>
            <w:r/>
          </w:p>
        </w:tc>
      </w:tr>
      <w:tr>
        <w:trPr>
          <w:cantSplit w:val="false"/>
          <w:trHeight w:val="366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L2,Гн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0.524511360054314</w:t>
            </w:r>
            <w:r/>
          </w:p>
        </w:tc>
      </w:tr>
      <w:tr>
        <w:trPr>
          <w:cantSplit w:val="false"/>
          <w:trHeight w:val="350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С1,Ф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0.0000102992617837037</w:t>
            </w:r>
            <w:r/>
          </w:p>
        </w:tc>
      </w:tr>
      <w:tr>
        <w:trPr>
          <w:cantSplit w:val="false"/>
          <w:trHeight w:val="366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С2,Ф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0.0000143453621996884</w:t>
            </w:r>
            <w:r/>
          </w:p>
        </w:tc>
      </w:tr>
      <w:tr>
        <w:trPr>
          <w:cantSplit w:val="false"/>
          <w:trHeight w:val="366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R1,Ом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100.793558967849</w:t>
            </w:r>
            <w:r/>
          </w:p>
        </w:tc>
      </w:tr>
      <w:tr>
        <w:trPr>
          <w:cantSplit w:val="false"/>
          <w:trHeight w:val="366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R2,Ом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35.96448954979</w:t>
            </w:r>
            <w:r/>
          </w:p>
        </w:tc>
      </w:tr>
      <w:tr>
        <w:trPr>
          <w:cantSplit w:val="false"/>
          <w:trHeight w:val="366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R3,Ом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1054.70791442856</w:t>
            </w:r>
            <w:r/>
          </w:p>
        </w:tc>
      </w:tr>
      <w:tr>
        <w:trPr>
          <w:cantSplit w:val="false"/>
          <w:trHeight w:val="350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R4,Ом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538.353431816832</w:t>
            </w:r>
            <w:r/>
          </w:p>
        </w:tc>
      </w:tr>
      <w:tr>
        <w:trPr>
          <w:cantSplit w:val="false"/>
          <w:trHeight w:val="350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Количество отсчетов N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8192</w:t>
            </w:r>
            <w:r/>
          </w:p>
        </w:tc>
      </w:tr>
      <w:tr>
        <w:trPr>
          <w:cantSplit w:val="false"/>
          <w:trHeight w:val="350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Время между соседними отсчетами (δt), c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0.0196349540849362</w:t>
            </w:r>
            <w:r/>
          </w:p>
        </w:tc>
      </w:tr>
      <w:tr>
        <w:trPr>
          <w:cantSplit w:val="false"/>
          <w:trHeight w:val="350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Контакты выхода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4 и 9 </w:t>
            </w:r>
            <w:r/>
          </w:p>
        </w:tc>
      </w:tr>
      <w:tr>
        <w:trPr>
          <w:cantSplit w:val="false"/>
          <w:trHeight w:val="350"/>
        </w:trPr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Номер гармоники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rPr>
                <w:rtl w:val="0"/>
              </w:rPr>
              <w:t xml:space="preserve">1</w:t>
            </w:r>
            <w:r/>
          </w:p>
        </w:tc>
      </w:tr>
    </w:tbl>
    <w:p>
      <w:r>
        <w:rPr>
          <w:rtl w:val="0"/>
        </w:rPr>
      </w:r>
      <w:r/>
    </w:p>
    <w:p>
      <w:r>
        <w:rPr>
          <w:rtl w:val="0"/>
        </w:rPr>
      </w:r>
      <w:r/>
    </w:p>
    <w:p>
      <w:pPr>
        <w:jc w:val="center"/>
        <w:rPr>
          <w:u w:val="single"/>
        </w:rPr>
      </w:pPr>
      <w:r>
        <w:rPr>
          <w:u w:val="single"/>
          <w:rtl w:val="0"/>
        </w:rPr>
        <w:t xml:space="preserve">Теоретические положения</w:t>
      </w:r>
      <w:r>
        <w:rPr>
          <w:u w:val="single"/>
        </w:rPr>
      </w:r>
    </w:p>
    <w:p>
      <w:pPr>
        <w:ind w:firstLine="708"/>
      </w:pPr>
      <w:r>
        <w:rPr>
          <w:rtl w:val="0"/>
        </w:rPr>
        <w:t xml:space="preserve">Передаточная функция системы H =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Uout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Uin</m:t>
            </m:r>
          </m:den>
        </m:f>
      </m:oMath>
      <w:r>
        <w:rPr>
          <w:rtl w:val="0"/>
        </w:rPr>
        <w:t xml:space="preserve"> </w:t>
      </w:r>
      <w:r/>
    </w:p>
    <w:p>
      <w:pPr>
        <w:ind w:firstLine="708"/>
      </w:pPr>
      <w:r>
        <w:rPr>
          <w:rtl w:val="0"/>
        </w:rPr>
        <w:t xml:space="preserve">Она показывает связь между входным и выходным напряжениями.</w:t>
      </w:r>
      <w:r/>
    </w:p>
    <w:p>
      <w:pPr>
        <w:ind w:firstLine="708"/>
      </w:pPr>
      <w:r>
        <w:rPr>
          <w:rtl w:val="0"/>
        </w:rPr>
        <w:t xml:space="preserve">Для нахождения входного и выходного напряжения нужно знать импеданс Z – комплексное сопротивление для гармонического сигнала:</w:t>
      </w:r>
      <w:r/>
    </w:p>
    <w:p>
      <w:pPr>
        <w:ind w:firstLine="708"/>
      </w:pPr>
      <w:r>
        <w:rPr>
          <w:rtl w:val="0"/>
        </w:rPr>
      </w:r>
      <w:r/>
    </w:p>
    <w:tbl>
      <w:tblPr>
        <w:tblStyle w:val="634"/>
        <w:tblW w:w="52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34"/>
        <w:gridCol w:w="856"/>
        <w:gridCol w:w="855"/>
        <w:tblGridChange w:id="2">
          <w:tblGrid>
            <w:gridCol w:w="3534"/>
            <w:gridCol w:w="856"/>
            <w:gridCol w:w="855"/>
          </w:tblGrid>
        </w:tblGridChange>
      </w:tblGrid>
      <w:tr>
        <w:trPr>
          <w:cantSplit w:val="false"/>
          <w:trHeight w:val="509"/>
        </w:trPr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ind w:firstLine="708"/>
              <w:jc w:val="center"/>
            </w:pPr>
            <w:r>
              <w:rPr>
                <w:rtl w:val="0"/>
              </w:rPr>
              <w:t xml:space="preserve">Резистор</w:t>
            </w:r>
            <w:r/>
          </w:p>
        </w:tc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tl w:val="0"/>
              </w:rPr>
              <w:t xml:space="preserve">Z</w:t>
            </w:r>
            <w:r>
              <w:rPr>
                <w:vertAlign w:val="subscript"/>
                <w:rtl w:val="0"/>
              </w:rPr>
              <w:t xml:space="preserve">R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tl w:val="0"/>
              </w:rPr>
              <w:t xml:space="preserve">R</w:t>
            </w:r>
            <w:r/>
          </w:p>
        </w:tc>
      </w:tr>
      <w:tr>
        <w:trPr>
          <w:cantSplit w:val="false"/>
          <w:trHeight w:val="842"/>
        </w:trPr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ind w:firstLine="708"/>
              <w:jc w:val="center"/>
            </w:pPr>
            <w:r>
              <w:rPr>
                <w:rtl w:val="0"/>
              </w:rPr>
              <w:t xml:space="preserve">Конденсатор</w:t>
            </w:r>
            <w:r/>
          </w:p>
        </w:tc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tl w:val="0"/>
              </w:rPr>
              <w:t xml:space="preserve">Z</w:t>
            </w:r>
            <w:r>
              <w:rPr>
                <w:vertAlign w:val="subscript"/>
                <w:rtl w:val="0"/>
              </w:rPr>
              <w:t xml:space="preserve">C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</w:rPr>
                      <m:rPr/>
                      <m:t>jωC</m:t>
                    </m:r>
                  </m:den>
                </m:f>
              </m:oMath>
            </m:oMathPara>
            <w:r>
              <w:rPr>
                <w:rtl w:val="0"/>
              </w:rPr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jc w:val="center"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57"/>
        </w:trPr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ind w:firstLine="708"/>
              <w:jc w:val="center"/>
            </w:pPr>
            <w:r>
              <w:rPr>
                <w:rtl w:val="0"/>
              </w:rPr>
              <w:t xml:space="preserve">Катушка индуктивности</w:t>
            </w:r>
            <w:r/>
          </w:p>
        </w:tc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tl w:val="0"/>
              </w:rPr>
              <w:t xml:space="preserve">Z</w:t>
            </w:r>
            <w:r>
              <w:rPr>
                <w:vertAlign w:val="subscript"/>
                <w:rtl w:val="0"/>
              </w:rPr>
              <w:t xml:space="preserve">L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tl w:val="0"/>
              </w:rPr>
              <w:t xml:space="preserve">jωL</w:t>
            </w:r>
            <w:r/>
          </w:p>
        </w:tc>
      </w:tr>
    </w:tbl>
    <w:p>
      <w:r>
        <w:rPr>
          <w:rtl w:val="0"/>
        </w:rPr>
      </w:r>
      <w:r/>
    </w:p>
    <w:p>
      <w:pPr>
        <w:ind w:firstLine="708"/>
      </w:pPr>
      <w:r>
        <w:rPr>
          <w:rtl w:val="0"/>
        </w:rPr>
        <w:t xml:space="preserve">АЧХ передаточной функции получается как |H(jω)|, и показывает изменение амплитуды сигнала в зависимости от его частоты.</w:t>
      </w:r>
      <w:r/>
    </w:p>
    <w:p>
      <w:pPr>
        <w:ind w:firstLine="708"/>
      </w:pPr>
      <w:r>
        <w:rPr>
          <w:rtl w:val="0"/>
        </w:rPr>
      </w:r>
      <w:r/>
    </w:p>
    <w:p>
      <w:pPr>
        <w:ind w:firstLine="708"/>
      </w:pPr>
      <w:r>
        <w:rPr>
          <w:rtl w:val="0"/>
        </w:rPr>
        <w:t xml:space="preserve"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  <w:r/>
    </w:p>
    <w:p>
      <w:r>
        <w:rPr>
          <w:rtl w:val="0"/>
        </w:rPr>
      </w:r>
      <w:r/>
    </w:p>
    <w:p>
      <w:pPr>
        <w:ind w:firstLine="708"/>
      </w:pPr>
      <w:r>
        <w:rPr>
          <w:rtl w:val="0"/>
        </w:rPr>
        <w:t xml:space="preserve">Для построения спектра сигнала, заданного списком значений, используется дискретное преобразование Фурье:</w:t>
      </w:r>
      <w:r/>
    </w:p>
    <w:p>
      <w:r>
        <w:rPr>
          <w:rtl w:val="0"/>
        </w:rPr>
      </w:r>
      <w:r/>
    </w:p>
    <w:p>
      <w:r>
        <w:rPr>
          <w:rtl w:val="0"/>
        </w:rPr>
        <w:t xml:space="preserve">F</w:t>
      </w:r>
      <w:r>
        <w:rPr>
          <w:vertAlign w:val="subscript"/>
          <w:rtl w:val="0"/>
        </w:rPr>
        <w:t xml:space="preserve">i</w:t>
      </w:r>
      <w:r>
        <w:rPr>
          <w:rtl w:val="0"/>
        </w:rPr>
        <w:t xml:space="preserve">= </w:t>
      </w:r>
      <m:oMath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k=1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N</m:t>
            </m:r>
          </m:sup>
          <m:e>
            <m:r>
              <w:rPr>
                <w:rFonts w:ascii="Cambria Math" w:hAnsi="Cambria Math" w:eastAsia="Cambria Math" w:cs="Cambria Math"/>
              </w:rPr>
              <m:rPr/>
              <m:t/>
            </m:r>
          </m:e>
        </m:nary>
        <m:r>
          <w:rPr>
            <w:rFonts w:ascii="Cambria Math" w:hAnsi="Cambria Math" w:eastAsia="Cambria Math" w:cs="Cambria Math"/>
          </w:rPr>
          <m:rPr/>
          <m:t>Sₖ exp⁡(-j 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2π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N</m:t>
            </m:r>
          </m:den>
        </m:f>
        <m:r>
          <w:rPr>
            <w:rFonts w:ascii="Cambria Math" w:hAnsi="Cambria Math" w:eastAsia="Cambria Math" w:cs="Cambria Math"/>
          </w:rPr>
          <m:rPr/>
          <m:t>in)</m:t>
        </m:r>
      </m:oMath>
      <w:r>
        <w:rPr>
          <w:rtl w:val="0"/>
        </w:rPr>
      </w:r>
      <w:r/>
    </w:p>
    <w:p>
      <w:r>
        <w:rPr>
          <w:rtl w:val="0"/>
        </w:rPr>
      </w:r>
      <w:r/>
    </w:p>
    <w:p>
      <w:pPr>
        <w:ind w:firstLine="708"/>
      </w:pPr>
      <w:r>
        <w:rPr>
          <w:rtl w:val="0"/>
        </w:rPr>
        <w:t xml:space="preserve">Абсолютное значение |F|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ω - координата будет соответствовать ее частоте в исходном сигнале.</w:t>
      </w:r>
      <w:r/>
      <w:r/>
    </w:p>
    <w:p>
      <w:pPr>
        <w:ind w:firstLine="708"/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</w:pPr>
      <w:r>
        <w:t xml:space="preserve">Чтобы посчитать общий импеданс, нужно:</w:t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</w:pPr>
      <w:r>
        <w:t xml:space="preserve">Найти импеданс на последовательном соединении R4 и C2 (обозн. Z1)</w:t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</w:pPr>
      <w:r>
        <w:t xml:space="preserve">Найти импеданс на последовательном соединении C1, L2, R2, R3 (обозн. Z2)</w:t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rPr>
          <w:highlight w:val="none"/>
        </w:rPr>
      </w:pPr>
      <w:r>
        <w:t xml:space="preserve">Найти импеданс на параллельном соединении Z1 и Z2</w:t>
        <w:br w:type="page" w:clear="all"/>
      </w:r>
      <w:r/>
      <w:r/>
    </w:p>
    <w:p>
      <w:pPr>
        <w:ind w:firstLine="708"/>
        <w:jc w:val="center"/>
        <w:spacing w:line="360" w:lineRule="auto"/>
        <w:rPr>
          <w:b/>
        </w:rPr>
      </w:pPr>
      <w:r>
        <w:rPr>
          <w:b/>
          <w:rtl w:val="0"/>
        </w:rPr>
        <w:t xml:space="preserve">ПРИЛОЖЕНИЕ А</w:t>
      </w:r>
      <w:r>
        <w:rPr>
          <w:b/>
        </w:rPr>
      </w:r>
    </w:p>
    <w:p>
      <w:pPr>
        <w:ind w:firstLine="708"/>
        <w:jc w:val="center"/>
        <w:spacing w:line="360" w:lineRule="auto"/>
        <w:rPr>
          <w:b/>
        </w:rPr>
      </w:pPr>
      <w:r>
        <w:rPr>
          <w:b/>
          <w:rtl w:val="0"/>
        </w:rPr>
        <w:t xml:space="preserve">ПРОГРАММА MAIN.NB</w:t>
      </w:r>
      <w:r>
        <w:rPr>
          <w:b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L1 = SetPrecision[13.2111694517397,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L2 = SetPrecision[0.524511360054314,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C1 = SetPrecision[0.0000102992617837037,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C2 = SetPrecision[0.0000143453621996884, 13];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R1 = SetPrecision[100.793558967849,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R2 = SetPrecision[35.96448954979,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R3 = SetPrecision[1054.70791442856, 14];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R4 = SetPrecision[538.353431816832,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dt = SetPrecision[0.0196349540849362, 15];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N1 = 8192;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t = dt*N1;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(*передаточная функция и ее АЧХ*)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Z1[w_] = R4 + 1/(I w C2); 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Z2[w_] = 1/(I w C1) + R2 + I w L2 + R3; 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Zparalel[w_] = 1/(1/Z1[w] + 1/Z2[w]); 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I1[w_] = Uin/(R1 + I w L1 + Zparalel[w]);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Upar[w_] = I1[w]*Zparalel[w];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Ipar1[w_] = Upar[w]/Z1[w];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Uout[w_] = Ipar1[w]*R4;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H[w_] = Uout[w]/Uin;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Plot[Abs@H[w], {w, 0, 100}]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(*сигнал*)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signal = ReadList["C:\\Users\\metro\\Downloads\\16.txt"];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ForPlot = Table[{(i - 1)*dt, signal[[i]]}, {i, 1, N1}];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ListPlot[ForPlot, Filling -&gt; Axis, PlotRange -&gt; Full]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(*спектр*)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Fsig = Fourier[signal];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outN = Length@Fsig;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df = 1/t;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FourAbs = Table[{2 \[Pi] df (i - 1), Abs@Fsig[[i]]}, {i, 1, outN/5}];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ListPlot[FourAbs, Filling -&gt; Axis, PlotRange -&gt; Full]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(*коэффициент усиления первой гармоники*)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Abs@H[10]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Show[Plot[Abs@H[w], {w, 0, 100}], 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 ListPlot[{{40, 3}}, Filling -&gt; Axis]]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rPr>
          <w:rFonts w:ascii="Courier New" w:hAnsi="Courier New" w:eastAsia="Courier New" w:cs="Courier New"/>
          <w:sz w:val="22"/>
          <w:szCs w:val="22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sectPr>
      <w:footnotePr/>
      <w:endnotePr/>
      <w:type w:val="nextPage"/>
      <w:pgSz w:w="11906" w:h="16838" w:orient="portrait"/>
      <w:pgMar w:top="709" w:right="850" w:bottom="28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0"/>
    <w:uiPriority w:val="10"/>
    <w:rPr>
      <w:sz w:val="48"/>
      <w:szCs w:val="48"/>
    </w:rPr>
  </w:style>
  <w:style w:type="character" w:styleId="37">
    <w:name w:val="Subtitle Char"/>
    <w:basedOn w:val="11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</w:style>
  <w:style w:type="table" w:styleId="623" w:default="1">
    <w:name w:val="Table Normal"/>
    <w:tblPr/>
  </w:style>
  <w:style w:type="paragraph" w:styleId="624">
    <w:name w:val="Heading 1"/>
    <w:basedOn w:val="622"/>
    <w:next w:val="622"/>
    <w:pPr>
      <w:keepLines/>
      <w:keepNext/>
      <w:spacing w:before="480" w:after="200"/>
    </w:pPr>
    <w:rPr>
      <w:rFonts w:ascii="Arial" w:hAnsi="Arial" w:eastAsia="Arial" w:cs="Arial"/>
      <w:sz w:val="40"/>
      <w:szCs w:val="40"/>
    </w:rPr>
  </w:style>
  <w:style w:type="paragraph" w:styleId="625">
    <w:name w:val="Heading 2"/>
    <w:basedOn w:val="622"/>
    <w:next w:val="622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26">
    <w:name w:val="Heading 3"/>
    <w:basedOn w:val="622"/>
    <w:next w:val="622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27">
    <w:name w:val="Heading 4"/>
    <w:basedOn w:val="622"/>
    <w:next w:val="622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28">
    <w:name w:val="Heading 5"/>
    <w:basedOn w:val="622"/>
    <w:next w:val="622"/>
    <w:pPr>
      <w:keepLines/>
      <w:keepNext/>
      <w:spacing w:before="320" w:after="200"/>
    </w:pPr>
    <w:rPr>
      <w:rFonts w:ascii="Arial" w:hAnsi="Arial" w:eastAsia="Arial" w:cs="Arial"/>
      <w:b/>
    </w:rPr>
  </w:style>
  <w:style w:type="paragraph" w:styleId="629">
    <w:name w:val="Heading 6"/>
    <w:basedOn w:val="622"/>
    <w:next w:val="622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30">
    <w:name w:val="Title"/>
    <w:basedOn w:val="622"/>
    <w:next w:val="622"/>
    <w:pPr>
      <w:spacing w:before="300" w:after="200"/>
    </w:pPr>
    <w:rPr>
      <w:sz w:val="48"/>
      <w:szCs w:val="48"/>
    </w:rPr>
  </w:style>
  <w:style w:type="paragraph" w:styleId="631">
    <w:name w:val="Subtitle"/>
    <w:basedOn w:val="622"/>
    <w:next w:val="622"/>
    <w:pPr>
      <w:spacing w:before="200" w:after="200"/>
    </w:pPr>
  </w:style>
  <w:style w:type="table" w:styleId="632">
    <w:name w:val="StGen0"/>
    <w:basedOn w:val="623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33">
    <w:name w:val="StGen1"/>
    <w:basedOn w:val="623"/>
    <w:rPr>
      <w:color w:val="404040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ac090"/>
    </w:tcPr>
  </w:style>
  <w:style w:type="table" w:styleId="634">
    <w:name w:val="StGen2"/>
    <w:basedOn w:val="623"/>
    <w:rPr>
      <w:color w:val="404040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ac090"/>
    </w:tcPr>
  </w:style>
  <w:style w:type="character" w:styleId="1641" w:default="1">
    <w:name w:val="Default Paragraph Font"/>
    <w:uiPriority w:val="1"/>
    <w:semiHidden/>
    <w:unhideWhenUsed/>
  </w:style>
  <w:style w:type="numbering" w:styleId="16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0pFTVE8WYlg2fQL8yu1+hA4wQ==">CgMxLjA4AHIhMURkdWEwSFFsUTJTbTlLMmd5SHRMeTU1N1BNS0syZFV1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