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Безопасности жизнедеятельности</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tabs>
          <w:tab w:val="left" w:leader="none" w:pos="709"/>
        </w:tabs>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ОТЧЕТ</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«Безопасность жизнедеятельности»</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Исследование защиты человека от воздействия СВЧ-излучения</w:t>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1"/>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2549"/>
        <w:gridCol w:w="3404"/>
        <w:tblGridChange w:id="0">
          <w:tblGrid>
            <w:gridCol w:w="3402"/>
            <w:gridCol w:w="2549"/>
            <w:gridCol w:w="3404"/>
          </w:tblGrid>
        </w:tblGridChange>
      </w:tblGrid>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Студенты гр. 1303</w:t>
            </w:r>
          </w:p>
        </w:tc>
        <w:tc>
          <w:tcPr>
            <w:tcBorders>
              <w:top w:color="ffffff" w:space="0" w:sz="4" w:val="single"/>
              <w:left w:color="000000" w:space="0" w:sz="0" w:val="nil"/>
              <w:bottom w:color="000000" w:space="0" w:sz="4" w:val="single"/>
              <w:right w:color="ffffff" w:space="0" w:sz="4" w:val="single"/>
            </w:tcBorders>
            <w:vAlign w:val="bottom"/>
          </w:tcPr>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bottom"/>
          </w:tcPr>
          <w:p w:rsidR="00000000" w:rsidDel="00000000" w:rsidP="00000000" w:rsidRDefault="00000000" w:rsidRPr="00000000" w14:paraId="00000015">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Беззубов Д.В.</w:t>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tl w:val="0"/>
              </w:rPr>
            </w:r>
          </w:p>
        </w:tc>
        <w:tc>
          <w:tcPr>
            <w:tcBorders>
              <w:left w:color="000000" w:space="0" w:sz="0" w:val="nil"/>
              <w:bottom w:color="000000" w:space="0" w:sz="4" w:val="single"/>
              <w:right w:color="ffffff" w:space="0" w:sz="4" w:val="single"/>
            </w:tcBorders>
            <w:vAlign w:val="bottom"/>
          </w:tcPr>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bottom"/>
          </w:tcPr>
          <w:p w:rsidR="00000000" w:rsidDel="00000000" w:rsidP="00000000" w:rsidRDefault="00000000" w:rsidRPr="00000000" w14:paraId="00000018">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Иевлев Е.А.</w:t>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tc>
        <w:tc>
          <w:tcPr>
            <w:tcBorders>
              <w:left w:color="000000" w:space="0" w:sz="0" w:val="nil"/>
              <w:bottom w:color="000000" w:space="0" w:sz="4" w:val="single"/>
              <w:right w:color="ffffff" w:space="0" w:sz="4" w:val="single"/>
            </w:tcBorders>
            <w:vAlign w:val="bottom"/>
          </w:tcPr>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bottom"/>
          </w:tcPr>
          <w:p w:rsidR="00000000" w:rsidDel="00000000" w:rsidP="00000000" w:rsidRDefault="00000000" w:rsidRPr="00000000" w14:paraId="0000001B">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Чубан Д.В.</w:t>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left w:color="000000" w:space="0" w:sz="0" w:val="nil"/>
              <w:bottom w:color="000000" w:space="0" w:sz="4" w:val="single"/>
              <w:right w:color="ffffff" w:space="0" w:sz="4" w:val="single"/>
            </w:tcBorders>
            <w:vAlign w:val="bottom"/>
          </w:tcPr>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bottom"/>
          </w:tcPr>
          <w:p w:rsidR="00000000" w:rsidDel="00000000" w:rsidP="00000000" w:rsidRDefault="00000000" w:rsidRPr="00000000" w14:paraId="0000001F">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Демидович О.В.</w:t>
            </w:r>
          </w:p>
        </w:tc>
      </w:tr>
    </w:tbl>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tl w:val="0"/>
        </w:rPr>
      </w:r>
    </w:p>
    <w:p w:rsidR="00000000" w:rsidDel="00000000" w:rsidP="00000000" w:rsidRDefault="00000000" w:rsidRPr="00000000" w14:paraId="0000002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Ознакомление с санитарно-гигиеническим нормированием излучения радиочастот и изучение методов защиты персонала от облучения при работе с маломощным СВЧ-генеретором.</w:t>
      </w:r>
    </w:p>
    <w:p w:rsidR="00000000" w:rsidDel="00000000" w:rsidP="00000000" w:rsidRDefault="00000000" w:rsidRPr="00000000" w14:paraId="00000029">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Исследуемые закономерности.</w:t>
      </w:r>
      <w:r w:rsidDel="00000000" w:rsidR="00000000" w:rsidRPr="00000000">
        <w:rPr>
          <w:rtl w:val="0"/>
        </w:rPr>
      </w:r>
    </w:p>
    <w:p w:rsidR="00000000" w:rsidDel="00000000" w:rsidP="00000000" w:rsidRDefault="00000000" w:rsidRPr="00000000" w14:paraId="0000002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зависимости интенсивности СВЧ облучения от расстояния до источника, от положения рабочего места по отношению к направлению максимума излучения антенны, влияние материала и конструкции защитных экранов на уровень облучения.</w:t>
      </w:r>
    </w:p>
    <w:p w:rsidR="00000000" w:rsidDel="00000000" w:rsidP="00000000" w:rsidRDefault="00000000" w:rsidRPr="00000000" w14:paraId="0000002C">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Основные теоретические положения.</w:t>
      </w:r>
      <w:r w:rsidDel="00000000" w:rsidR="00000000" w:rsidRPr="00000000">
        <w:rPr>
          <w:rtl w:val="0"/>
        </w:rPr>
      </w:r>
    </w:p>
    <w:p w:rsidR="00000000" w:rsidDel="00000000" w:rsidP="00000000" w:rsidRDefault="00000000" w:rsidRPr="00000000" w14:paraId="0000002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Радиочастотные электромагнитные поля (ЭМП) используются для получения и передачи информации (техника связи, радиолокация, неразрушающий контроль), а также для технологических целей. На человека могут воздействовать высокочастотные ЭМП, создаваемые генераторами, линиями передачи и технологическими устройствами. Облучение персонала возможно как прямым излучением, так и отражённым.</w:t>
      </w:r>
    </w:p>
    <w:p w:rsidR="00000000" w:rsidDel="00000000" w:rsidP="00000000" w:rsidRDefault="00000000" w:rsidRPr="00000000" w14:paraId="0000002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Электромагнитные поля могут вызывать механическое воздействие (силы, возникающие при взаимодействии тока и магнитного поля, которые воздействуют на предметы); тепловое (нагрев тела и отдельных предметов) и нетепловое (информационное и биологическое) воздействия. Взаимодействуя с телом человека, переменное ЭМП вызывает в нём поляризацию, появление вихревых токов и зарядов (эффект слабой ионизации атомов и молекул). В связи с тем, что энергия электромагнитного поля вплоть до частоты 300 ГГц невелика, излучение такого диапазона частот не относят к ионизирующим. Считается, что ЭМП воздействуют только на уже имеющиеся свободные заряды и диполи. Колебания свободных зарядов (ионов) приводят к увеличению токов проводимостей и потере энергии, связанной с электрическим сопротивлением среды. Вращение дипольных молекул влияет на токи смещения и диэлектрические потери, обусловленные вязкостью среды.</w:t>
      </w:r>
    </w:p>
    <w:p w:rsidR="00000000" w:rsidDel="00000000" w:rsidP="00000000" w:rsidRDefault="00000000" w:rsidRPr="00000000" w14:paraId="0000003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воздействия могут быть заболевания нервной и сердечно-сосудистой систем, электромагнитная катаракта, выпадение волос  и другие нежелательные последствия.</w:t>
      </w:r>
    </w:p>
    <w:p w:rsidR="00000000" w:rsidDel="00000000" w:rsidP="00000000" w:rsidRDefault="00000000" w:rsidRPr="00000000" w14:paraId="0000003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ограничения вредного воздействия ЭМП радиочастот по требованиям ГОСТ 12.1.006-84 и СанПиН 2.2.4.1191-03 установлены предельно допустимые уровни по значениям напряжённости электрического Е, В/м и магнитного полей Н, А/м для частот 10 кГц...300 МГц (длины волн от 30 км до 1 м) и по плотности потока энергии (ППЭ) или плотности потока мощности (ППМ), Вт/м2 для частот 300 МГц... 300 ГГц (длины волн от 1 м до 1 мм).</w:t>
      </w:r>
    </w:p>
    <w:p w:rsidR="00000000" w:rsidDel="00000000" w:rsidP="00000000" w:rsidRDefault="00000000" w:rsidRPr="00000000" w14:paraId="0000003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радиочастотного диапазона введён такой нормативный параметр, как энергетическая нагрузка (ЭН), или энергетическая экспозиция (ЭЭ), который характеризует дозу поглощенной человеком электромагнитной энергии. За рубежом нормирование ведётся по удельной поглощённой электромагнитной мощности, которая характеризуется показателем, названным SAR (Specific Absorption Rate). Энергетические экспозиции (энергетические нагрузки), создаваемые полями - электрическим, магнитным и электромагнитным — равны, соответственно, </w:t>
      </w:r>
      <m:oMath>
        <m:r>
          <w:rPr>
            <w:rFonts w:ascii="Times New Roman" w:cs="Times New Roman" w:eastAsia="Times New Roman" w:hAnsi="Times New Roman"/>
            <w:sz w:val="28"/>
            <w:szCs w:val="28"/>
          </w:rPr>
          <m:t xml:space="preserve">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Е</m:t>
            </m:r>
          </m:sub>
        </m:sSub>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τ</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H</m:t>
            </m:r>
          </m:sub>
        </m:sSub>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τ</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ПД</m:t>
                </m:r>
              </m:sub>
            </m:sSub>
          </m:sub>
        </m:sSub>
        <m:r>
          <w:rPr>
            <w:rFonts w:ascii="Times New Roman" w:cs="Times New Roman" w:eastAsia="Times New Roman" w:hAnsi="Times New Roman"/>
            <w:sz w:val="28"/>
            <w:szCs w:val="28"/>
          </w:rPr>
          <m:t xml:space="preserve">=ППЭ </m:t>
        </m:r>
        <m:r>
          <w:rPr>
            <w:rFonts w:ascii="Times New Roman" w:cs="Times New Roman" w:eastAsia="Times New Roman" w:hAnsi="Times New Roman"/>
            <w:sz w:val="28"/>
            <w:szCs w:val="28"/>
          </w:rPr>
          <m:t>τ</m:t>
        </m:r>
      </m:oMath>
      <w:r w:rsidDel="00000000" w:rsidR="00000000" w:rsidRPr="00000000">
        <w:rPr>
          <w:rFonts w:ascii="Times New Roman" w:cs="Times New Roman" w:eastAsia="Times New Roman" w:hAnsi="Times New Roman"/>
          <w:sz w:val="28"/>
          <w:szCs w:val="28"/>
          <w:rtl w:val="0"/>
        </w:rPr>
        <w:t xml:space="preserve">; Предельно допустимые значения Е, Н или ППЭ на рабочих местах персонала определяются исходя из допустимой энергетической экспозиции и времени воздействия:</w:t>
      </w:r>
    </w:p>
    <w:p w:rsidR="00000000" w:rsidDel="00000000" w:rsidP="00000000" w:rsidRDefault="00000000" w:rsidRPr="00000000" w14:paraId="00000033">
      <w:pPr>
        <w:spacing w:line="360" w:lineRule="auto"/>
        <w:ind w:firstLine="709"/>
        <w:jc w:val="both"/>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ПД</m:t>
            </m:r>
          </m:sub>
        </m:sSub>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Е</m:t>
                        </m:r>
                      </m:e>
                      <m:sub>
                        <m:r>
                          <w:rPr>
                            <w:rFonts w:ascii="Times New Roman" w:cs="Times New Roman" w:eastAsia="Times New Roman" w:hAnsi="Times New Roman"/>
                            <w:sz w:val="28"/>
                            <w:szCs w:val="28"/>
                          </w:rPr>
                          <m:t xml:space="preserve">ПД</m:t>
                        </m:r>
                      </m:sub>
                    </m:sSub>
                  </m:sub>
                </m:sSub>
              </m:num>
              <m:den>
                <m:r>
                  <w:rPr>
                    <w:rFonts w:ascii="Times New Roman" w:cs="Times New Roman" w:eastAsia="Times New Roman" w:hAnsi="Times New Roman"/>
                    <w:sz w:val="28"/>
                    <w:szCs w:val="28"/>
                  </w:rPr>
                  <m:t>τ</m:t>
                </m:r>
              </m:den>
            </m:f>
          </m:e>
        </m:rad>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Н</m:t>
            </m:r>
          </m:e>
          <m:sub>
            <m:r>
              <w:rPr>
                <w:rFonts w:ascii="Times New Roman" w:cs="Times New Roman" w:eastAsia="Times New Roman" w:hAnsi="Times New Roman"/>
                <w:sz w:val="28"/>
                <w:szCs w:val="28"/>
              </w:rPr>
              <m:t xml:space="preserve">ПД</m:t>
            </m:r>
          </m:sub>
        </m:sSub>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Н</m:t>
                        </m:r>
                      </m:e>
                      <m:sub>
                        <m:r>
                          <w:rPr>
                            <w:rFonts w:ascii="Times New Roman" w:cs="Times New Roman" w:eastAsia="Times New Roman" w:hAnsi="Times New Roman"/>
                            <w:sz w:val="28"/>
                            <w:szCs w:val="28"/>
                          </w:rPr>
                          <m:t xml:space="preserve">ПД</m:t>
                        </m:r>
                      </m:sub>
                    </m:sSub>
                  </m:sub>
                </m:sSub>
              </m:num>
              <m:den>
                <m:r>
                  <w:rPr>
                    <w:rFonts w:ascii="Times New Roman" w:cs="Times New Roman" w:eastAsia="Times New Roman" w:hAnsi="Times New Roman"/>
                    <w:sz w:val="28"/>
                    <w:szCs w:val="28"/>
                  </w:rPr>
                  <m:t>τ</m:t>
                </m:r>
              </m:den>
            </m:f>
          </m:e>
        </m:rad>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ПД</m:t>
            </m:r>
          </m:sub>
        </m:sSub>
        <m:r>
          <w:rPr>
            <w:rFonts w:ascii="Times New Roman" w:cs="Times New Roman" w:eastAsia="Times New Roman" w:hAnsi="Times New Roman"/>
            <w:sz w:val="28"/>
            <w:szCs w:val="28"/>
          </w:rPr>
          <m:t xml:space="preserve">= 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ПД</m:t>
                </m:r>
              </m:sub>
            </m:sSub>
          </m:sub>
        </m:s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τ</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r>
          <w:rPr>
            <w:rFonts w:ascii="Times New Roman" w:cs="Times New Roman" w:eastAsia="Times New Roman" w:hAnsi="Times New Roman"/>
            <w:sz w:val="28"/>
            <w:szCs w:val="28"/>
          </w:rPr>
          <m:t xml:space="preserve">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Е</m:t>
                </m:r>
              </m:e>
              <m:sub>
                <m:r>
                  <w:rPr>
                    <w:rFonts w:ascii="Times New Roman" w:cs="Times New Roman" w:eastAsia="Times New Roman" w:hAnsi="Times New Roman"/>
                    <w:sz w:val="28"/>
                    <w:szCs w:val="28"/>
                  </w:rPr>
                  <m:t xml:space="preserve">ПД</m:t>
                </m:r>
              </m:sub>
            </m:sSub>
          </m:sub>
        </m:sSub>
      </m:oMath>
      <w:r w:rsidDel="00000000" w:rsidR="00000000" w:rsidRPr="00000000">
        <w:rPr>
          <w:rFonts w:ascii="Times New Roman" w:cs="Times New Roman" w:eastAsia="Times New Roman" w:hAnsi="Times New Roman"/>
          <w:sz w:val="28"/>
          <w:szCs w:val="28"/>
          <w:rtl w:val="0"/>
        </w:rPr>
        <w:t xml:space="preserv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(В/м)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ч; </w:t>
      </w:r>
      <m:oMath>
        <m:r>
          <w:rPr>
            <w:rFonts w:ascii="Times New Roman" w:cs="Times New Roman" w:eastAsia="Times New Roman" w:hAnsi="Times New Roman"/>
            <w:sz w:val="28"/>
            <w:szCs w:val="28"/>
          </w:rPr>
          <m:t xml:space="preserve">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H</m:t>
                </m:r>
              </m:e>
              <m:sub>
                <m:r>
                  <w:rPr>
                    <w:rFonts w:ascii="Times New Roman" w:cs="Times New Roman" w:eastAsia="Times New Roman" w:hAnsi="Times New Roman"/>
                    <w:sz w:val="28"/>
                    <w:szCs w:val="28"/>
                  </w:rPr>
                  <m:t xml:space="preserve">ПД</m:t>
                </m:r>
              </m:sub>
            </m:sSub>
          </m:sub>
        </m:sSub>
      </m:oMath>
      <w:r w:rsidDel="00000000" w:rsidR="00000000" w:rsidRPr="00000000">
        <w:rPr>
          <w:rFonts w:ascii="Times New Roman" w:cs="Times New Roman" w:eastAsia="Times New Roman" w:hAnsi="Times New Roman"/>
          <w:sz w:val="28"/>
          <w:szCs w:val="28"/>
          <w:rtl w:val="0"/>
        </w:rPr>
        <w:t xml:space="preserv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(A/м)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ч; </w:t>
      </w:r>
      <m:oMath>
        <m:r>
          <w:rPr>
            <w:rFonts w:ascii="Times New Roman" w:cs="Times New Roman" w:eastAsia="Times New Roman" w:hAnsi="Times New Roman"/>
            <w:sz w:val="28"/>
            <w:szCs w:val="28"/>
          </w:rPr>
          <m:t xml:space="preserve">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ПД</m:t>
                </m:r>
              </m:sub>
            </m:sSub>
          </m:sub>
        </m:sSub>
      </m:oMath>
      <w:r w:rsidDel="00000000" w:rsidR="00000000" w:rsidRPr="00000000">
        <w:rPr>
          <w:rFonts w:ascii="Times New Roman" w:cs="Times New Roman" w:eastAsia="Times New Roman" w:hAnsi="Times New Roman"/>
          <w:sz w:val="28"/>
          <w:szCs w:val="28"/>
          <w:rtl w:val="0"/>
        </w:rPr>
        <w:t xml:space="preserv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Вт·ч/м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допустимые значения энергетической экспозиции в течение рабочего дня; в нижних индексах - предельно допустимые значения напряженности электрического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Е</m:t>
            </m:r>
          </m:e>
          <m:sub>
            <m:r>
              <w:rPr>
                <w:rFonts w:ascii="Times New Roman" w:cs="Times New Roman" w:eastAsia="Times New Roman" w:hAnsi="Times New Roman"/>
                <w:sz w:val="28"/>
                <w:szCs w:val="28"/>
              </w:rPr>
              <m:t xml:space="preserve">ПД</m:t>
            </m:r>
          </m:sub>
        </m:sSub>
      </m:oMath>
      <w:r w:rsidDel="00000000" w:rsidR="00000000" w:rsidRPr="00000000">
        <w:rPr>
          <w:rFonts w:ascii="Times New Roman" w:cs="Times New Roman" w:eastAsia="Times New Roman" w:hAnsi="Times New Roman"/>
          <w:sz w:val="28"/>
          <w:szCs w:val="28"/>
          <w:rtl w:val="0"/>
        </w:rPr>
        <w:t xml:space="preserve">), магнитного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Н</m:t>
            </m:r>
          </m:e>
          <m:sub>
            <m:r>
              <w:rPr>
                <w:rFonts w:ascii="Times New Roman" w:cs="Times New Roman" w:eastAsia="Times New Roman" w:hAnsi="Times New Roman"/>
                <w:sz w:val="28"/>
                <w:szCs w:val="28"/>
              </w:rPr>
              <m:t xml:space="preserve">ПД</m:t>
            </m:r>
          </m:sub>
        </m:sSub>
      </m:oMath>
      <w:r w:rsidDel="00000000" w:rsidR="00000000" w:rsidRPr="00000000">
        <w:rPr>
          <w:rFonts w:ascii="Times New Roman" w:cs="Times New Roman" w:eastAsia="Times New Roman" w:hAnsi="Times New Roman"/>
          <w:sz w:val="28"/>
          <w:szCs w:val="28"/>
          <w:rtl w:val="0"/>
        </w:rPr>
        <w:t xml:space="preserve">) полей и плотности потока энергии (</w:t>
      </w:r>
      <m:oMath>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ПД</m:t>
            </m:r>
          </m:sub>
        </m:sSub>
      </m:oMath>
      <w:r w:rsidDel="00000000" w:rsidR="00000000" w:rsidRPr="00000000">
        <w:rPr>
          <w:rFonts w:ascii="Times New Roman" w:cs="Times New Roman" w:eastAsia="Times New Roman" w:hAnsi="Times New Roman"/>
          <w:sz w:val="28"/>
          <w:szCs w:val="28"/>
          <w:rtl w:val="0"/>
        </w:rPr>
        <w:t xml:space="preserve">); </w:t>
      </w:r>
      <m:oMath>
        <m:r>
          <m:t>τ</m:t>
        </m:r>
      </m:oMath>
      <w:r w:rsidDel="00000000" w:rsidR="00000000" w:rsidRPr="00000000">
        <w:rPr>
          <w:rFonts w:ascii="Times New Roman" w:cs="Times New Roman" w:eastAsia="Times New Roman" w:hAnsi="Times New Roman"/>
          <w:sz w:val="28"/>
          <w:szCs w:val="28"/>
          <w:rtl w:val="0"/>
        </w:rPr>
        <w:t xml:space="preserve">, ч - время воздействия.</w:t>
      </w:r>
    </w:p>
    <w:p w:rsidR="00000000" w:rsidDel="00000000" w:rsidP="00000000" w:rsidRDefault="00000000" w:rsidRPr="00000000" w14:paraId="0000003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Нормативное значение </w:t>
      </w:r>
      <m:oMath>
        <m:r>
          <w:rPr>
            <w:rFonts w:ascii="Times New Roman" w:cs="Times New Roman" w:eastAsia="Times New Roman" w:hAnsi="Times New Roman"/>
            <w:sz w:val="28"/>
            <w:szCs w:val="28"/>
          </w:rPr>
          <m:t xml:space="preserve"> Э</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ПД</m:t>
                </m:r>
              </m:sub>
            </m:sSub>
          </m:sub>
        </m:sSub>
      </m:oMath>
      <w:r w:rsidDel="00000000" w:rsidR="00000000" w:rsidRPr="00000000">
        <w:rPr>
          <w:rFonts w:ascii="Times New Roman" w:cs="Times New Roman" w:eastAsia="Times New Roman" w:hAnsi="Times New Roman"/>
          <w:sz w:val="28"/>
          <w:szCs w:val="28"/>
          <w:rtl w:val="0"/>
        </w:rPr>
        <w:t xml:space="preserve"> за рабочий день равно 2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Вт·ч/м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для всех случаев облучения, исключая облучение от вращающихся и сканирующих антенн с частотой вращения или сканирования не более 1 Гц и скважностью не менее 50, которое составляет 20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Вт·ч/м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(2000 </w:t>
      </w:r>
      <m:oMath>
        <m:r>
          <w:rPr>
            <w:rFonts w:ascii="Times New Roman" w:cs="Times New Roman" w:eastAsia="Times New Roman" w:hAnsi="Times New Roman"/>
            <w:sz w:val="28"/>
            <w:szCs w:val="28"/>
          </w:rPr>
          <m:t xml:space="preserve">мк</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Вт·ч/см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Максимальное значение </w:t>
      </w:r>
      <m:oMath>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ПД</m:t>
            </m:r>
          </m:sub>
        </m:sSub>
      </m:oMath>
      <w:r w:rsidDel="00000000" w:rsidR="00000000" w:rsidRPr="00000000">
        <w:rPr>
          <w:rFonts w:ascii="Times New Roman" w:cs="Times New Roman" w:eastAsia="Times New Roman" w:hAnsi="Times New Roman"/>
          <w:sz w:val="28"/>
          <w:szCs w:val="28"/>
          <w:rtl w:val="0"/>
        </w:rPr>
        <w:t xml:space="preserve"> даже кратковременно не должно превышать 10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Вт/м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(1000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мкВт/см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человека от сверхвысокочастотного (СВЧ) облучения осуществляется за счёт ограничения расстояния до источника или времени нахождения в зоне облучения, экранирования рабочего места или источника излучения, а также использования средств индивидуальной защиты. Работы выполняются на установке, показанной на рис. 1.</w:t>
      </w:r>
    </w:p>
    <w:p w:rsidR="00000000" w:rsidDel="00000000" w:rsidP="00000000" w:rsidRDefault="00000000" w:rsidRPr="00000000" w14:paraId="0000003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Она имитирует встречающиеся на производстве условия работы персонала при работе с устройствами СВЧ. В качестве источника СВЧ- излучения используется генератор Ганна, который настроен на частоту 10 ГГц. Выходная мощность генератора 4 мВт, сечение волновода 23х10 мм. Мощность излучения СВЧ измеряется стационарным прибором (милливаттметром) с рупорной приёмной антенной. Для отсчёта расстояния между плоскостями раскрыва рупоров генератора СВЧ и измерителя мощности имеется направляющая со шкалой.</w:t>
      </w:r>
    </w:p>
    <w:p w:rsidR="00000000" w:rsidDel="00000000" w:rsidP="00000000" w:rsidRDefault="00000000" w:rsidRPr="00000000" w14:paraId="0000003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Пространство, около излучающей антенны условно делится на ближнюю, переходную и дальнюю зоны (рис. 1). В ближней и переходной зонах формируется поле излучения (волновое поле). Здесь наблюдается сложный характер зависимости напряжённостей электромагнитного и магнитного полей от расстояния до плоскости раскрыва антенны.</w:t>
      </w:r>
    </w:p>
    <w:p w:rsidR="00000000" w:rsidDel="00000000" w:rsidP="00000000" w:rsidRDefault="00000000" w:rsidRPr="00000000" w14:paraId="0000003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Граница начала дальней зоны излучающей антенны в направлении главного максимума излучения соответствует расстоянию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д</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λ</m:t>
        </m:r>
      </m:oMath>
      <w:r w:rsidDel="00000000" w:rsidR="00000000" w:rsidRPr="00000000">
        <w:rPr>
          <w:rFonts w:ascii="Times New Roman" w:cs="Times New Roman" w:eastAsia="Times New Roman" w:hAnsi="Times New Roman"/>
          <w:sz w:val="28"/>
          <w:szCs w:val="28"/>
          <w:rtl w:val="0"/>
        </w:rPr>
        <w:t xml:space="preserve">, где L - максимальный размер раскрыва антенны; </w:t>
      </w:r>
      <m:oMath>
        <m:r>
          <m:t>λ</m:t>
        </m:r>
      </m:oMath>
      <w:r w:rsidDel="00000000" w:rsidR="00000000" w:rsidRPr="00000000">
        <w:rPr>
          <w:rFonts w:ascii="Times New Roman" w:cs="Times New Roman" w:eastAsia="Times New Roman" w:hAnsi="Times New Roman"/>
          <w:sz w:val="28"/>
          <w:szCs w:val="28"/>
          <w:rtl w:val="0"/>
        </w:rPr>
        <w:t xml:space="preserve"> - длина волны СВ0Ч-излучения в воздухе. Для используемой в работе антенны L = 9 см, </w:t>
      </w:r>
      <m:oMath>
        <m:r>
          <m:t>λ</m:t>
        </m:r>
      </m:oMath>
      <w:r w:rsidDel="00000000" w:rsidR="00000000" w:rsidRPr="00000000">
        <w:rPr>
          <w:rFonts w:ascii="Times New Roman" w:cs="Times New Roman" w:eastAsia="Times New Roman" w:hAnsi="Times New Roman"/>
          <w:sz w:val="28"/>
          <w:szCs w:val="28"/>
          <w:rtl w:val="0"/>
        </w:rPr>
        <w:t xml:space="preserve"> = 3 см и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д</m:t>
            </m:r>
          </m:sub>
        </m:sSub>
      </m:oMath>
      <w:r w:rsidDel="00000000" w:rsidR="00000000" w:rsidRPr="00000000">
        <w:rPr>
          <w:rFonts w:ascii="Times New Roman" w:cs="Times New Roman" w:eastAsia="Times New Roman" w:hAnsi="Times New Roman"/>
          <w:sz w:val="28"/>
          <w:szCs w:val="28"/>
          <w:rtl w:val="0"/>
        </w:rPr>
        <w:t xml:space="preserve"> = 27 см.</w:t>
      </w:r>
    </w:p>
    <w:p w:rsidR="00000000" w:rsidDel="00000000" w:rsidP="00000000" w:rsidRDefault="00000000" w:rsidRPr="00000000" w14:paraId="0000003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характерными для СВЧ-гигиены являются измерения в дальних (волновых) зонах источников СВЧ-излучения. Для оценки интенсивности облучения в интересующих точках исследуемой части пространства используются измерители плотности потока мощности. В лабораторной работе в качестве измерителя установлена рупорная приёмная антенна.</w:t>
      </w:r>
    </w:p>
    <w:p w:rsidR="00000000" w:rsidDel="00000000" w:rsidP="00000000" w:rsidRDefault="00000000" w:rsidRPr="00000000" w14:paraId="0000003B">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определить </w:t>
      </w:r>
      <m:oMath>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Э</m:t>
            </m:r>
          </m:sub>
        </m:sSub>
      </m:oMath>
      <w:r w:rsidDel="00000000" w:rsidR="00000000" w:rsidRPr="00000000">
        <w:rPr>
          <w:rFonts w:ascii="Times New Roman" w:cs="Times New Roman" w:eastAsia="Times New Roman" w:hAnsi="Times New Roman"/>
          <w:sz w:val="28"/>
          <w:szCs w:val="28"/>
          <w:rtl w:val="0"/>
        </w:rPr>
        <w:t xml:space="preserve">, необходимо знать мощность излучения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пр</m:t>
            </m:r>
          </m:sub>
        </m:sSub>
      </m:oMath>
      <w:r w:rsidDel="00000000" w:rsidR="00000000" w:rsidRPr="00000000">
        <w:rPr>
          <w:rFonts w:ascii="Times New Roman" w:cs="Times New Roman" w:eastAsia="Times New Roman" w:hAnsi="Times New Roman"/>
          <w:sz w:val="28"/>
          <w:szCs w:val="28"/>
          <w:rtl w:val="0"/>
        </w:rPr>
        <w:t xml:space="preserve"> и эффективную площадь приёмной антенны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S</m:t>
            </m:r>
          </m:e>
          <m:sub>
            <m:r>
              <w:rPr>
                <w:rFonts w:ascii="Times New Roman" w:cs="Times New Roman" w:eastAsia="Times New Roman" w:hAnsi="Times New Roman"/>
                <w:sz w:val="28"/>
                <w:szCs w:val="28"/>
              </w:rPr>
              <m:t xml:space="preserve">эф</m:t>
            </m:r>
          </m:sub>
        </m:sSub>
        <m:r>
          <w:rPr>
            <w:rFonts w:ascii="Times New Roman" w:cs="Times New Roman" w:eastAsia="Times New Roman" w:hAnsi="Times New Roman"/>
            <w:sz w:val="28"/>
            <w:szCs w:val="28"/>
          </w:rPr>
          <m:t xml:space="preserve">: 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Э</m:t>
            </m:r>
          </m:sub>
        </m:sSub>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пр</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S</m:t>
                </m:r>
              </m:e>
              <m:sub>
                <m:r>
                  <w:rPr>
                    <w:rFonts w:ascii="Times New Roman" w:cs="Times New Roman" w:eastAsia="Times New Roman" w:hAnsi="Times New Roman"/>
                    <w:sz w:val="28"/>
                    <w:szCs w:val="28"/>
                  </w:rPr>
                  <m:t xml:space="preserve">эф</m:t>
                </m:r>
              </m:sub>
            </m:sSub>
          </m:den>
        </m:f>
      </m:oMath>
      <w:r w:rsidDel="00000000" w:rsidR="00000000" w:rsidRPr="00000000">
        <w:rPr>
          <w:rFonts w:ascii="Times New Roman" w:cs="Times New Roman" w:eastAsia="Times New Roman" w:hAnsi="Times New Roman"/>
          <w:sz w:val="28"/>
          <w:szCs w:val="28"/>
          <w:rtl w:val="0"/>
        </w:rPr>
        <w:t xml:space="preserve">. Эффективная площадь антенны связана с ее коэффициентом усиления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пр</m:t>
            </m:r>
          </m:sub>
        </m:sSub>
      </m:oMath>
      <w:r w:rsidDel="00000000" w:rsidR="00000000" w:rsidRPr="00000000">
        <w:rPr>
          <w:rFonts w:ascii="Times New Roman" w:cs="Times New Roman" w:eastAsia="Times New Roman" w:hAnsi="Times New Roman"/>
          <w:sz w:val="28"/>
          <w:szCs w:val="28"/>
          <w:rtl w:val="0"/>
        </w:rPr>
        <w:t xml:space="preserve"> соотношением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S</m:t>
            </m:r>
          </m:e>
          <m:sub>
            <m:r>
              <w:rPr>
                <w:rFonts w:ascii="Times New Roman" w:cs="Times New Roman" w:eastAsia="Times New Roman" w:hAnsi="Times New Roman"/>
                <w:sz w:val="28"/>
                <w:szCs w:val="28"/>
              </w:rPr>
              <m:t xml:space="preserve">эф</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λ</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пр</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Коэффициент усиления антенны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пр</m:t>
            </m:r>
          </m:sub>
        </m:sSub>
      </m:oMath>
      <w:r w:rsidDel="00000000" w:rsidR="00000000" w:rsidRPr="00000000">
        <w:rPr>
          <w:rFonts w:ascii="Times New Roman" w:cs="Times New Roman" w:eastAsia="Times New Roman" w:hAnsi="Times New Roman"/>
          <w:sz w:val="28"/>
          <w:szCs w:val="28"/>
          <w:rtl w:val="0"/>
        </w:rPr>
        <w:t xml:space="preserve"> показывает, во сколько раз значение сигнала, созданного этой антенной в дальней зоне в направлении максимума излучения, превышает значение сигнала, который мог быть создан ненаправленной антенной, находящейся на том же расстоянии от места приёма и излучающей ту же мощность. Иногда коэффициент усиления выражают в децибелах:</w:t>
      </w:r>
    </w:p>
    <w:p w:rsidR="00000000" w:rsidDel="00000000" w:rsidP="00000000" w:rsidRDefault="00000000" w:rsidRPr="00000000" w14:paraId="0000003E">
      <w:pPr>
        <w:spacing w:line="360" w:lineRule="auto"/>
        <w:ind w:firstLine="709"/>
        <w:jc w:val="both"/>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пр</m:t>
            </m:r>
          </m:sub>
        </m:sSub>
      </m:oMath>
      <w:r w:rsidDel="00000000" w:rsidR="00000000" w:rsidRPr="00000000">
        <w:rPr>
          <w:rFonts w:ascii="Times New Roman" w:cs="Times New Roman" w:eastAsia="Times New Roman" w:hAnsi="Times New Roman"/>
          <w:sz w:val="28"/>
          <w:szCs w:val="28"/>
          <w:rtl w:val="0"/>
        </w:rPr>
        <w:t xml:space="preserve"> = 101g</w:t>
      </w:r>
      <m:oMath>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экв</m:t>
                </m:r>
              </m:sub>
            </m:sSub>
          </m:num>
          <m:den>
            <m:r>
              <w:rPr>
                <w:rFonts w:ascii="Times New Roman" w:cs="Times New Roman" w:eastAsia="Times New Roman" w:hAnsi="Times New Roman"/>
                <w:sz w:val="28"/>
                <w:szCs w:val="28"/>
              </w:rPr>
              <m:t xml:space="preserve">P</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Р - мощность источника излучения,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экв</m:t>
            </m:r>
          </m:sub>
        </m:sSub>
      </m:oMath>
      <w:r w:rsidDel="00000000" w:rsidR="00000000" w:rsidRPr="00000000">
        <w:rPr>
          <w:rFonts w:ascii="Times New Roman" w:cs="Times New Roman" w:eastAsia="Times New Roman" w:hAnsi="Times New Roman"/>
          <w:sz w:val="28"/>
          <w:szCs w:val="28"/>
          <w:rtl w:val="0"/>
        </w:rPr>
        <w:t xml:space="preserve"> - эквивалентная мощность направленного источника, приведённая к мощности изотропного источника.</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Теоретическая плотность потока энергии </w:t>
      </w:r>
      <m:oMath>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Т</m:t>
            </m:r>
          </m:sub>
        </m:sSub>
      </m:oMath>
      <w:r w:rsidDel="00000000" w:rsidR="00000000" w:rsidRPr="00000000">
        <w:rPr>
          <w:rFonts w:ascii="Times New Roman" w:cs="Times New Roman" w:eastAsia="Times New Roman" w:hAnsi="Times New Roman"/>
          <w:sz w:val="28"/>
          <w:szCs w:val="28"/>
          <w:rtl w:val="0"/>
        </w:rPr>
        <w:t xml:space="preserve"> на расстоянии </w:t>
      </w:r>
      <m:oMath>
        <m:r>
          <w:rPr>
            <w:rFonts w:ascii="Times New Roman" w:cs="Times New Roman" w:eastAsia="Times New Roman" w:hAnsi="Times New Roman"/>
            <w:sz w:val="28"/>
            <w:szCs w:val="28"/>
          </w:rPr>
          <m:t xml:space="preserve">l</m:t>
        </m:r>
      </m:oMath>
      <w:r w:rsidDel="00000000" w:rsidR="00000000" w:rsidRPr="00000000">
        <w:rPr>
          <w:rFonts w:ascii="Times New Roman" w:cs="Times New Roman" w:eastAsia="Times New Roman" w:hAnsi="Times New Roman"/>
          <w:sz w:val="28"/>
          <w:szCs w:val="28"/>
          <w:rtl w:val="0"/>
        </w:rPr>
        <w:t xml:space="preserve"> от антенны в направлении максимума вычисляется по формуле </w:t>
      </w:r>
      <m:oMath>
        <m:r>
          <w:rPr>
            <w:rFonts w:ascii="Times New Roman" w:cs="Times New Roman" w:eastAsia="Times New Roman" w:hAnsi="Times New Roman"/>
            <w:sz w:val="28"/>
            <w:szCs w:val="28"/>
          </w:rPr>
          <m:t xml:space="preserve">ПП</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Э</m:t>
            </m:r>
          </m:e>
          <m:sub>
            <m:r>
              <w:rPr>
                <w:rFonts w:ascii="Times New Roman" w:cs="Times New Roman" w:eastAsia="Times New Roman" w:hAnsi="Times New Roman"/>
                <w:sz w:val="28"/>
                <w:szCs w:val="28"/>
              </w:rPr>
              <m:t xml:space="preserve">Т</m:t>
            </m:r>
          </m:sub>
        </m:sSub>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r</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п</m:t>
                </m:r>
              </m:sub>
            </m:sSub>
          </m:num>
          <m:den>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π</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F</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где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r</m:t>
            </m:r>
          </m:sub>
        </m:sSub>
      </m:oMath>
      <w:r w:rsidDel="00000000" w:rsidR="00000000" w:rsidRPr="00000000">
        <w:rPr>
          <w:rFonts w:ascii="Times New Roman" w:cs="Times New Roman" w:eastAsia="Times New Roman" w:hAnsi="Times New Roman"/>
          <w:sz w:val="28"/>
          <w:szCs w:val="28"/>
          <w:rtl w:val="0"/>
        </w:rPr>
        <w:t xml:space="preserve"> - выходная мощность генератора;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 коэффициент усиления передающей антенны по мощности; F – коэффициент искажения, учитывающий реальные условия облучения, то есть интерференцию прямого луча от антенны и лучей, отражённых от окружающих предметов.</w:t>
      </w:r>
    </w:p>
    <w:p w:rsidR="00000000" w:rsidDel="00000000" w:rsidP="00000000" w:rsidRDefault="00000000" w:rsidRPr="00000000" w14:paraId="0000004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Коэффициент F - сложная колеблющаяся функция расстояния между антеннами. Для данной работы в первом приближении примем передающей антенн F = 1. Расчёт ППЭ следует выполнить для </w:t>
      </w:r>
      <m:oMath>
        <m:r>
          <w:rPr>
            <w:rFonts w:ascii="Times New Roman" w:cs="Times New Roman" w:eastAsia="Times New Roman" w:hAnsi="Times New Roman"/>
            <w:sz w:val="28"/>
            <w:szCs w:val="28"/>
          </w:rPr>
          <m:t xml:space="preserve">l</m:t>
        </m:r>
      </m:oMath>
      <w:r w:rsidDel="00000000" w:rsidR="00000000" w:rsidRPr="00000000">
        <w:rPr>
          <w:rFonts w:ascii="Times New Roman" w:cs="Times New Roman" w:eastAsia="Times New Roman" w:hAnsi="Times New Roman"/>
          <w:sz w:val="28"/>
          <w:szCs w:val="28"/>
          <w:rtl w:val="0"/>
        </w:rPr>
        <w:t xml:space="preserve"> = 30...95 см. В используемом макете коэффициент усиления приемной и передающей антенн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п</m:t>
            </m:r>
          </m:sub>
        </m:sSub>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пр</m:t>
            </m:r>
          </m:sub>
        </m:sSub>
      </m:oMath>
      <w:r w:rsidDel="00000000" w:rsidR="00000000" w:rsidRPr="00000000">
        <w:rPr>
          <w:rFonts w:ascii="Times New Roman" w:cs="Times New Roman" w:eastAsia="Times New Roman" w:hAnsi="Times New Roman"/>
          <w:sz w:val="28"/>
          <w:szCs w:val="28"/>
          <w:rtl w:val="0"/>
        </w:rPr>
        <w:t xml:space="preserve">= 55.</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670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Примерный вид измеренной ППМ (ППЭ) от антенны в зависимости от расстояния до источника</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тем, что средствами защиты от ЭМП, особенно СВЧ-диапазона, на пути их распространения служат мелкая металлическая сетка, металлизированные ткани, специальные радиозащитные очки и другие поглощающие или отражающие материалы, которые выбираются исходя из частоты, вида ЭМП и необходимого коэффициента экранирования, в лабораторной работе предлагается исследовать защитные свойства различных экранов (с резиной, имеющей сложную поверхность; с медными сетками с различным размером ячейки; с металлизированными тканями, которые выпускаются промышленностью; с оргстеклом; с кюветой из оргстекла, наполненной дистиллированной водой, и др.). При выполнении лабораторной работы следует оценить, к какому виду относится экран: поглощающему или отражающему.</w:t>
      </w:r>
    </w:p>
    <w:p w:rsidR="00000000" w:rsidDel="00000000" w:rsidP="00000000" w:rsidRDefault="00000000" w:rsidRPr="00000000" w14:paraId="00000046">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Ход лабораторной работы.</w:t>
      </w:r>
    </w:p>
    <w:p w:rsidR="00000000" w:rsidDel="00000000" w:rsidP="00000000" w:rsidRDefault="00000000" w:rsidRPr="00000000" w14:paraId="0000004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Проведено исследование зависимости мощности излучения от расстояния до источника. </w:t>
      </w:r>
    </w:p>
    <w:p w:rsidR="00000000" w:rsidDel="00000000" w:rsidP="00000000" w:rsidRDefault="00000000" w:rsidRPr="00000000" w14:paraId="00000049">
      <w:pPr>
        <w:spacing w:line="360" w:lineRule="auto"/>
        <w:ind w:firstLine="709"/>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В ближней зоне (≤ 30 см) найдены минимальные и максимальные значения мощности. Результаты представлены в протоколе измерений.</w:t>
      </w:r>
    </w:p>
    <w:p w:rsidR="00000000" w:rsidDel="00000000" w:rsidP="00000000" w:rsidRDefault="00000000" w:rsidRPr="00000000" w14:paraId="0000004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дальней зоны (от 30 до 90 см) плавно увеличивали расстояние между излучателем и приемником на 5 см.  Результаты представлены в протоколе измерений. График зависимости представлен на рисунке 2.</w:t>
      </w:r>
    </w:p>
    <w:p w:rsidR="00000000" w:rsidDel="00000000" w:rsidP="00000000" w:rsidRDefault="00000000" w:rsidRPr="00000000" w14:paraId="0000004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Зависимость мощности от расстояния до источника" id="2" name="image6.png"/>
            <a:graphic>
              <a:graphicData uri="http://schemas.openxmlformats.org/drawingml/2006/picture">
                <pic:pic>
                  <pic:nvPicPr>
                    <pic:cNvPr descr="Зависимость мощности от расстояния до источника" id="0" name="image6.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график зависимости мощности на приемнике от расстояния до него для дальней зоны.</w:t>
      </w:r>
    </w:p>
    <w:p w:rsidR="00000000" w:rsidDel="00000000" w:rsidP="00000000" w:rsidRDefault="00000000" w:rsidRPr="00000000" w14:paraId="0000004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Проведено исследование зависимости мощности излучения от угла поворота. Проведены измерения при повороте рупора излучателя на 5, 10, 15, 20, 25, 30, 35, 40 градусов в направлении “от себя”. График зависимости представлен на рисунке 3.</w:t>
      </w:r>
    </w:p>
    <w:p w:rsidR="00000000" w:rsidDel="00000000" w:rsidP="00000000" w:rsidRDefault="00000000" w:rsidRPr="00000000" w14:paraId="0000004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Зависимость мощности от угла поворота" id="4" name="image11.png"/>
            <a:graphic>
              <a:graphicData uri="http://schemas.openxmlformats.org/drawingml/2006/picture">
                <pic:pic>
                  <pic:nvPicPr>
                    <pic:cNvPr descr="Зависимость мощности от угла поворота" id="0" name="image11.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зависимость мощности от угла поворота</w:t>
      </w:r>
    </w:p>
    <w:p w:rsidR="00000000" w:rsidDel="00000000" w:rsidP="00000000" w:rsidRDefault="00000000" w:rsidRPr="00000000" w14:paraId="0000005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зависимости плотности потока энергии (ППЭ) от расстояния до источника.</w:t>
      </w:r>
      <w:r w:rsidDel="00000000" w:rsidR="00000000" w:rsidRPr="00000000">
        <w:rPr>
          <w:rtl w:val="0"/>
        </w:rPr>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полученные значения мощности излучения рассчитаем плотность потока энергии (теоретическую) (ППЭэ и ППЭт). Рассчитаем ППЭэ и ППЭт для l = 5 - 90 см. Результаты представлены в таблице 1.</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для расчета ППЭэ представлена в формуле 1.</w:t>
      </w:r>
    </w:p>
    <w:p w:rsidR="00000000" w:rsidDel="00000000" w:rsidP="00000000" w:rsidRDefault="00000000" w:rsidRPr="00000000" w14:paraId="0000005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70305" cy="837681"/>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70305" cy="837681"/>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для расчета ППЭт представлена в формуле 2.</w:t>
      </w:r>
    </w:p>
    <w:p w:rsidR="00000000" w:rsidDel="00000000" w:rsidP="00000000" w:rsidRDefault="00000000" w:rsidRPr="00000000" w14:paraId="0000005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46480" cy="2268589"/>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46480" cy="226858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рассчитанные значения ППЭэ и ППЭт</w:t>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tbl>
      <w:tblPr>
        <w:tblStyle w:val="Table2"/>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130"/>
        <w:gridCol w:w="1620"/>
        <w:tblGridChange w:id="0">
          <w:tblGrid>
            <w:gridCol w:w="1500"/>
            <w:gridCol w:w="1500"/>
            <w:gridCol w:w="2130"/>
            <w:gridCol w:w="16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l, см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P, мВт</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ППЭ</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ППЭт</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0,00003298585859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0,0194621373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0,11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0,00002050612245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0,01429871312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0,07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0,000009990909091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0,01094745223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0,000007894051627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0,008649838798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0,05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0,000004567272727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0,007006369427</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0,05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0,00000377460556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0,005790387956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0,000002537373737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0,004865534324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0,000002162022593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0,004145780726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70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0,000001398144712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0,003574678279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0,000001217939394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0,003113941967</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80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0,000001070454545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0,002736863057</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0,02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0,0000006321484744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0,002424349283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0,02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0,0000005638608305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0,0021624597</w:t>
            </w:r>
          </w:p>
        </w:tc>
      </w:tr>
    </w:tbl>
    <w:p w:rsidR="00000000" w:rsidDel="00000000" w:rsidP="00000000" w:rsidRDefault="00000000" w:rsidRPr="00000000" w14:paraId="00000095">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График измерения ППЭ от антенны в зависимости от расстояния до источника представлен на рисунке 4.</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16300"/>
            <wp:effectExtent b="0" l="0" r="0" t="0"/>
            <wp:docPr descr="Диаграмма" id="3" name="image4.png"/>
            <a:graphic>
              <a:graphicData uri="http://schemas.openxmlformats.org/drawingml/2006/picture">
                <pic:pic>
                  <pic:nvPicPr>
                    <pic:cNvPr descr="Диаграмма" id="0" name="image4.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Измерение ППЭ от антенны в зависимости от расстояния до источника</w:t>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График измерения ППЭт в зависимости от расстояния до источника представлен на рисунке 5.</w:t>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6" name="image1.png"/>
            <a:graphic>
              <a:graphicData uri="http://schemas.openxmlformats.org/drawingml/2006/picture">
                <pic:pic>
                  <pic:nvPicPr>
                    <pic:cNvPr descr="Диаграмма" id="0" name="image1.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Измерение ППЭт от антенны в зависимости от расстояния до источника</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графика видно, что теоретическое значение превышает эффективное на всем протяжении. При этом эффективная плотность потока принимает форму затухающей осцилляции, тогда как теоретическая плотность соответствует убывающей ветви гиперболы. Вероятно, это связано с появление в функции расчёта теоретической плотности коэффициента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F</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(формула 2), где F - сложной колеблющейся функции, взятой за 1. Что говорит нам о том, что теоретическое значение является очень неточным.</w:t>
      </w:r>
    </w:p>
    <w:p w:rsidR="00000000" w:rsidDel="00000000" w:rsidP="00000000" w:rsidRDefault="00000000" w:rsidRPr="00000000" w14:paraId="000000A2">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ind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зависимости плотности потока энергии (ППЭ) от угла поворота.</w:t>
      </w:r>
      <w:r w:rsidDel="00000000" w:rsidR="00000000" w:rsidRPr="00000000">
        <w:rPr>
          <w:rtl w:val="0"/>
        </w:rPr>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Рассчитаем ППЭэ для  углов = 0 - 40 градусов. Результаты представлены в таблице 3.</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для расчета ППЭэ представлена в формуле 1.</w:t>
      </w:r>
    </w:p>
    <w:p w:rsidR="00000000" w:rsidDel="00000000" w:rsidP="00000000" w:rsidRDefault="00000000" w:rsidRPr="00000000" w14:paraId="000000A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56146" cy="934947"/>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56146" cy="934947"/>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8.  Зависимость ППЭэ от угла поворота приемника</w:t>
      </w:r>
    </w:p>
    <w:tbl>
      <w:tblPr>
        <w:tblStyle w:val="Table3"/>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825"/>
        <w:gridCol w:w="855"/>
        <w:gridCol w:w="795"/>
        <w:gridCol w:w="930"/>
        <w:gridCol w:w="960"/>
        <w:gridCol w:w="900"/>
        <w:gridCol w:w="750"/>
        <w:gridCol w:w="870"/>
        <w:gridCol w:w="990"/>
        <w:tblGridChange w:id="0">
          <w:tblGrid>
            <w:gridCol w:w="1695"/>
            <w:gridCol w:w="825"/>
            <w:gridCol w:w="855"/>
            <w:gridCol w:w="795"/>
            <w:gridCol w:w="930"/>
            <w:gridCol w:w="960"/>
            <w:gridCol w:w="900"/>
            <w:gridCol w:w="750"/>
            <w:gridCol w:w="870"/>
            <w:gridCol w:w="990"/>
          </w:tblGrid>
        </w:tblGridChange>
      </w:tblGrid>
      <w:tr>
        <w:trPr>
          <w:cantSplit w:val="0"/>
          <w:trHeight w:val="29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Угол, градусы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ППЭэ, мВт/см^2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bl>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График зависимости ППЭэ от от угла поворота приемника представлен на рисунке 6.</w:t>
      </w:r>
    </w:p>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Chart" id="9" name="image7.png"/>
            <a:graphic>
              <a:graphicData uri="http://schemas.openxmlformats.org/drawingml/2006/picture">
                <pic:pic>
                  <pic:nvPicPr>
                    <pic:cNvPr descr="Chart" id="0" name="image7.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Зависимость ППЭэ от от угла поворота приемника</w:t>
      </w:r>
    </w:p>
    <w:p w:rsidR="00000000" w:rsidDel="00000000" w:rsidP="00000000" w:rsidRDefault="00000000" w:rsidRPr="00000000" w14:paraId="000000C1">
      <w:pPr>
        <w:spacing w:line="360" w:lineRule="auto"/>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C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рисунка 6 можно сделать вывод - чем больше угол поворота приемника, тем ниже ППЭэ. Это можно объяснить ослаблением волны при распространении в пространстве. Чем больше угол поворота, тем менее концентрированную волну принимает антенна. </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защитных свойств экранов из различных материалов</w:t>
      </w:r>
    </w:p>
    <w:p w:rsidR="00000000" w:rsidDel="00000000" w:rsidP="00000000" w:rsidRDefault="00000000" w:rsidRPr="00000000" w14:paraId="000000C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полученные значения мощности излучения, рассчитаем коэффициент ослабления. Результаты представлены в таблице 2.</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для расчета коэффициент ослабления Kэкр представлена в формуле 3.</w:t>
      </w:r>
    </w:p>
    <w:p w:rsidR="00000000" w:rsidDel="00000000" w:rsidP="00000000" w:rsidRDefault="00000000" w:rsidRPr="00000000" w14:paraId="000000C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80853" cy="1753553"/>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80853" cy="175355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коэффициента ослабления представлен в таблице 2.</w:t>
      </w:r>
    </w:p>
    <w:p w:rsidR="00000000" w:rsidDel="00000000" w:rsidP="00000000" w:rsidRDefault="00000000" w:rsidRPr="00000000" w14:paraId="000000C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расчет коэффициента ослабления</w:t>
      </w:r>
    </w:p>
    <w:tbl>
      <w:tblPr>
        <w:tblStyle w:val="Table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080"/>
        <w:gridCol w:w="2535"/>
        <w:gridCol w:w="2805"/>
        <w:tblGridChange w:id="0">
          <w:tblGrid>
            <w:gridCol w:w="2370"/>
            <w:gridCol w:w="1080"/>
            <w:gridCol w:w="2535"/>
            <w:gridCol w:w="280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Экран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Мощность</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коэффициент ослабления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тип экрана</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защ тк№1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0,0625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Комбинированный</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защ тк№2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Поглощающий</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медная сетка мелкая</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Отражающий</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медная сетка средняя</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0,02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0,125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Отражающий</w:t>
            </w:r>
          </w:p>
        </w:tc>
      </w:tr>
      <w:tr>
        <w:trPr>
          <w:cantSplit w:val="0"/>
          <w:trHeight w:val="4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медная сетка крупная</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1,875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Отражающий</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орг стекло</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0,07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0,4375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Поглощающий</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орг стекло с водой</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Комбинированный</w:t>
            </w:r>
          </w:p>
        </w:tc>
      </w:tr>
      <w:tr>
        <w:trPr>
          <w:cantSplit w:val="0"/>
          <w:trHeight w:val="4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резина сложной формы</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0,0625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Поглощающий</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резина металл</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Комбинированный</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резина</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0,09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0,5625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Поглощающий</w:t>
            </w:r>
          </w:p>
        </w:tc>
      </w:tr>
    </w:tbl>
    <w:p w:rsidR="00000000" w:rsidDel="00000000" w:rsidP="00000000" w:rsidRDefault="00000000" w:rsidRPr="00000000" w14:paraId="000000F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Отражающие – защитное действие обусловлено тем, что экранируемое поле создает в экране токи Фуко, наводящие вторичное поле, по амплитуде почти равное, а по фазе противоположное экранируемому полю. Результирующее поле в экране быстро убывает, проникая на небольшую величину. Обычно толщина экрана 0,5 мм. </w:t>
      </w:r>
    </w:p>
    <w:p w:rsidR="00000000" w:rsidDel="00000000" w:rsidP="00000000" w:rsidRDefault="00000000" w:rsidRPr="00000000" w14:paraId="000000F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Поглощающие – изготавливаются из плохо проводящих материалов (резина прессованная, полистирол) и наклеиваются на каркас или поверхность излучаемого оборудования.</w:t>
      </w:r>
    </w:p>
    <w:p w:rsidR="00000000" w:rsidDel="00000000" w:rsidP="00000000" w:rsidRDefault="00000000" w:rsidRPr="00000000" w14:paraId="000000F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Поскольку все экраны находились в одинаковых условиях, можно оценить их относительную эффективность, сравнив их коэф. ослабления. </w:t>
      </w:r>
    </w:p>
    <w:p w:rsidR="00000000" w:rsidDel="00000000" w:rsidP="00000000" w:rsidRDefault="00000000" w:rsidRPr="00000000" w14:paraId="000000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Медная сетка мелкая, оргстекло с водой и армированная резина полностью заблокировали излучение, что говорит об их хорошей пригодности для экранирования. Медная сетка крупная увеличивает излучение, что говорит о недопустимости ее использования в экранировании.</w:t>
      </w:r>
    </w:p>
    <w:p w:rsidR="00000000" w:rsidDel="00000000" w:rsidP="00000000" w:rsidRDefault="00000000" w:rsidRPr="00000000" w14:paraId="000000FF">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Расчет безопасного расстояния до антенны.</w:t>
      </w:r>
    </w:p>
    <w:p w:rsidR="00000000" w:rsidDel="00000000" w:rsidP="00000000" w:rsidRDefault="00000000" w:rsidRPr="00000000" w14:paraId="00000100">
      <w:pPr>
        <w:spacing w:line="360" w:lineRule="auto"/>
        <w:ind w:firstLine="709"/>
        <w:jc w:val="center"/>
        <w:rPr>
          <w:rFonts w:ascii="Times New Roman" w:cs="Times New Roman" w:eastAsia="Times New Roman" w:hAnsi="Times New Roman"/>
          <w:b w:val="1"/>
          <w:sz w:val="28"/>
          <w:szCs w:val="28"/>
          <w:highlight w:val="red"/>
        </w:rPr>
      </w:pPr>
      <w:r w:rsidDel="00000000" w:rsidR="00000000" w:rsidRPr="00000000">
        <w:rPr>
          <w:rFonts w:ascii="Times New Roman" w:cs="Times New Roman" w:eastAsia="Times New Roman" w:hAnsi="Times New Roman"/>
          <w:sz w:val="28"/>
          <w:szCs w:val="28"/>
        </w:rPr>
        <w:drawing>
          <wp:inline distB="114300" distT="114300" distL="114300" distR="114300">
            <wp:extent cx="2677478" cy="86777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77478" cy="86777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10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формуле 4 рассчитаем безопасное расстояние при P = 4мВт, ППЭ = 10 Вт/м^2 , в результате было получено приблизительно 4,19 см. </w:t>
      </w:r>
    </w:p>
    <w:p w:rsidR="00000000" w:rsidDel="00000000" w:rsidP="00000000" w:rsidRDefault="00000000" w:rsidRPr="00000000" w14:paraId="00000102">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Выводы.</w:t>
      </w:r>
      <w:r w:rsidDel="00000000" w:rsidR="00000000" w:rsidRPr="00000000">
        <w:rPr>
          <w:rtl w:val="0"/>
        </w:rPr>
      </w:r>
    </w:p>
    <w:p w:rsidR="00000000" w:rsidDel="00000000" w:rsidP="00000000" w:rsidRDefault="00000000" w:rsidRPr="00000000" w14:paraId="0000010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 эксперимент, где изучалась зависимость мощности СВЧ-излучения от расстояния до источника.</w:t>
      </w:r>
    </w:p>
    <w:p w:rsidR="00000000" w:rsidDel="00000000" w:rsidP="00000000" w:rsidRDefault="00000000" w:rsidRPr="00000000" w14:paraId="0000010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установлено, что увеличение расстояния до источника снижает интенсивность излучения. </w:t>
      </w:r>
    </w:p>
    <w:p w:rsidR="00000000" w:rsidDel="00000000" w:rsidP="00000000" w:rsidRDefault="00000000" w:rsidRPr="00000000" w14:paraId="0000010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было установлено, что на интенсивность излучения влияет угол между направлением рабочего места и основной осью антенны. Когда угол достигал 25°, датчики регистрировали практически нулевую мощность излучения, что указывает на снижение интенсивности при отклонении от оси излучения.</w:t>
      </w:r>
    </w:p>
    <w:p w:rsidR="00000000" w:rsidDel="00000000" w:rsidP="00000000" w:rsidRDefault="00000000" w:rsidRPr="00000000" w14:paraId="0000010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Важную роль в защите от радиочастотного воздействия играют защитные экраны. Из данных, представленных в таблице 2, видно, что для экранирования хорошо подходят мелкая сетка и резина с металлом, так как они полностью блокируют излучение. Также можно сделать вывод, что крупные металлические сетки категорически не подходят для экранирования, так как они усиливают излучение.</w:t>
      </w:r>
    </w:p>
    <w:p w:rsidR="00000000" w:rsidDel="00000000" w:rsidP="00000000" w:rsidRDefault="00000000" w:rsidRPr="00000000" w14:paraId="0000010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Расчеты плотности потока энергии показали значительные различия между теоретическими значениями, взятыми из методических указаний, и фактическими данными, полученными при экспериментах. Это расхождение объясняется  грубостью допущений в теории.</w:t>
      </w:r>
    </w:p>
    <w:p w:rsidR="00000000" w:rsidDel="00000000" w:rsidP="00000000" w:rsidRDefault="00000000" w:rsidRPr="00000000" w14:paraId="0000010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снижения воздействия СВЧ-излучения рекомендуется увеличить расстояние от источника, использовать защитные экраны и индивидуальные средства защиты.</w:t>
      </w:r>
    </w:p>
    <w:p w:rsidR="00000000" w:rsidDel="00000000" w:rsidP="00000000" w:rsidRDefault="00000000" w:rsidRPr="00000000" w14:paraId="0000010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sectPr>
      <w:footerReference r:id="rId16" w:type="default"/>
      <w:footerReference r:id="rId17" w:type="first"/>
      <w:pgSz w:h="16834" w:w="11909" w:orient="portrait"/>
      <w:pgMar w:bottom="1440" w:top="708.6614173228347"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