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Dirección VcM</w:t>
      </w:r>
    </w:p>
    <w:p>
      <w:pPr>
        <w:spacing w:after="240"/>
      </w:pPr>
      <w:r>
        <w:rPr>
          <w:color w:val="595959"/>
          <w:sz w:val="18"/>
          <w:szCs w:val="18"/>
        </w:rPr>
        <w:t xml:space="preserve">Proyecto Final PNL · UTEM</w:t>
      </w:r>
    </w:p>
    <w:p>
      <w:pPr>
        <w:pStyle w:val="Title"/>
        <w:spacing w:after="100"/>
      </w:pPr>
      <w:r>
        <w:rPr>
          <w:b/>
          <w:bCs/>
          <w:color w:val="1F4E79"/>
          <w:sz w:val="40"/>
          <w:szCs w:val="40"/>
        </w:rPr>
        <w:t xml:space="preserve">Guía para generar reportes automáticos</w:t>
      </w:r>
    </w:p>
    <w:p>
      <w:pPr>
        <w:spacing w:after="320"/>
      </w:pPr>
      <w:r>
        <w:rPr>
          <w:i/>
          <w:iCs/>
          <w:color w:val="595959"/>
          <w:sz w:val="22"/>
          <w:szCs w:val="22"/>
        </w:rPr>
        <w:t xml:space="preserve">Catastro y Evidencia de iniciativas — Grupo 3</w:t>
      </w:r>
    </w:p>
    <w:p>
      <w:pPr>
        <w:pStyle w:val="Heading1"/>
        <w:spacing w:after="160" w:before="320"/>
      </w:pPr>
      <w:r>
        <w:rPr>
          <w:b/>
          <w:bCs/>
          <w:color w:val="1F4E79"/>
          <w:sz w:val="28"/>
          <w:szCs w:val="28"/>
        </w:rPr>
        <w:t xml:space="preserve">1. ¿Qué hace esta herramienta?</w:t>
      </w:r>
    </w:p>
    <w:p>
      <w:pPr>
        <w:spacing w:after="160"/>
      </w:pPr>
      <w:r>
        <w:rPr>
          <w:sz w:val="22"/>
          <w:szCs w:val="22"/>
        </w:rPr>
        <w:t xml:space="preserve">Esta herramienta genera automáticamente, en formato Word (docx), dos tipos de reporte que hoy se completan manualmente:</w:t>
      </w:r>
    </w:p>
    <w:p>
      <w:pPr>
        <w:pStyle w:val="ListParagraph"/>
        <w:numPr>
          <w:ilvl w:val="0"/>
          <w:numId w:val="2"/>
        </w:numPr>
        <w:spacing w:after="80"/>
      </w:pPr>
      <w:r>
        <w:rPr>
          <w:sz w:val="22"/>
          <w:szCs w:val="22"/>
        </w:rPr>
        <w:t xml:space="preserve">Catastro de una iniciativa.</w:t>
      </w:r>
    </w:p>
    <w:p>
      <w:pPr>
        <w:pStyle w:val="ListParagraph"/>
        <w:numPr>
          <w:ilvl w:val="0"/>
          <w:numId w:val="2"/>
        </w:numPr>
        <w:spacing w:after="80"/>
      </w:pPr>
      <w:r>
        <w:rPr>
          <w:sz w:val="22"/>
          <w:szCs w:val="22"/>
        </w:rPr>
        <w:t xml:space="preserve">Evidencia de una iniciativa.</w:t>
      </w:r>
    </w:p>
    <w:p>
      <w:pPr>
        <w:spacing w:after="160"/>
      </w:pPr>
      <w:r>
        <w:rPr>
          <w:sz w:val="22"/>
          <w:szCs w:val="22"/>
        </w:rPr>
        <w:t xml:space="preserve">Los datos se obtienen directamente desde SISAV2, por lo que la información base de la iniciativa (fechas, responsables, estado, metadatos registrados) se completa sola. Esto reduce el tiempo que el analista dedica a recopilar y traspasar esa información a mano.</w:t>
      </w:r>
    </w:p>
    <w:p>
      <w:pPr>
        <w:pStyle w:val="Heading1"/>
        <w:spacing w:after="160" w:before="320"/>
      </w:pPr>
      <w:r>
        <w:rPr>
          <w:b/>
          <w:bCs/>
          <w:color w:val="1F4E79"/>
          <w:sz w:val="28"/>
          <w:szCs w:val="28"/>
        </w:rPr>
        <w:t xml:space="preserve">2. Qué se completa solo y qué se completa a mano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0"/>
            <w:shd w:fill="DCE6F1" w:val="clear"/>
            <w:tcMar>
              <w:top w:type="dxa" w:w="100"/>
              <w:left w:type="dxa" w:w="120"/>
              <w:bottom w:type="dxa" w:w="100"/>
              <w:right w:type="dxa" w:w="120"/>
            </w:tcMar>
          </w:tcPr>
          <w:p>
            <w:r>
              <w:rPr>
                <w:b/>
                <w:bCs/>
                <w:color w:val="1F4E79"/>
                <w:sz w:val="20"/>
                <w:szCs w:val="20"/>
              </w:rPr>
              <w:t xml:space="preserve">Se completa automáticamente</w:t>
            </w:r>
          </w:p>
        </w:tc>
        <w:tc>
          <w:tcPr>
            <w:tcW w:type="dxa" w:w="4510"/>
            <w:shd w:fill="DCE6F1" w:val="clear"/>
            <w:tcMar>
              <w:top w:type="dxa" w:w="100"/>
              <w:left w:type="dxa" w:w="120"/>
              <w:bottom w:type="dxa" w:w="100"/>
              <w:right w:type="dxa" w:w="120"/>
            </w:tcMar>
          </w:tcPr>
          <w:p>
            <w:r>
              <w:rPr>
                <w:b/>
                <w:bCs/>
                <w:color w:val="1F4E79"/>
                <w:sz w:val="20"/>
                <w:szCs w:val="20"/>
              </w:rPr>
              <w:t xml:space="preserve">Se completa a mano</w:t>
            </w:r>
          </w:p>
        </w:tc>
      </w:tr>
      <w:tr>
        <w:tc>
          <w:tcPr>
            <w:tcW w:type="dxa" w:w="3000"/>
            <w:tcMar>
              <w:top w:type="dxa" w:w="100"/>
              <w:left w:type="dxa" w:w="120"/>
              <w:bottom w:type="dxa" w:w="100"/>
              <w:right w:type="dxa" w:w="120"/>
            </w:tcMar>
          </w:tcPr>
          <w:p>
            <w:r>
              <w:rPr>
                <w:b w:val="false"/>
                <w:bCs w:val="false"/>
                <w:sz w:val="20"/>
                <w:szCs w:val="20"/>
              </w:rPr>
              <w:t xml:space="preserve">Datos de la iniciativa registrados en SISAV2 (campos del catastro y de la evidencia)</w:t>
            </w:r>
          </w:p>
        </w:tc>
        <w:tc>
          <w:tcPr>
            <w:tcW w:type="dxa" w:w="3000"/>
            <w:tcMar>
              <w:top w:type="dxa" w:w="100"/>
              <w:left w:type="dxa" w:w="120"/>
              <w:bottom w:type="dxa" w:w="100"/>
              <w:right w:type="dxa" w:w="120"/>
            </w:tcMar>
          </w:tcPr>
          <w:p>
            <w:r>
              <w:rPr>
                <w:b w:val="false"/>
                <w:bCs w:val="false"/>
                <w:sz w:val="20"/>
                <w:szCs w:val="20"/>
              </w:rPr>
              <w:t xml:space="preserve">Imágenes</w:t>
            </w:r>
          </w:p>
        </w:tc>
      </w:tr>
      <w:tr>
        <w:tc>
          <w:tcPr>
            <w:tcW w:type="dxa" w:w="3000"/>
            <w:tcMar>
              <w:top w:type="dxa" w:w="100"/>
              <w:left w:type="dxa" w:w="120"/>
              <w:bottom w:type="dxa" w:w="100"/>
              <w:right w:type="dxa" w:w="120"/>
            </w:tcMar>
          </w:tcPr>
          <w:p>
            <w:r>
              <w:rPr>
                <w:b w:val="false"/>
                <w:bCs w:val="false"/>
                <w:sz w:val="20"/>
                <w:szCs w:val="20"/>
              </w:rPr>
              <w:t xml:space="preserve"/>
            </w:r>
          </w:p>
        </w:tc>
        <w:tc>
          <w:tcPr>
            <w:tcW w:type="dxa" w:w="3000"/>
            <w:tcMar>
              <w:top w:type="dxa" w:w="100"/>
              <w:left w:type="dxa" w:w="120"/>
              <w:bottom w:type="dxa" w:w="100"/>
              <w:right w:type="dxa" w:w="120"/>
            </w:tcMar>
          </w:tcPr>
          <w:p>
            <w:r>
              <w:rPr>
                <w:b w:val="false"/>
                <w:bCs w:val="false"/>
                <w:sz w:val="20"/>
                <w:szCs w:val="20"/>
              </w:rPr>
              <w:t xml:space="preserve">Listas de asistencia</w:t>
            </w:r>
          </w:p>
        </w:tc>
      </w:tr>
      <w:tr>
        <w:tc>
          <w:tcPr>
            <w:tcW w:type="dxa" w:w="3000"/>
            <w:tcMar>
              <w:top w:type="dxa" w:w="100"/>
              <w:left w:type="dxa" w:w="120"/>
              <w:bottom w:type="dxa" w:w="100"/>
              <w:right w:type="dxa" w:w="120"/>
            </w:tcMar>
          </w:tcPr>
          <w:p>
            <w:r>
              <w:rPr>
                <w:b w:val="false"/>
                <w:bCs w:val="false"/>
                <w:sz w:val="20"/>
                <w:szCs w:val="20"/>
              </w:rPr>
              <w:t xml:space="preserve"/>
            </w:r>
          </w:p>
        </w:tc>
        <w:tc>
          <w:tcPr>
            <w:tcW w:type="dxa" w:w="3000"/>
            <w:tcMar>
              <w:top w:type="dxa" w:w="100"/>
              <w:left w:type="dxa" w:w="120"/>
              <w:bottom w:type="dxa" w:w="100"/>
              <w:right w:type="dxa" w:w="120"/>
            </w:tcMar>
          </w:tcPr>
          <w:p>
            <w:r>
              <w:rPr>
                <w:b w:val="false"/>
                <w:bCs w:val="false"/>
                <w:sz w:val="20"/>
                <w:szCs w:val="20"/>
              </w:rPr>
              <w:t xml:space="preserve">Texto narrativo sobre eventos específicos de la iniciativa (ver sección 4)</w:t>
            </w:r>
          </w:p>
        </w:tc>
      </w:tr>
    </w:tbl>
    <w:p>
      <w:pPr>
        <w:spacing w:after="240"/>
      </w:pPr>
    </w:p>
    <w:p>
      <w:pPr>
        <w:pStyle w:val="Heading1"/>
        <w:spacing w:after="160" w:before="320"/>
      </w:pPr>
      <w:r>
        <w:rPr>
          <w:b/>
          <w:bCs/>
          <w:color w:val="1F4E79"/>
          <w:sz w:val="28"/>
          <w:szCs w:val="28"/>
        </w:rPr>
        <w:t xml:space="preserve">3. Cómo pedir un reporte</w:t>
      </w:r>
    </w:p>
    <w:p>
      <w:pPr>
        <w:pStyle w:val="ListParagraph"/>
        <w:numPr>
          <w:ilvl w:val="0"/>
          <w:numId w:val="3"/>
        </w:numPr>
        <w:spacing w:after="100"/>
      </w:pPr>
      <w:r>
        <w:rPr>
          <w:sz w:val="22"/>
          <w:szCs w:val="22"/>
        </w:rPr>
        <w:t xml:space="preserve">Abrir Claude Desktop con el skill de reportes instalado.</w:t>
      </w:r>
    </w:p>
    <w:p>
      <w:pPr>
        <w:pStyle w:val="ListParagraph"/>
        <w:numPr>
          <w:ilvl w:val="0"/>
          <w:numId w:val="3"/>
        </w:numPr>
        <w:spacing w:after="100"/>
      </w:pPr>
      <w:r>
        <w:rPr>
          <w:sz w:val="22"/>
          <w:szCs w:val="22"/>
        </w:rPr>
        <w:t xml:space="preserve">Indicar qué tipo de reporte se necesita: catastro o evidencia.</w:t>
      </w:r>
    </w:p>
    <w:p>
      <w:pPr>
        <w:pStyle w:val="ListParagraph"/>
        <w:numPr>
          <w:ilvl w:val="0"/>
          <w:numId w:val="3"/>
        </w:numPr>
        <w:spacing w:after="100"/>
      </w:pPr>
      <w:r>
        <w:rPr>
          <w:sz w:val="22"/>
          <w:szCs w:val="22"/>
        </w:rPr>
        <w:t xml:space="preserve">Indicar la iniciativa (por nombre o identificador en SISAV2).</w:t>
      </w:r>
    </w:p>
    <w:p>
      <w:pPr>
        <w:pStyle w:val="ListParagraph"/>
        <w:numPr>
          <w:ilvl w:val="0"/>
          <w:numId w:val="3"/>
        </w:numPr>
        <w:spacing w:after="100"/>
      </w:pPr>
      <w:r>
        <w:rPr>
          <w:sz w:val="22"/>
          <w:szCs w:val="22"/>
        </w:rPr>
        <w:t xml:space="preserve">La herramienta consulta los datos de esa iniciativa en SISAV2 y genera el documento Word con los campos correspondientes ya completados.</w:t>
      </w:r>
    </w:p>
    <w:p>
      <w:pPr>
        <w:pStyle w:val="ListParagraph"/>
        <w:numPr>
          <w:ilvl w:val="0"/>
          <w:numId w:val="3"/>
        </w:numPr>
        <w:spacing w:after="100"/>
      </w:pPr>
      <w:r>
        <w:rPr>
          <w:sz w:val="22"/>
          <w:szCs w:val="22"/>
        </w:rPr>
        <w:t xml:space="preserve">Revisar el documento generado y completar manualmente lo que falte (imágenes, listas de asistencia, texto de contexto).</w:t>
      </w:r>
    </w:p>
    <w:p>
      <w:pPr>
        <w:spacing w:after="160"/>
      </w:pPr>
      <w:r>
        <w:rPr>
          <w:i/>
          <w:iCs/>
          <w:color w:val="595959"/>
          <w:sz w:val="22"/>
          <w:szCs w:val="22"/>
        </w:rPr>
        <w:t xml:space="preserve">Ejemplo de solicitud: “Genera el reporte de evidencia de la iniciativa [nombre de la iniciativa]”.</w:t>
      </w:r>
    </w:p>
    <w:p>
      <w:pPr>
        <w:pStyle w:val="Heading1"/>
        <w:spacing w:after="160" w:before="320"/>
      </w:pPr>
      <w:r>
        <w:rPr>
          <w:b/>
          <w:bCs/>
          <w:color w:val="1F4E79"/>
          <w:sz w:val="28"/>
          <w:szCs w:val="28"/>
        </w:rPr>
        <w:t xml:space="preserve">4. Limitación importante: la redacción de texto</w:t>
      </w:r>
    </w:p>
    <w:p>
      <w:pPr>
        <w:spacing w:after="160"/>
      </w:pPr>
      <w:r>
        <w:rPr>
          <w:sz w:val="22"/>
          <w:szCs w:val="22"/>
        </w:rPr>
        <w:t xml:space="preserve">La herramienta todavía no redacta por sí sola las partes narrativas del reporte — por ejemplo, explicar qué ocurrió en la iniciativa o justificar un cambio de fecha. Esto es porque la herramienta solo conoce los datos estructurados de SISAV2, no el contexto de lo que efectivamente pasó.</w:t>
      </w:r>
    </w:p>
    <w:p>
      <w:pPr>
        <w:spacing w:after="160"/>
      </w:pPr>
      <w:r>
        <w:rPr>
          <w:sz w:val="22"/>
          <w:szCs w:val="22"/>
        </w:rPr>
        <w:t xml:space="preserve">Mientras esto no esté disponible, esas secciones deben redactarse a mano por el analista, igual que hoy.</w:t>
      </w:r>
    </w:p>
    <w:p>
      <w:pPr>
        <w:pStyle w:val="Heading1"/>
        <w:spacing w:after="160" w:before="320"/>
      </w:pPr>
      <w:r>
        <w:rPr>
          <w:b/>
          <w:bCs/>
          <w:color w:val="1F4E79"/>
          <w:sz w:val="28"/>
          <w:szCs w:val="28"/>
        </w:rPr>
        <w:t xml:space="preserve">5. Estado actual y alcance de esta primera versión</w:t>
      </w:r>
    </w:p>
    <w:p>
      <w:pPr>
        <w:spacing w:after="160"/>
      </w:pPr>
      <w:r>
        <w:rPr>
          <w:sz w:val="22"/>
          <w:szCs w:val="22"/>
        </w:rPr>
        <w:t xml:space="preserve">Esta es una primera versión construida en un plazo muy acotado. Su alcance actual es:</w:t>
      </w:r>
    </w:p>
    <w:p>
      <w:pPr>
        <w:pStyle w:val="ListParagraph"/>
        <w:numPr>
          <w:ilvl w:val="0"/>
          <w:numId w:val="2"/>
        </w:numPr>
        <w:spacing w:after="80"/>
      </w:pPr>
      <w:r>
        <w:rPr>
          <w:sz w:val="22"/>
          <w:szCs w:val="22"/>
        </w:rPr>
        <w:t xml:space="preserve">Cubre 2 tipos de reporte: catastro y evidencia (los priorizados según lo indicado por VcM).</w:t>
      </w:r>
    </w:p>
    <w:p>
      <w:pPr>
        <w:pStyle w:val="ListParagraph"/>
        <w:numPr>
          <w:ilvl w:val="0"/>
          <w:numId w:val="2"/>
        </w:numPr>
        <w:spacing w:after="80"/>
      </w:pPr>
      <w:r>
        <w:rPr>
          <w:sz w:val="22"/>
          <w:szCs w:val="22"/>
        </w:rPr>
        <w:t xml:space="preserve">No cubre otros tipos de reporte que emite VcM, ya que no se contó con plantillas de referencia para modelarlos.</w:t>
      </w:r>
    </w:p>
    <w:p>
      <w:pPr>
        <w:pStyle w:val="ListParagraph"/>
        <w:numPr>
          <w:ilvl w:val="0"/>
          <w:numId w:val="2"/>
        </w:numPr>
        <w:spacing w:after="80"/>
      </w:pPr>
      <w:r>
        <w:rPr>
          <w:sz w:val="22"/>
          <w:szCs w:val="22"/>
        </w:rPr>
        <w:t xml:space="preserve">No incluye aún redacción automática de texto (ver sección 4).</w:t>
      </w:r>
    </w:p>
    <w:p>
      <w:pPr>
        <w:pStyle w:val="ListParagraph"/>
        <w:numPr>
          <w:ilvl w:val="0"/>
          <w:numId w:val="2"/>
        </w:numPr>
        <w:spacing w:after="80"/>
      </w:pPr>
      <w:r>
        <w:rPr>
          <w:sz w:val="22"/>
          <w:szCs w:val="22"/>
        </w:rPr>
        <w:t xml:space="preserve">No incluye todavía manejo de imágenes ni de listas de asistencia.</w:t>
      </w:r>
    </w:p>
    <w:p>
      <w:pPr>
        <w:spacing w:after="160"/>
      </w:pPr>
      <w:r>
        <w:rPr>
          <w:sz w:val="22"/>
          <w:szCs w:val="22"/>
        </w:rPr>
        <w:t xml:space="preserve">Se probó generando 5 reportes de evidencia y 2 de catastro sobre iniciativas reales, como validación inicial del funcionamiento.</w:t>
      </w:r>
    </w:p>
    <w:p>
      <w:pPr>
        <w:pStyle w:val="Heading1"/>
        <w:spacing w:after="160" w:before="320"/>
      </w:pPr>
      <w:r>
        <w:rPr>
          <w:b/>
          <w:bCs/>
          <w:color w:val="1F4E79"/>
          <w:sz w:val="28"/>
          <w:szCs w:val="28"/>
        </w:rPr>
        <w:t xml:space="preserve">6. Próximos pasos sugeridos</w:t>
      </w:r>
    </w:p>
    <w:p>
      <w:pPr>
        <w:pStyle w:val="ListParagraph"/>
        <w:numPr>
          <w:ilvl w:val="0"/>
          <w:numId w:val="2"/>
        </w:numPr>
        <w:spacing w:after="80"/>
      </w:pPr>
      <w:r>
        <w:rPr>
          <w:sz w:val="22"/>
          <w:szCs w:val="22"/>
        </w:rPr>
        <w:t xml:space="preserve">Compartir plantillas de los demás tipos de reporte que se quieran automatizar.</w:t>
      </w:r>
    </w:p>
    <w:p>
      <w:pPr>
        <w:pStyle w:val="ListParagraph"/>
        <w:numPr>
          <w:ilvl w:val="0"/>
          <w:numId w:val="2"/>
        </w:numPr>
        <w:spacing w:after="80"/>
      </w:pPr>
      <w:r>
        <w:rPr>
          <w:sz w:val="22"/>
          <w:szCs w:val="22"/>
        </w:rPr>
        <w:t xml:space="preserve">Definir con el equipo qué contexto adicional (por ejemplo, una bitácora de cambios) se le podría entregar a la herramienta para que redacte las secciones narrativas.</w:t>
      </w:r>
    </w:p>
    <w:p>
      <w:pPr>
        <w:pStyle w:val="ListParagraph"/>
        <w:numPr>
          <w:ilvl w:val="0"/>
          <w:numId w:val="2"/>
        </w:numPr>
        <w:spacing w:after="80"/>
      </w:pPr>
      <w:r>
        <w:rPr>
          <w:sz w:val="22"/>
          <w:szCs w:val="22"/>
        </w:rPr>
        <w:t xml:space="preserve">Realizar una validación en conjunto con el equipo de analistas, usando la herramienta en su trabajo real, para recoger feedback y ajustar la siguiente versión.</w:t>
      </w:r>
    </w:p>
    <w:p>
      <w:pPr>
        <w:pBdr>
          <w:top w:val="single" w:color="BFBFBF" w:sz="6"/>
        </w:pBdr>
        <w:spacing w:before="320"/>
      </w:pPr>
    </w:p>
    <w:p>
      <w:pPr>
        <w:spacing w:before="160"/>
      </w:pPr>
      <w:r>
        <w:rPr>
          <w:i/>
          <w:iCs/>
          <w:color w:val="595959"/>
          <w:sz w:val="18"/>
          <w:szCs w:val="18"/>
        </w:rPr>
        <w:t xml:space="preserve">Ante dudas sobre el uso de esta herramienta, contactar al Grupo 3 del Proyecto Final.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2026-07-15T09:14:50.611Z</dcterms:created>
  <dcterms:modified xsi:type="dcterms:W3CDTF">2026-07-15T09:14:50.626Z</dcterms:modified>
</cp:coreProperties>
</file>

<file path=docProps/custom.xml><?xml version="1.0" encoding="utf-8"?>
<Properties xmlns="http://schemas.openxmlformats.org/officeDocument/2006/custom-properties" xmlns:vt="http://schemas.openxmlformats.org/officeDocument/2006/docPropsVTypes"/>
</file>