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84C"/>
          <w:sz w:val="96"/>
          <w:szCs w:val="96"/>
        </w:rPr>
        <w:t xml:space="preserve">ARENA</w:t>
      </w:r>
    </w:p>
    <w:p>
      <w:pPr>
        <w:spacing w:after="120" w:before="0"/>
        <w:jc w:val="center"/>
      </w:pPr>
      <w:r>
        <w:rPr>
          <w:rFonts w:ascii="Arial" w:cs="Arial" w:eastAsia="Arial" w:hAnsi="Arial"/>
          <w:color w:val="2E2E4E"/>
          <w:sz w:val="36"/>
          <w:szCs w:val="36"/>
        </w:rPr>
        <w:t xml:space="preserve">$ARENA Token — Tokenomics</w:t>
      </w:r>
    </w:p>
    <w:p>
      <w:pPr>
        <w:spacing w:after="800" w:before="0"/>
        <w:jc w:val="center"/>
      </w:pPr>
      <w:r>
        <w:rPr>
          <w:rFonts w:ascii="Arial" w:cs="Arial" w:eastAsia="Arial" w:hAnsi="Arial"/>
          <w:i/>
          <w:iCs/>
          <w:color w:val="666666"/>
          <w:sz w:val="22"/>
          <w:szCs w:val="22"/>
        </w:rPr>
        <w:t xml:space="preserve">Internal Planning Document  ·  Subject to Revision</w:t>
      </w:r>
    </w:p>
    <w:p>
      <w:pPr>
        <w:pBdr>
          <w:bottom w:val="single" w:color="C9A84C" w:sz="6" w:space="1"/>
        </w:pBdr>
        <w:spacing w:after="1200" w:before="0"/>
        <w:jc w:val="center"/>
      </w:pPr>
      <w:r>
        <w:rPr>
          <w:rFonts w:ascii="Arial" w:cs="Arial" w:eastAsia="Arial" w:hAnsi="Arial"/>
          <w:b/>
          <w:bCs/>
          <w:color w:val="1A1A2E"/>
          <w:sz w:val="28"/>
          <w:szCs w:val="28"/>
        </w:rPr>
        <w:t xml:space="preserve">Total Supply: 1,000,000,000 $ARENA (1 Billion)</w:t>
      </w:r>
    </w:p>
    <w:p>
      <w:pPr>
        <w:spacing w:after="0" w:before="300"/>
      </w:pPr>
      <w:r>
        <w:t xml:space="preserve"/>
      </w:r>
    </w:p>
    <w:p>
      <w:pPr>
        <w:pStyle w:val="Heading1"/>
        <w:spacing w:after="160" w:before="440"/>
      </w:pPr>
      <w:r>
        <w:rPr>
          <w:rFonts w:ascii="Arial" w:cs="Arial" w:eastAsia="Arial" w:hAnsi="Arial"/>
          <w:b/>
          <w:bCs/>
          <w:color w:val="C9A84C"/>
          <w:sz w:val="36"/>
          <w:szCs w:val="36"/>
        </w:rPr>
        <w:t xml:space="preserve">1. Token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Parameter</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Value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Token name</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$ARENA</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Blockchain</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Solana</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Total supply</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1,000,000,000 (1 billion) — fixed, no mint authority after launch</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Launch platform</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pump.fun bonding curve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Bonding curve pair</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USDC (placeholder — final decision TBD)</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Post-graduation liquidity</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Meteora DAMM pool paired with SOL</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Token standard</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SPL Token</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Decimals</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6 (Solana standard)</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Mint authority</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Revoked at launch — no additional tokens can ever be minted</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Freeze authority</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Revoked at launch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14"/>
              <w:bottom w:val="single" w:color="C9A84C" w:sz="3"/>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2"/>
                <w:szCs w:val="22"/>
              </w:rPr>
              <w:t xml:space="preserve">Supply is fixed permanently</w:t>
            </w:r>
          </w:p>
          <w:p>
            <w:pPr>
              <w:spacing w:after="0" w:before="0"/>
            </w:pPr>
            <w:r>
              <w:rPr>
                <w:rFonts w:ascii="Arial" w:cs="Arial" w:eastAsia="Arial" w:hAnsi="Arial"/>
                <w:color w:val="444444"/>
                <w:sz w:val="21"/>
                <w:szCs w:val="21"/>
              </w:rPr>
              <w:t xml:space="preserve">Mint authority is revoked immediately upon token creation. No additional $ARENA can ever be minted by any party, including the team. The only supply-side variable over time is burn — total circulating supply will decrease as cosmetic purchases drive the burn mechanism. This is a deflationary token by design.</w:t>
            </w:r>
          </w:p>
        </w:tc>
      </w:tr>
    </w:tbl>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2. Supply Allocation</w:t>
      </w:r>
    </w:p>
    <w:p>
      <w:pPr>
        <w:spacing w:after="80" w:before="80"/>
      </w:pPr>
      <w:r>
        <w:rPr>
          <w:rFonts w:ascii="Arial" w:cs="Arial" w:eastAsia="Arial" w:hAnsi="Arial"/>
          <w:color w:val="222222"/>
          <w:sz w:val="22"/>
          <w:szCs w:val="22"/>
        </w:rPr>
        <w:t xml:space="preserve">Of the 1,000,000,000 total $ARENA supply, the team acquires 25% (250,000,000 tokens) via the pump.fun bonding curve at launch — entering at the lowest possible valuation as the first purchasers. This acquisition costs approximately $1,500–$2,000 USD total, inclusive of the DAMM pool seeding capital. The remaining 75% circulates freely through the bonding curve and secondary market.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Allocation</w:t>
            </w:r>
          </w:p>
        </w:tc>
        <w:tc>
          <w:tcPr>
            <w:tcW w:type="dxa" w:w="12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pPr>
              <w:jc w:val="center"/>
            </w:pPr>
            <w:r>
              <w:rPr>
                <w:rFonts w:ascii="Arial" w:cs="Arial" w:eastAsia="Arial" w:hAnsi="Arial"/>
                <w:b/>
                <w:bCs/>
                <w:color w:val="C9A84C"/>
                <w:sz w:val="22"/>
                <w:szCs w:val="22"/>
              </w:rPr>
              <w:t xml:space="preserve">% of Supply</w:t>
            </w:r>
          </w:p>
        </w:tc>
        <w:tc>
          <w:tcPr>
            <w:tcW w:type="dxa" w:w="49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Purpose &amp; Notes</w:t>
            </w:r>
          </w:p>
        </w:tc>
      </w:tr>
      <w:tr>
        <w:tc>
          <w:tcPr>
            <w:tcW w:type="dxa" w:w="32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Bonding curve (public)</w:t>
            </w:r>
          </w:p>
        </w:tc>
        <w:tc>
          <w:tcPr>
            <w:tcW w:type="dxa" w:w="12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pPr>
              <w:jc w:val="center"/>
            </w:pPr>
            <w:r>
              <w:rPr>
                <w:rFonts w:ascii="Arial" w:cs="Arial" w:eastAsia="Arial" w:hAnsi="Arial"/>
                <w:b/>
                <w:bCs/>
                <w:color w:val="C9A84C"/>
                <w:sz w:val="21"/>
                <w:szCs w:val="21"/>
              </w:rPr>
              <w:t xml:space="preserve">75%</w:t>
            </w:r>
          </w:p>
        </w:tc>
        <w:tc>
          <w:tcPr>
            <w:tcW w:type="dxa" w:w="49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750,000,000 tokens available to the public via pump.fun bonding curve and secondary market trading. The team has no control over this supply after launch.</w:t>
            </w:r>
          </w:p>
        </w:tc>
      </w:tr>
      <w:tr>
        <w:tc>
          <w:tcPr>
            <w:tcW w:type="dxa" w:w="32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Meteora DAMM liquidity</w:t>
            </w:r>
          </w:p>
        </w:tc>
        <w:tc>
          <w:tcPr>
            <w:tcW w:type="dxa" w:w="12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pPr>
              <w:jc w:val="center"/>
            </w:pPr>
            <w:r>
              <w:rPr>
                <w:rFonts w:ascii="Arial" w:cs="Arial" w:eastAsia="Arial" w:hAnsi="Arial"/>
                <w:b/>
                <w:bCs/>
                <w:color w:val="C9A84C"/>
                <w:sz w:val="21"/>
                <w:szCs w:val="21"/>
              </w:rPr>
              <w:t xml:space="preserve">20%</w:t>
            </w:r>
          </w:p>
        </w:tc>
        <w:tc>
          <w:tcPr>
            <w:tcW w:type="dxa" w:w="49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200,000,000 tokens paired with SOL in a Meteora DAMM pool immediately at launch. Paired SOL cost: ~$1,500–$2,000. This liquidity is team-owned and managed. LP fees accrue to the team treasury.</w:t>
            </w:r>
          </w:p>
        </w:tc>
      </w:tr>
      <w:tr>
        <w:tc>
          <w:tcPr>
            <w:tcW w:type="dxa" w:w="32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Team treasury (locked)</w:t>
            </w:r>
          </w:p>
        </w:tc>
        <w:tc>
          <w:tcPr>
            <w:tcW w:type="dxa" w:w="12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pPr>
              <w:jc w:val="center"/>
            </w:pPr>
            <w:r>
              <w:rPr>
                <w:rFonts w:ascii="Arial" w:cs="Arial" w:eastAsia="Arial" w:hAnsi="Arial"/>
                <w:b/>
                <w:bCs/>
                <w:color w:val="C9A84C"/>
                <w:sz w:val="21"/>
                <w:szCs w:val="21"/>
              </w:rPr>
              <w:t xml:space="preserve">5%</w:t>
            </w:r>
          </w:p>
        </w:tc>
        <w:tc>
          <w:tcPr>
            <w:tcW w:type="dxa" w:w="49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50,000,000 tokens held in a separate team treasury wallet. Reserved for: holder reward programs, centralized exchange listing negotiations, market maker agreements, and strategic initiatives. Not for sale.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14"/>
              <w:bottom w:val="single" w:color="C9A84C" w:sz="3"/>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2"/>
                <w:szCs w:val="22"/>
              </w:rPr>
              <w:t xml:space="preserve">Why enter via the bonding curve rather than a pre-mine?</w:t>
            </w:r>
          </w:p>
          <w:p>
            <w:pPr>
              <w:spacing w:after="0" w:before="0"/>
            </w:pPr>
            <w:r>
              <w:rPr>
                <w:rFonts w:ascii="Arial" w:cs="Arial" w:eastAsia="Arial" w:hAnsi="Arial"/>
                <w:color w:val="444444"/>
                <w:sz w:val="21"/>
                <w:szCs w:val="21"/>
              </w:rPr>
              <w:t xml:space="preserve">Buying on the bonding curve rather than pre-minting team supply serves two purposes. First, it means the team pays the same price discovery mechanism as any other buyer — there is no privileged allocation at a lower price than public buyers. Second, it funds the bonding curve, helping the token graduate to a DEX faster and generating creator fee revenue from day one. The team's cost basis is the bonding curve entry price, which is the lowest possible valuation.</w:t>
            </w:r>
          </w:p>
        </w:tc>
      </w:tr>
    </w:tbl>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3. Launch Sequence &amp; Liquidity Strategy</w:t>
      </w:r>
    </w:p>
    <w:p>
      <w:pPr>
        <w:pStyle w:val="Heading2"/>
        <w:pBdr>
          <w:bottom w:val="single" w:color="C9A84C" w:sz="3" w:space="4"/>
        </w:pBdr>
        <w:spacing w:after="120" w:before="300"/>
      </w:pPr>
      <w:r>
        <w:rPr>
          <w:rFonts w:ascii="Arial" w:cs="Arial" w:eastAsia="Arial" w:hAnsi="Arial"/>
          <w:b/>
          <w:bCs/>
          <w:color w:val="1A1A2E"/>
          <w:sz w:val="26"/>
          <w:szCs w:val="26"/>
        </w:rPr>
        <w:t xml:space="preserve">3.1  Step-by-Step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Step</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Action</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Step 1 — Deploy token</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Create $ARENA SPL token on Solana. Revoke mint and freeze authority immediately. Total supply of 1,000,000,000 locked forever.</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Step 2 — Launch on pump.fun</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List $ARENA on pump.fun with USDC as the bonding curve pair (placeholder). Deploy fee is minimal. Token is now publicly tradeable.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Step 3 — Team purchase</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Team wallets purchase approximately 25% of total supply (250,000,000 tokens) via the bonding curve. Entered at the lowest valuation as first buyers. Estimated cost: ≈$1,500–$2,000 total for both the purchase and LP seeding combined.</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Step 4 — Seed Meteora DAMM pool</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Immediately upon acquiring the team allocation, 200,000,000 tokens (20% of supply) are paired with SOL and deposited into a Meteora DAMM pool. This creates a second, independent liquidity venue paired with the opposite asset to the pump.fun pool.</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Step 5 — Arbitrage activation</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With $ARENA / USDC on pump.fun and $ARENA / SOL on Meteora, arbitrageurs can profit from price discrepancies between the two pools. This keeps prices aligned across venues and adds organic trading volume to both pools, increasing creator fee and LP fee revenue.</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Step 6 — Creator fees active</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From this point forward, every trade on the pump.fun bonding curve generates creator fees for the team. Every swap through the Meteora DAMM pool generates LP fees for the team's LP position. Both streams are live indefinitely.</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3.2  Dual-Pool Arbitrage Design</w:t>
      </w:r>
    </w:p>
    <w:p>
      <w:pPr>
        <w:spacing w:after="80" w:before="80"/>
      </w:pPr>
      <w:r>
        <w:rPr>
          <w:rFonts w:ascii="Arial" w:cs="Arial" w:eastAsia="Arial" w:hAnsi="Arial"/>
          <w:color w:val="222222"/>
          <w:sz w:val="22"/>
          <w:szCs w:val="22"/>
        </w:rPr>
        <w:t xml:space="preserve">The deliberate choice of different pair assets on each venue is not accidental — it is a liquidity design decision. USDC-paired and SOL-paired pools for the same token will naturally diverge in price when SOL/USDC moves. This creates risk-free arbitrage opportunities that attract bots and active traders to rebalance both pools continuously.</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Arbitrage volume generates creator fees on pump.fun on the buy side of each rebalancing trade.</w:t>
      </w:r>
    </w:p>
    <w:p>
      <w:pPr>
        <w:pStyle w:val="ListParagraph"/>
        <w:numPr>
          <w:ilvl w:val="0"/>
          <w:numId w:val="2"/>
        </w:numPr>
        <w:spacing w:after="60" w:before="60"/>
      </w:pPr>
      <w:r>
        <w:rPr>
          <w:rFonts w:ascii="Arial" w:cs="Arial" w:eastAsia="Arial" w:hAnsi="Arial"/>
          <w:color w:val="222222"/>
          <w:sz w:val="22"/>
          <w:szCs w:val="22"/>
        </w:rPr>
        <w:t xml:space="preserve">Arbitrage swaps through the Meteora DAMM pool generate LP fees on the team's position.</w:t>
      </w:r>
    </w:p>
    <w:p>
      <w:pPr>
        <w:pStyle w:val="ListParagraph"/>
        <w:numPr>
          <w:ilvl w:val="0"/>
          <w:numId w:val="2"/>
        </w:numPr>
        <w:spacing w:after="60" w:before="60"/>
      </w:pPr>
      <w:r>
        <w:rPr>
          <w:rFonts w:ascii="Arial" w:cs="Arial" w:eastAsia="Arial" w:hAnsi="Arial"/>
          <w:color w:val="222222"/>
          <w:sz w:val="22"/>
          <w:szCs w:val="22"/>
        </w:rPr>
        <w:t xml:space="preserve">Both pools remain liquid and price-efficient without the team needing to actively trade.</w:t>
      </w:r>
    </w:p>
    <w:p>
      <w:pPr>
        <w:pStyle w:val="ListParagraph"/>
        <w:numPr>
          <w:ilvl w:val="0"/>
          <w:numId w:val="2"/>
        </w:numPr>
        <w:spacing w:after="60" w:before="60"/>
      </w:pPr>
      <w:r>
        <w:rPr>
          <w:rFonts w:ascii="Arial" w:cs="Arial" w:eastAsia="Arial" w:hAnsi="Arial"/>
          <w:color w:val="222222"/>
          <w:sz w:val="22"/>
          <w:szCs w:val="22"/>
        </w:rPr>
        <w:t xml:space="preserve">As game growth drives organic $ARENA demand, both pools benefit simultaneously.</w:t>
      </w:r>
    </w:p>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4. Protocol Revenue Streams</w:t>
      </w:r>
    </w:p>
    <w:p>
      <w:pPr>
        <w:spacing w:after="80" w:before="80"/>
      </w:pPr>
      <w:r>
        <w:rPr>
          <w:rFonts w:ascii="Arial" w:cs="Arial" w:eastAsia="Arial" w:hAnsi="Arial"/>
          <w:color w:val="222222"/>
          <w:sz w:val="22"/>
          <w:szCs w:val="22"/>
        </w:rPr>
        <w:t xml:space="preserve">Arena generates revenue from three distinct streams in V1, and adds a fourth in V2. All revenue is denominated in the respective trading pair assets (USDC and SOL) except in-game purchase revenue, which flows as $ARENA tokens.</w:t>
      </w:r>
    </w:p>
    <w:p>
      <w:pPr>
        <w:spacing w:after="0" w:before="12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4.1  pump.fun Creator Fees</w:t>
      </w:r>
    </w:p>
    <w:p>
      <w:pPr>
        <w:pStyle w:val="ListParagraph"/>
        <w:numPr>
          <w:ilvl w:val="0"/>
          <w:numId w:val="2"/>
        </w:numPr>
        <w:spacing w:after="60" w:before="60"/>
      </w:pPr>
      <w:r>
        <w:rPr>
          <w:rFonts w:ascii="Arial" w:cs="Arial" w:eastAsia="Arial" w:hAnsi="Arial"/>
          <w:color w:val="222222"/>
          <w:sz w:val="22"/>
          <w:szCs w:val="22"/>
        </w:rPr>
        <w:t xml:space="preserve">Source: every buy and sell transaction on the $ARENA bonding curve on pump.fun.</w:t>
      </w:r>
    </w:p>
    <w:p>
      <w:pPr>
        <w:pStyle w:val="ListParagraph"/>
        <w:numPr>
          <w:ilvl w:val="0"/>
          <w:numId w:val="2"/>
        </w:numPr>
        <w:spacing w:after="60" w:before="60"/>
      </w:pPr>
      <w:r>
        <w:rPr>
          <w:rFonts w:ascii="Arial" w:cs="Arial" w:eastAsia="Arial" w:hAnsi="Arial"/>
          <w:color w:val="222222"/>
          <w:sz w:val="22"/>
          <w:szCs w:val="22"/>
        </w:rPr>
        <w:t xml:space="preserve">Rate: pump.fun creator fee rate as set at token creation (exact % to be confirmed at deploy time — typically 0.5–1% of each trade).</w:t>
      </w:r>
    </w:p>
    <w:p>
      <w:pPr>
        <w:pStyle w:val="ListParagraph"/>
        <w:numPr>
          <w:ilvl w:val="0"/>
          <w:numId w:val="2"/>
        </w:numPr>
        <w:spacing w:after="60" w:before="60"/>
      </w:pPr>
      <w:r>
        <w:rPr>
          <w:rFonts w:ascii="Arial" w:cs="Arial" w:eastAsia="Arial" w:hAnsi="Arial"/>
          <w:color w:val="222222"/>
          <w:sz w:val="22"/>
          <w:szCs w:val="22"/>
        </w:rPr>
        <w:t xml:space="preserve">Denomination: USDC (matching the bonding curve pair).</w:t>
      </w:r>
    </w:p>
    <w:p>
      <w:pPr>
        <w:pStyle w:val="ListParagraph"/>
        <w:numPr>
          <w:ilvl w:val="0"/>
          <w:numId w:val="2"/>
        </w:numPr>
        <w:spacing w:after="60" w:before="60"/>
      </w:pPr>
      <w:r>
        <w:rPr>
          <w:rFonts w:ascii="Arial" w:cs="Arial" w:eastAsia="Arial" w:hAnsi="Arial"/>
          <w:color w:val="222222"/>
          <w:sz w:val="22"/>
          <w:szCs w:val="22"/>
        </w:rPr>
        <w:t xml:space="preserve">Duration: perpetual — fees continue as long as trading activity occurs on pump.fun, including post-graduation. Fee volume scales with $ARENA trading volume and market cap.</w:t>
      </w:r>
    </w:p>
    <w:p>
      <w:pPr>
        <w:pStyle w:val="ListParagraph"/>
        <w:numPr>
          <w:ilvl w:val="0"/>
          <w:numId w:val="2"/>
        </w:numPr>
        <w:spacing w:after="60" w:before="60"/>
      </w:pPr>
      <w:r>
        <w:rPr>
          <w:rFonts w:ascii="Arial" w:cs="Arial" w:eastAsia="Arial" w:hAnsi="Arial"/>
          <w:color w:val="222222"/>
          <w:sz w:val="22"/>
          <w:szCs w:val="22"/>
        </w:rPr>
        <w:t xml:space="preserve">Predictability: variable and market-driven. Spikes around game announcements, token milestones, and broader crypto market activity. Not directly controllable by the team.</w:t>
      </w:r>
    </w:p>
    <w:p>
      <w:pPr>
        <w:spacing w:after="0" w:before="12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4.2  Meteora DAMM LP Fees</w:t>
      </w:r>
    </w:p>
    <w:p>
      <w:pPr>
        <w:pStyle w:val="ListParagraph"/>
        <w:numPr>
          <w:ilvl w:val="0"/>
          <w:numId w:val="2"/>
        </w:numPr>
        <w:spacing w:after="60" w:before="60"/>
      </w:pPr>
      <w:r>
        <w:rPr>
          <w:rFonts w:ascii="Arial" w:cs="Arial" w:eastAsia="Arial" w:hAnsi="Arial"/>
          <w:color w:val="222222"/>
          <w:sz w:val="22"/>
          <w:szCs w:val="22"/>
        </w:rPr>
        <w:t xml:space="preserve">Source: every swap through the $ARENA / SOL Meteora DAMM pool, including arbitrage volume between the two pools.</w:t>
      </w:r>
    </w:p>
    <w:p>
      <w:pPr>
        <w:pStyle w:val="ListParagraph"/>
        <w:numPr>
          <w:ilvl w:val="0"/>
          <w:numId w:val="2"/>
        </w:numPr>
        <w:spacing w:after="60" w:before="60"/>
      </w:pPr>
      <w:r>
        <w:rPr>
          <w:rFonts w:ascii="Arial" w:cs="Arial" w:eastAsia="Arial" w:hAnsi="Arial"/>
          <w:color w:val="222222"/>
          <w:sz w:val="22"/>
          <w:szCs w:val="22"/>
        </w:rPr>
        <w:t xml:space="preserve">Rate: DAMM pool trading fee rate (set at pool creation — typically 0.25–1% per swap on Meteora, exact rate TBD).</w:t>
      </w:r>
    </w:p>
    <w:p>
      <w:pPr>
        <w:pStyle w:val="ListParagraph"/>
        <w:numPr>
          <w:ilvl w:val="0"/>
          <w:numId w:val="2"/>
        </w:numPr>
        <w:spacing w:after="60" w:before="60"/>
      </w:pPr>
      <w:r>
        <w:rPr>
          <w:rFonts w:ascii="Arial" w:cs="Arial" w:eastAsia="Arial" w:hAnsi="Arial"/>
          <w:color w:val="222222"/>
          <w:sz w:val="22"/>
          <w:szCs w:val="22"/>
        </w:rPr>
        <w:t xml:space="preserve">Denomination: split between $ARENA and SOL depending on swap direction.</w:t>
      </w:r>
    </w:p>
    <w:p>
      <w:pPr>
        <w:pStyle w:val="ListParagraph"/>
        <w:numPr>
          <w:ilvl w:val="0"/>
          <w:numId w:val="2"/>
        </w:numPr>
        <w:spacing w:after="60" w:before="60"/>
      </w:pPr>
      <w:r>
        <w:rPr>
          <w:rFonts w:ascii="Arial" w:cs="Arial" w:eastAsia="Arial" w:hAnsi="Arial"/>
          <w:color w:val="222222"/>
          <w:sz w:val="22"/>
          <w:szCs w:val="22"/>
        </w:rPr>
        <w:t xml:space="preserve">Duration: perpetual while the team's LP position remains deployed.</w:t>
      </w:r>
    </w:p>
    <w:p>
      <w:pPr>
        <w:pStyle w:val="ListParagraph"/>
        <w:numPr>
          <w:ilvl w:val="0"/>
          <w:numId w:val="2"/>
        </w:numPr>
        <w:spacing w:after="60" w:before="60"/>
      </w:pPr>
      <w:r>
        <w:rPr>
          <w:rFonts w:ascii="Arial" w:cs="Arial" w:eastAsia="Arial" w:hAnsi="Arial"/>
          <w:color w:val="222222"/>
          <w:sz w:val="22"/>
          <w:szCs w:val="22"/>
        </w:rPr>
        <w:t xml:space="preserve">Management: DAMM pools are standard AMMs — liquidity is deployed across the full price range and requires less active management than DLMM. SOL-denominated fees can be withdrawn periodically and used for operational costs or redeployed as additional liquidity.</w:t>
      </w:r>
    </w:p>
    <w:p>
      <w:pPr>
        <w:pStyle w:val="ListParagraph"/>
        <w:numPr>
          <w:ilvl w:val="0"/>
          <w:numId w:val="2"/>
        </w:numPr>
        <w:spacing w:after="60" w:before="60"/>
      </w:pPr>
      <w:r>
        <w:rPr>
          <w:rFonts w:ascii="Arial" w:cs="Arial" w:eastAsia="Arial" w:hAnsi="Arial"/>
          <w:color w:val="222222"/>
          <w:sz w:val="22"/>
          <w:szCs w:val="22"/>
        </w:rPr>
        <w:t xml:space="preserve">DLMM consideration: a Meteora DLMM pool can be added later for concentrated liquidity at the current price range, earning fees more efficiently on smaller capital. DLMM requires active range management and is better suited as a secondary pool once the team has bandwidth for it.</w:t>
      </w:r>
    </w:p>
    <w:p>
      <w:pPr>
        <w:spacing w:after="0" w:before="12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4.3  In-Game Cosmetic Purchases</w:t>
      </w:r>
    </w:p>
    <w:p>
      <w:pPr>
        <w:spacing w:after="80" w:before="80"/>
      </w:pPr>
      <w:r>
        <w:rPr>
          <w:rFonts w:ascii="Arial" w:cs="Arial" w:eastAsia="Arial" w:hAnsi="Arial"/>
          <w:color w:val="222222"/>
          <w:sz w:val="22"/>
          <w:szCs w:val="22"/>
        </w:rPr>
        <w:t xml:space="preserve">Every cosmetic purchase made with $ARENA in the Arena game generates token flow with a fixed 50/50 split. This is the only revenue stream denominated entirely in $ARENA.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pPr>
              <w:jc w:val="center"/>
            </w:pPr>
            <w:r>
              <w:rPr>
                <w:rFonts w:ascii="Arial" w:cs="Arial" w:eastAsia="Arial" w:hAnsi="Arial"/>
                <w:b/>
                <w:bCs/>
                <w:color w:val="E24B4A"/>
                <w:sz w:val="24"/>
                <w:szCs w:val="24"/>
              </w:rPr>
              <w:t xml:space="preserve">50% — Burn</w:t>
            </w:r>
          </w:p>
        </w:tc>
        <w:tc>
          <w:tcPr>
            <w:tcW w:type="dxa" w:w="468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pPr>
              <w:jc w:val="center"/>
            </w:pPr>
            <w:r>
              <w:rPr>
                <w:rFonts w:ascii="Arial" w:cs="Arial" w:eastAsia="Arial" w:hAnsi="Arial"/>
                <w:b/>
                <w:bCs/>
                <w:color w:val="C9A84C"/>
                <w:sz w:val="24"/>
                <w:szCs w:val="24"/>
              </w:rPr>
              <w:t xml:space="preserve">50% — Team Treasury</w:t>
            </w:r>
          </w:p>
        </w:tc>
      </w:tr>
      <w:tr>
        <w:tc>
          <w:tcPr>
            <w:tcW w:type="dxa" w:w="4680"/>
            <w:tcBorders>
              <w:top w:val="none" w:color="FFFFFF" w:sz="0"/>
              <w:left w:val="none" w:color="FFFFFF" w:sz="0"/>
              <w:bottom w:val="none" w:color="FFFFFF" w:sz="0"/>
              <w:right w:val="none" w:color="FFFFFF" w:sz="0"/>
            </w:tcBorders>
            <w:shd w:fill="FDF2F2" w:val="clear"/>
            <w:tcMar>
              <w:top w:type="dxa" w:w="140"/>
              <w:left w:type="dxa" w:w="200"/>
              <w:bottom w:type="dxa" w:w="140"/>
              <w:right w:type="dxa" w:w="200"/>
            </w:tcMar>
          </w:tcPr>
          <w:p>
            <w:pPr>
              <w:spacing w:after="60" w:before="0"/>
            </w:pPr>
            <w:r>
              <w:rPr>
                <w:rFonts w:ascii="Arial" w:cs="Arial" w:eastAsia="Arial" w:hAnsi="Arial"/>
                <w:b/>
                <w:bCs/>
                <w:color w:val="A32D2D"/>
                <w:sz w:val="21"/>
                <w:szCs w:val="21"/>
              </w:rPr>
              <w:t xml:space="preserve">Routed immediately to Solana burn program.</w:t>
            </w:r>
          </w:p>
          <w:p>
            <w:pPr>
              <w:spacing w:after="60" w:before="0"/>
            </w:pPr>
            <w:r>
              <w:rPr>
                <w:rFonts w:ascii="Arial" w:cs="Arial" w:eastAsia="Arial" w:hAnsi="Arial"/>
                <w:color w:val="444444"/>
                <w:sz w:val="21"/>
                <w:szCs w:val="21"/>
              </w:rPr>
              <w:t xml:space="preserve">Permanently removed from supply. On-chain, irreversible, verifiable by anyone.</w:t>
            </w:r>
          </w:p>
          <w:p>
            <w:pPr>
              <w:spacing w:after="0" w:before="0"/>
            </w:pPr>
            <w:r>
              <w:rPr>
                <w:rFonts w:ascii="Arial" w:cs="Arial" w:eastAsia="Arial" w:hAnsi="Arial"/>
                <w:color w:val="444444"/>
                <w:sz w:val="21"/>
                <w:szCs w:val="21"/>
              </w:rPr>
              <w:t xml:space="preserve">Effect: every cosmetic purchase reduces circulating supply. As game activity grows, burn rate compounds. Total supply trends down over time.</w:t>
            </w:r>
          </w:p>
        </w:tc>
        <w:tc>
          <w:tcPr>
            <w:tcW w:type="dxa" w:w="4680"/>
            <w:tcBorders>
              <w:top w:val="none" w:color="FFFFFF" w:sz="0"/>
              <w:left w:val="none" w:color="FFFFFF" w:sz="0"/>
              <w:bottom w:val="none" w:color="FFFFFF" w:sz="0"/>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1"/>
                <w:szCs w:val="21"/>
              </w:rPr>
              <w:t xml:space="preserve">Routed to team treasury wallet.</w:t>
            </w:r>
          </w:p>
          <w:p>
            <w:pPr>
              <w:spacing w:after="60" w:before="0"/>
            </w:pPr>
            <w:r>
              <w:rPr>
                <w:rFonts w:ascii="Arial" w:cs="Arial" w:eastAsia="Arial" w:hAnsi="Arial"/>
                <w:color w:val="444444"/>
                <w:sz w:val="21"/>
                <w:szCs w:val="21"/>
              </w:rPr>
              <w:t xml:space="preserve">Never sold for USDC or SOL. Never market-sold. Only ever redeployed as liquidity into Meteora pools to support token price and depth.</w:t>
            </w:r>
          </w:p>
          <w:p>
            <w:pPr>
              <w:spacing w:after="0" w:before="0"/>
            </w:pPr>
            <w:r>
              <w:rPr>
                <w:rFonts w:ascii="Arial" w:cs="Arial" w:eastAsia="Arial" w:hAnsi="Arial"/>
                <w:color w:val="444444"/>
                <w:sz w:val="21"/>
                <w:szCs w:val="21"/>
              </w:rPr>
              <w:t xml:space="preserve">Effect: growing liquidity depth over time without diluting supply. The treasury becomes a strategic reserve for market stability.</w:t>
            </w:r>
          </w:p>
        </w:tc>
      </w:tr>
    </w:tbl>
    <w:p>
      <w:pPr>
        <w:spacing w:after="0" w:before="12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4.4  V2 Protocol Fee (Wagering)</w:t>
      </w:r>
    </w:p>
    <w:p>
      <w:pPr>
        <w:pStyle w:val="ListParagraph"/>
        <w:numPr>
          <w:ilvl w:val="0"/>
          <w:numId w:val="2"/>
        </w:numPr>
        <w:spacing w:after="60" w:before="60"/>
      </w:pPr>
      <w:r>
        <w:rPr>
          <w:rFonts w:ascii="Arial" w:cs="Arial" w:eastAsia="Arial" w:hAnsi="Arial"/>
          <w:color w:val="222222"/>
          <w:sz w:val="22"/>
          <w:szCs w:val="22"/>
        </w:rPr>
        <w:t xml:space="preserve">Source: every completed fight in which real money is wagered (V2 only).</w:t>
      </w:r>
    </w:p>
    <w:p>
      <w:pPr>
        <w:pStyle w:val="ListParagraph"/>
        <w:numPr>
          <w:ilvl w:val="0"/>
          <w:numId w:val="2"/>
        </w:numPr>
        <w:spacing w:after="60" w:before="60"/>
      </w:pPr>
      <w:r>
        <w:rPr>
          <w:rFonts w:ascii="Arial" w:cs="Arial" w:eastAsia="Arial" w:hAnsi="Arial"/>
          <w:color w:val="222222"/>
          <w:sz w:val="22"/>
          <w:szCs w:val="22"/>
        </w:rPr>
        <w:t xml:space="preserve">Rate: 5% of total pot as base rate, reduced per fee tier (see Section 6).</w:t>
      </w:r>
    </w:p>
    <w:p>
      <w:pPr>
        <w:pStyle w:val="ListParagraph"/>
        <w:numPr>
          <w:ilvl w:val="0"/>
          <w:numId w:val="2"/>
        </w:numPr>
        <w:spacing w:after="60" w:before="60"/>
      </w:pPr>
      <w:r>
        <w:rPr>
          <w:rFonts w:ascii="Arial" w:cs="Arial" w:eastAsia="Arial" w:hAnsi="Arial"/>
          <w:color w:val="222222"/>
          <w:sz w:val="22"/>
          <w:szCs w:val="22"/>
        </w:rPr>
        <w:t xml:space="preserve">Denomination: USDC or SOL, matching the wager currency of each fight.</w:t>
      </w:r>
    </w:p>
    <w:p>
      <w:pPr>
        <w:pStyle w:val="ListParagraph"/>
        <w:numPr>
          <w:ilvl w:val="0"/>
          <w:numId w:val="2"/>
        </w:numPr>
        <w:spacing w:after="60" w:before="60"/>
      </w:pPr>
      <w:r>
        <w:rPr>
          <w:rFonts w:ascii="Arial" w:cs="Arial" w:eastAsia="Arial" w:hAnsi="Arial"/>
          <w:color w:val="222222"/>
          <w:sz w:val="22"/>
          <w:szCs w:val="22"/>
        </w:rPr>
        <w:t xml:space="preserve">Duration: active from V2 launch onward. This becomes the primary revenue stream at scale.</w:t>
      </w:r>
    </w:p>
    <w:p>
      <w:pPr>
        <w:pStyle w:val="ListParagraph"/>
        <w:numPr>
          <w:ilvl w:val="0"/>
          <w:numId w:val="2"/>
        </w:numPr>
        <w:spacing w:after="60" w:before="60"/>
      </w:pPr>
      <w:r>
        <w:rPr>
          <w:rFonts w:ascii="Arial" w:cs="Arial" w:eastAsia="Arial" w:hAnsi="Arial"/>
          <w:color w:val="222222"/>
          <w:sz w:val="22"/>
          <w:szCs w:val="22"/>
        </w:rPr>
        <w:t xml:space="preserve">Note: $ARENA is explicitly excluded as a wager currency. This keeps the token's primary role as a utility and fee-discount instrument, not a gambling chip, which supports the clean utility token classification.</w:t>
      </w:r>
    </w:p>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5. Burn Mechanics</w:t>
      </w:r>
    </w:p>
    <w:p>
      <w:pPr>
        <w:spacing w:after="80" w:before="80"/>
      </w:pPr>
      <w:r>
        <w:rPr>
          <w:rFonts w:ascii="Arial" w:cs="Arial" w:eastAsia="Arial" w:hAnsi="Arial"/>
          <w:color w:val="222222"/>
          <w:sz w:val="22"/>
          <w:szCs w:val="22"/>
        </w:rPr>
        <w:t xml:space="preserve">$ARENA has a single, simple burn trigger: in-game cosmetic purchases. 50% of every $ARENA spent on cosmetics is sent to the Solana burn address immediately and automatically at the point of purchase. There are no other burn mechanisms in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Parameter</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Value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Burn trigger</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Cosmetic purchase in-game</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Burn rate</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50% of every $ARENA cosmetic purchase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Burn destination</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Solana burn address (token account with no private key)</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Burn timing</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Immediate — occurs in the same transaction as the purchase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Burn verification</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On-chain and publicly verifiable. Burn transactions are visible to anyone on Solana explorer.</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Burn frequency</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Continuous — every purchase triggers a burn. No scheduled or batch burns.</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Future burn triggers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Additional burn mechanisms may be introduced in V2/V3 (e.g., a portion of V2 protocol fees used to buy and burn $ARENA). Subject to governance and team decision at that time.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14"/>
              <w:bottom w:val="single" w:color="C9A84C" w:sz="3"/>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2"/>
                <w:szCs w:val="22"/>
              </w:rPr>
              <w:t xml:space="preserve">Why 50% and not 100%?</w:t>
            </w:r>
          </w:p>
          <w:p>
            <w:pPr>
              <w:spacing w:after="0" w:before="0"/>
            </w:pPr>
            <w:r>
              <w:rPr>
                <w:rFonts w:ascii="Arial" w:cs="Arial" w:eastAsia="Arial" w:hAnsi="Arial"/>
                <w:color w:val="444444"/>
                <w:sz w:val="21"/>
                <w:szCs w:val="21"/>
              </w:rPr>
              <w:t xml:space="preserve">A 100% burn model would be maximally deflationary but leaves the team with no strategic token reserve from game revenue. The 50/50 split balances deflation (good for token value) with treasury accumulation (good for long-term liquidity depth). Treasury tokens are never sold — they are only redeployed as LP, which means they support price rather than pressure it. Over time, a growing LP position and a shrinking circulating supply work together.</w:t>
            </w:r>
          </w:p>
        </w:tc>
      </w:tr>
    </w:tbl>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6. Protocol Fee Tiers (V2)</w:t>
      </w:r>
    </w:p>
    <w:p>
      <w:pPr>
        <w:spacing w:after="80" w:before="80"/>
      </w:pPr>
      <w:r>
        <w:rPr>
          <w:rFonts w:ascii="Arial" w:cs="Arial" w:eastAsia="Arial" w:hAnsi="Arial"/>
          <w:color w:val="222222"/>
          <w:sz w:val="22"/>
          <w:szCs w:val="22"/>
        </w:rPr>
        <w:t xml:space="preserve">The base protocol fee in V2 is 5% of every fight pot. Holders of sufficient $ARENA receive a fee discount, checked automatically at session start by reading the connected wallet's $ARENA balance. Tokens are not spent, locked, or staked for fee tier eligibility — balance is checked passively.</w:t>
      </w:r>
    </w:p>
    <w:p>
      <w:pPr>
        <w:spacing w:after="0" w:before="12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6.1  Fee Tier Structure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560"/>
        <w:gridCol w:w="1800"/>
      </w:tblGrid>
      <w:tr>
        <w:tc>
          <w:tcPr>
            <w:tcW w:type="dxa" w:w="24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Tier</w:t>
            </w:r>
          </w:p>
        </w:tc>
        <w:tc>
          <w:tcPr>
            <w:tcW w:type="dxa" w:w="20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pPr>
              <w:jc w:val="center"/>
            </w:pPr>
            <w:r>
              <w:rPr>
                <w:rFonts w:ascii="Arial" w:cs="Arial" w:eastAsia="Arial" w:hAnsi="Arial"/>
                <w:b/>
                <w:bCs/>
                <w:color w:val="C9A84C"/>
                <w:sz w:val="22"/>
                <w:szCs w:val="22"/>
              </w:rPr>
              <w:t xml:space="preserve">Hold Requirement</w:t>
            </w:r>
          </w:p>
        </w:tc>
        <w:tc>
          <w:tcPr>
            <w:tcW w:type="dxa" w:w="1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pPr>
              <w:jc w:val="center"/>
            </w:pPr>
            <w:r>
              <w:rPr>
                <w:rFonts w:ascii="Arial" w:cs="Arial" w:eastAsia="Arial" w:hAnsi="Arial"/>
                <w:b/>
                <w:bCs/>
                <w:color w:val="C9A84C"/>
                <w:sz w:val="22"/>
                <w:szCs w:val="22"/>
              </w:rPr>
              <w:t xml:space="preserve">% of Supply</w:t>
            </w:r>
          </w:p>
        </w:tc>
        <w:tc>
          <w:tcPr>
            <w:tcW w:type="dxa" w:w="15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pPr>
              <w:jc w:val="center"/>
            </w:pPr>
            <w:r>
              <w:rPr>
                <w:rFonts w:ascii="Arial" w:cs="Arial" w:eastAsia="Arial" w:hAnsi="Arial"/>
                <w:b/>
                <w:bCs/>
                <w:color w:val="C9A84C"/>
                <w:sz w:val="22"/>
                <w:szCs w:val="22"/>
              </w:rPr>
              <w:t xml:space="preserve">Protocol Fee</w:t>
            </w:r>
          </w:p>
        </w:tc>
        <w:tc>
          <w:tcPr>
            <w:tcW w:type="dxa" w:w="18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Additional Perks</w:t>
            </w:r>
          </w:p>
        </w:tc>
      </w:tr>
      <w:tr>
        <w:tc>
          <w:tcPr>
            <w:tcW w:type="dxa" w:w="24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Standard</w:t>
            </w:r>
          </w:p>
        </w:tc>
        <w:tc>
          <w:tcPr>
            <w:tcW w:type="dxa" w:w="20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pPr>
              <w:jc w:val="center"/>
            </w:pPr>
            <w:r>
              <w:rPr>
                <w:rFonts w:ascii="Arial" w:cs="Arial" w:eastAsia="Arial" w:hAnsi="Arial"/>
                <w:b/>
                <w:bCs/>
                <w:color w:val="C9A84C"/>
                <w:sz w:val="21"/>
                <w:szCs w:val="21"/>
              </w:rPr>
              <w:t xml:space="preserve">0</w:t>
            </w:r>
          </w:p>
        </w:tc>
        <w:tc>
          <w:tcPr>
            <w:tcW w:type="dxa" w:w="1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pPr>
              <w:jc w:val="center"/>
            </w:pPr>
            <w:r>
              <w:rPr>
                <w:rFonts w:ascii="Arial" w:cs="Arial" w:eastAsia="Arial" w:hAnsi="Arial"/>
                <w:color w:val="444444"/>
                <w:sz w:val="21"/>
                <w:szCs w:val="21"/>
              </w:rPr>
              <w:t xml:space="preserve">0%</w:t>
            </w:r>
          </w:p>
        </w:tc>
        <w:tc>
          <w:tcPr>
            <w:tcW w:type="dxa" w:w="15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pPr>
              <w:jc w:val="center"/>
            </w:pPr>
            <w:r>
              <w:rPr>
                <w:rFonts w:ascii="Arial" w:cs="Arial" w:eastAsia="Arial" w:hAnsi="Arial"/>
                <w:b/>
                <w:bCs/>
                <w:color w:val="888888"/>
                <w:sz w:val="21"/>
                <w:szCs w:val="21"/>
              </w:rPr>
              <w:t xml:space="preserve">5%</w:t>
            </w:r>
          </w:p>
        </w:tc>
        <w:tc>
          <w:tcPr>
            <w:tcW w:type="dxa" w:w="18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555555"/>
                <w:sz w:val="20"/>
                <w:szCs w:val="20"/>
              </w:rPr>
              <w:t xml:space="preserve">None</w:t>
            </w:r>
          </w:p>
        </w:tc>
      </w:tr>
      <w:tr>
        <w:tc>
          <w:tcPr>
            <w:tcW w:type="dxa" w:w="24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Bronze</w:t>
            </w:r>
          </w:p>
        </w:tc>
        <w:tc>
          <w:tcPr>
            <w:tcW w:type="dxa" w:w="20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pPr>
              <w:jc w:val="center"/>
            </w:pPr>
            <w:r>
              <w:rPr>
                <w:rFonts w:ascii="Arial" w:cs="Arial" w:eastAsia="Arial" w:hAnsi="Arial"/>
                <w:b/>
                <w:bCs/>
                <w:color w:val="C9A84C"/>
                <w:sz w:val="21"/>
                <w:szCs w:val="21"/>
              </w:rPr>
              <w:t xml:space="preserve">1,000,000</w:t>
            </w:r>
          </w:p>
        </w:tc>
        <w:tc>
          <w:tcPr>
            <w:tcW w:type="dxa" w:w="1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pPr>
              <w:jc w:val="center"/>
            </w:pPr>
            <w:r>
              <w:rPr>
                <w:rFonts w:ascii="Arial" w:cs="Arial" w:eastAsia="Arial" w:hAnsi="Arial"/>
                <w:color w:val="444444"/>
                <w:sz w:val="21"/>
                <w:szCs w:val="21"/>
              </w:rPr>
              <w:t xml:space="preserve">0.1%</w:t>
            </w:r>
          </w:p>
        </w:tc>
        <w:tc>
          <w:tcPr>
            <w:tcW w:type="dxa" w:w="15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pPr>
              <w:jc w:val="center"/>
            </w:pPr>
            <w:r>
              <w:rPr>
                <w:rFonts w:ascii="Arial" w:cs="Arial" w:eastAsia="Arial" w:hAnsi="Arial"/>
                <w:b/>
                <w:bCs/>
                <w:color w:val="0F6E56"/>
                <w:sz w:val="21"/>
                <w:szCs w:val="21"/>
              </w:rPr>
              <w:t xml:space="preserve">4%</w:t>
            </w:r>
          </w:p>
        </w:tc>
        <w:tc>
          <w:tcPr>
            <w:tcW w:type="dxa" w:w="18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555555"/>
                <w:sz w:val="20"/>
                <w:szCs w:val="20"/>
              </w:rPr>
              <w:t xml:space="preserve">Bronze lobby badge</w:t>
            </w:r>
          </w:p>
        </w:tc>
      </w:tr>
      <w:tr>
        <w:tc>
          <w:tcPr>
            <w:tcW w:type="dxa" w:w="24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Silver</w:t>
            </w:r>
          </w:p>
        </w:tc>
        <w:tc>
          <w:tcPr>
            <w:tcW w:type="dxa" w:w="20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pPr>
              <w:jc w:val="center"/>
            </w:pPr>
            <w:r>
              <w:rPr>
                <w:rFonts w:ascii="Arial" w:cs="Arial" w:eastAsia="Arial" w:hAnsi="Arial"/>
                <w:b/>
                <w:bCs/>
                <w:color w:val="C9A84C"/>
                <w:sz w:val="21"/>
                <w:szCs w:val="21"/>
              </w:rPr>
              <w:t xml:space="preserve">5,000,000</w:t>
            </w:r>
          </w:p>
        </w:tc>
        <w:tc>
          <w:tcPr>
            <w:tcW w:type="dxa" w:w="1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pPr>
              <w:jc w:val="center"/>
            </w:pPr>
            <w:r>
              <w:rPr>
                <w:rFonts w:ascii="Arial" w:cs="Arial" w:eastAsia="Arial" w:hAnsi="Arial"/>
                <w:color w:val="444444"/>
                <w:sz w:val="21"/>
                <w:szCs w:val="21"/>
              </w:rPr>
              <w:t xml:space="preserve">0.5%</w:t>
            </w:r>
          </w:p>
        </w:tc>
        <w:tc>
          <w:tcPr>
            <w:tcW w:type="dxa" w:w="15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pPr>
              <w:jc w:val="center"/>
            </w:pPr>
            <w:r>
              <w:rPr>
                <w:rFonts w:ascii="Arial" w:cs="Arial" w:eastAsia="Arial" w:hAnsi="Arial"/>
                <w:b/>
                <w:bCs/>
                <w:color w:val="0F6E56"/>
                <w:sz w:val="21"/>
                <w:szCs w:val="21"/>
              </w:rPr>
              <w:t xml:space="preserve">3%</w:t>
            </w:r>
          </w:p>
        </w:tc>
        <w:tc>
          <w:tcPr>
            <w:tcW w:type="dxa" w:w="18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555555"/>
                <w:sz w:val="20"/>
                <w:szCs w:val="20"/>
              </w:rPr>
              <w:t xml:space="preserve">Silver lobby badge, priority challenge queue</w:t>
            </w:r>
          </w:p>
        </w:tc>
      </w:tr>
      <w:tr>
        <w:tc>
          <w:tcPr>
            <w:tcW w:type="dxa" w:w="24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Gold (TBD)</w:t>
            </w:r>
          </w:p>
        </w:tc>
        <w:tc>
          <w:tcPr>
            <w:tcW w:type="dxa" w:w="20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pPr>
              <w:jc w:val="center"/>
            </w:pPr>
            <w:r>
              <w:rPr>
                <w:rFonts w:ascii="Arial" w:cs="Arial" w:eastAsia="Arial" w:hAnsi="Arial"/>
                <w:b/>
                <w:bCs/>
                <w:color w:val="C9A84C"/>
                <w:sz w:val="21"/>
                <w:szCs w:val="21"/>
              </w:rPr>
              <w:t xml:space="preserve">10,000,000</w:t>
            </w:r>
          </w:p>
        </w:tc>
        <w:tc>
          <w:tcPr>
            <w:tcW w:type="dxa" w:w="1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pPr>
              <w:jc w:val="center"/>
            </w:pPr>
            <w:r>
              <w:rPr>
                <w:rFonts w:ascii="Arial" w:cs="Arial" w:eastAsia="Arial" w:hAnsi="Arial"/>
                <w:color w:val="444444"/>
                <w:sz w:val="21"/>
                <w:szCs w:val="21"/>
              </w:rPr>
              <w:t xml:space="preserve">1.0%</w:t>
            </w:r>
          </w:p>
        </w:tc>
        <w:tc>
          <w:tcPr>
            <w:tcW w:type="dxa" w:w="15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pPr>
              <w:jc w:val="center"/>
            </w:pPr>
            <w:r>
              <w:rPr>
                <w:rFonts w:ascii="Arial" w:cs="Arial" w:eastAsia="Arial" w:hAnsi="Arial"/>
                <w:b/>
                <w:bCs/>
                <w:color w:val="0F6E56"/>
                <w:sz w:val="21"/>
                <w:szCs w:val="21"/>
              </w:rPr>
              <w:t xml:space="preserve">TBD</w:t>
            </w:r>
          </w:p>
        </w:tc>
        <w:tc>
          <w:tcPr>
            <w:tcW w:type="dxa" w:w="18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555555"/>
                <w:sz w:val="20"/>
                <w:szCs w:val="20"/>
              </w:rPr>
              <w:t xml:space="preserve">Gold badge, early access to new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14"/>
              <w:bottom w:val="single" w:color="C9A84C" w:sz="3"/>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2"/>
                <w:szCs w:val="22"/>
              </w:rPr>
              <w:t xml:space="preserve">Fee tier check mechanism</w:t>
            </w:r>
          </w:p>
          <w:p>
            <w:pPr>
              <w:spacing w:after="0" w:before="0"/>
            </w:pPr>
            <w:r>
              <w:rPr>
                <w:rFonts w:ascii="Arial" w:cs="Arial" w:eastAsia="Arial" w:hAnsi="Arial"/>
                <w:color w:val="444444"/>
                <w:sz w:val="21"/>
                <w:szCs w:val="21"/>
              </w:rPr>
              <w:t xml:space="preserve">At each session start (wallet connection), the Arena backend reads the $ARENA SPL token balance of the connected wallet address on-chain. No transaction, signature, or approval is required from the user. The fee tier is applied automatically for the duration of that session and re-checked at next connection. If a wallet's balance drops below a tier threshold between sessions, the discount is removed at the next session check.</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6.2  Grandfathering Policy</w:t>
      </w:r>
    </w:p>
    <w:p>
      <w:pPr>
        <w:spacing w:after="80" w:before="80"/>
      </w:pPr>
      <w:r>
        <w:rPr>
          <w:rFonts w:ascii="Arial" w:cs="Arial" w:eastAsia="Arial" w:hAnsi="Arial"/>
          <w:color w:val="222222"/>
          <w:sz w:val="22"/>
          <w:szCs w:val="22"/>
        </w:rPr>
        <w:t xml:space="preserve">Fee tier thresholds are defined in token quantity terms (not USD value) because supply-percentage-based holdings matter more than dollar value in the early stages — they reflect genuine commitment to the ecosystem and incentivize holding over trading. As token price matures and threshold costs become prohibitive for new entrants, the structure will be revisited. The following grandfathering policy governs any future restructure:</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Any wallet that has qualified for a fee tier at any point before a restructure date is grandfathered into that tier permanently, regardless of new thresholds.</w:t>
      </w:r>
    </w:p>
    <w:p>
      <w:pPr>
        <w:pStyle w:val="ListParagraph"/>
        <w:numPr>
          <w:ilvl w:val="0"/>
          <w:numId w:val="2"/>
        </w:numPr>
        <w:spacing w:after="60" w:before="60"/>
      </w:pPr>
      <w:r>
        <w:rPr>
          <w:rFonts w:ascii="Arial" w:cs="Arial" w:eastAsia="Arial" w:hAnsi="Arial"/>
          <w:color w:val="222222"/>
          <w:sz w:val="22"/>
          <w:szCs w:val="22"/>
        </w:rPr>
        <w:t xml:space="preserve">Grandfathered status is determined by an on-chain snapshot taken at the restructure announcement date. Wallets that meet the old threshold at snapshot time are recorded and their tier is locked.</w:t>
      </w:r>
    </w:p>
    <w:p>
      <w:pPr>
        <w:pStyle w:val="ListParagraph"/>
        <w:numPr>
          <w:ilvl w:val="0"/>
          <w:numId w:val="2"/>
        </w:numPr>
        <w:spacing w:after="60" w:before="60"/>
      </w:pPr>
      <w:r>
        <w:rPr>
          <w:rFonts w:ascii="Arial" w:cs="Arial" w:eastAsia="Arial" w:hAnsi="Arial"/>
          <w:color w:val="222222"/>
          <w:sz w:val="22"/>
          <w:szCs w:val="22"/>
        </w:rPr>
        <w:t xml:space="preserve">At restructure, new lower thresholds may be introduced for new entrants. Grandfathered wallets retain their original tier even if their balance later drops below the new (lower) threshold.</w:t>
      </w:r>
    </w:p>
    <w:p>
      <w:pPr>
        <w:pStyle w:val="ListParagraph"/>
        <w:numPr>
          <w:ilvl w:val="0"/>
          <w:numId w:val="2"/>
        </w:numPr>
        <w:spacing w:after="60" w:before="60"/>
      </w:pPr>
      <w:r>
        <w:rPr>
          <w:rFonts w:ascii="Arial" w:cs="Arial" w:eastAsia="Arial" w:hAnsi="Arial"/>
          <w:color w:val="222222"/>
          <w:sz w:val="22"/>
          <w:szCs w:val="22"/>
        </w:rPr>
        <w:t xml:space="preserve">Grandfathered wallets can always upgrade to a higher tier by meeting the new threshold for that higher tier at the time of restructure.</w:t>
      </w:r>
    </w:p>
    <w:p>
      <w:pPr>
        <w:pStyle w:val="ListParagraph"/>
        <w:numPr>
          <w:ilvl w:val="0"/>
          <w:numId w:val="2"/>
        </w:numPr>
        <w:spacing w:after="60" w:before="60"/>
      </w:pPr>
      <w:r>
        <w:rPr>
          <w:rFonts w:ascii="Arial" w:cs="Arial" w:eastAsia="Arial" w:hAnsi="Arial"/>
          <w:color w:val="222222"/>
          <w:sz w:val="22"/>
          <w:szCs w:val="22"/>
        </w:rPr>
        <w:t xml:space="preserve">The grandfathering policy itself cannot be revoked once published. It is a permanent commitment to early holders.</w:t>
      </w:r>
    </w:p>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7. Team Treasury Policy</w:t>
      </w:r>
    </w:p>
    <w:p>
      <w:pPr>
        <w:spacing w:after="80" w:before="80"/>
      </w:pPr>
      <w:r>
        <w:rPr>
          <w:rFonts w:ascii="Arial" w:cs="Arial" w:eastAsia="Arial" w:hAnsi="Arial"/>
          <w:color w:val="222222"/>
          <w:sz w:val="22"/>
          <w:szCs w:val="22"/>
        </w:rPr>
        <w:t xml:space="preserve">The team holds two categories of $ARENA: the 5% locked allocation acquired at launch, and the ongoing 50% share of cosmetic purchase revenue. Both are governed by the same treasury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Category</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Policy</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Permitted uses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Adding liquidity to Meteora DAMM or DLMM pools. Centralized exchange listing fee negotiations. Market maker agreements (tokens lent, not sold). Holder reward programs (airdrops, competitions). Strategic partnerships requiring token grants.</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Prohibited uses</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Market selling $ARENA for USDC or SOL at any time. Using treasury tokens to manipulate price. Transferring treasury tokens to team members as compensation (separate compensation structure required). Any use not listed under Permitted uses without a team governance decision.</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Transparency</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Treasury wallet address will be publicly disclosed. All treasury movements are on-chain and auditable. Major treasury decisions (&gt;1% of total supply moved) will be communicated to the community in advance.</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Lock-up</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The 5% launch allocation is subject to a voluntary lock-up period of [TBD — recommend 6–12 months from launch]. Cosmetic revenue tokens have no lock-up but are governed by the permitted/prohibited use policy above.</w:t>
            </w:r>
          </w:p>
        </w:tc>
      </w:tr>
    </w:tbl>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8. Risk Factors</w:t>
      </w:r>
    </w:p>
    <w:p>
      <w:pPr>
        <w:spacing w:after="80" w:before="80"/>
      </w:pPr>
      <w:r>
        <w:rPr>
          <w:rFonts w:ascii="Arial" w:cs="Arial" w:eastAsia="Arial" w:hAnsi="Arial"/>
          <w:color w:val="222222"/>
          <w:sz w:val="22"/>
          <w:szCs w:val="22"/>
        </w:rPr>
        <w:t xml:space="preserve">The following risks are material to the $ARENA token and should be understood by the team and disclosed to users in the V1 ToS and any future whitepaper:</w:t>
      </w:r>
    </w:p>
    <w:p>
      <w:pPr>
        <w:spacing w:after="0" w:before="80"/>
      </w:pPr>
      <w:r>
        <w:t xml:space="preserve"/>
      </w:r>
    </w:p>
    <w:p>
      <w:pPr>
        <w:pStyle w:val="Heading3"/>
        <w:spacing w:after="80" w:before="220"/>
      </w:pPr>
      <w:r>
        <w:rPr>
          <w:rFonts w:ascii="Arial" w:cs="Arial" w:eastAsia="Arial" w:hAnsi="Arial"/>
          <w:b/>
          <w:bCs/>
          <w:color w:val="2E2E4E"/>
          <w:sz w:val="23"/>
          <w:szCs w:val="23"/>
        </w:rPr>
        <w:t xml:space="preserve">Market &amp; Liquidity Risk</w:t>
      </w:r>
    </w:p>
    <w:p>
      <w:pPr>
        <w:pStyle w:val="ListParagraph"/>
        <w:numPr>
          <w:ilvl w:val="0"/>
          <w:numId w:val="2"/>
        </w:numPr>
        <w:spacing w:after="60" w:before="60"/>
      </w:pPr>
      <w:r>
        <w:rPr>
          <w:rFonts w:ascii="Arial" w:cs="Arial" w:eastAsia="Arial" w:hAnsi="Arial"/>
          <w:color w:val="222222"/>
          <w:sz w:val="22"/>
          <w:szCs w:val="22"/>
        </w:rPr>
        <w:t xml:space="preserve">$ARENA price is determined by open market activity. The team cannot guarantee any particular price or liquidity level.</w:t>
      </w:r>
    </w:p>
    <w:p>
      <w:pPr>
        <w:pStyle w:val="ListParagraph"/>
        <w:numPr>
          <w:ilvl w:val="0"/>
          <w:numId w:val="2"/>
        </w:numPr>
        <w:spacing w:after="60" w:before="60"/>
      </w:pPr>
      <w:r>
        <w:rPr>
          <w:rFonts w:ascii="Arial" w:cs="Arial" w:eastAsia="Arial" w:hAnsi="Arial"/>
          <w:color w:val="222222"/>
          <w:sz w:val="22"/>
          <w:szCs w:val="22"/>
        </w:rPr>
        <w:t xml:space="preserve">If trading volume drops significantly, LP fees and creator fees drop proportionally. Revenue is correlated to market activity.</w:t>
      </w:r>
    </w:p>
    <w:p>
      <w:pPr>
        <w:pStyle w:val="ListParagraph"/>
        <w:numPr>
          <w:ilvl w:val="0"/>
          <w:numId w:val="2"/>
        </w:numPr>
        <w:spacing w:after="60" w:before="60"/>
      </w:pPr>
      <w:r>
        <w:rPr>
          <w:rFonts w:ascii="Arial" w:cs="Arial" w:eastAsia="Arial" w:hAnsi="Arial"/>
          <w:color w:val="222222"/>
          <w:sz w:val="22"/>
          <w:szCs w:val="22"/>
        </w:rPr>
        <w:t xml:space="preserve">DAMM pool liquidity is subject to impermanent loss. If $ARENA / SOL price ratio moves significantly from the pool entry point, the team's LP position may be worth less than the original contribution in USD terms.</w:t>
      </w:r>
    </w:p>
    <w:p>
      <w:pPr>
        <w:spacing w:after="0" w:before="80"/>
      </w:pPr>
      <w:r>
        <w:t xml:space="preserve"/>
      </w:r>
    </w:p>
    <w:p>
      <w:pPr>
        <w:pStyle w:val="Heading3"/>
        <w:spacing w:after="80" w:before="220"/>
      </w:pPr>
      <w:r>
        <w:rPr>
          <w:rFonts w:ascii="Arial" w:cs="Arial" w:eastAsia="Arial" w:hAnsi="Arial"/>
          <w:b/>
          <w:bCs/>
          <w:color w:val="2E2E4E"/>
          <w:sz w:val="23"/>
          <w:szCs w:val="23"/>
        </w:rPr>
        <w:t xml:space="preserve">Concentration Risk</w:t>
      </w:r>
    </w:p>
    <w:p>
      <w:pPr>
        <w:pStyle w:val="ListParagraph"/>
        <w:numPr>
          <w:ilvl w:val="0"/>
          <w:numId w:val="2"/>
        </w:numPr>
        <w:spacing w:after="60" w:before="60"/>
      </w:pPr>
      <w:r>
        <w:rPr>
          <w:rFonts w:ascii="Arial" w:cs="Arial" w:eastAsia="Arial" w:hAnsi="Arial"/>
          <w:color w:val="222222"/>
          <w:sz w:val="22"/>
          <w:szCs w:val="22"/>
        </w:rPr>
        <w:t xml:space="preserve">The team holds 25% of total supply at launch (20% in LP, 5% in treasury). While LP tokens are locked in the pool and not freely tradeable, this is a significant concentration that should be disclosed.</w:t>
      </w:r>
    </w:p>
    <w:p>
      <w:pPr>
        <w:pStyle w:val="ListParagraph"/>
        <w:numPr>
          <w:ilvl w:val="0"/>
          <w:numId w:val="2"/>
        </w:numPr>
        <w:spacing w:after="60" w:before="60"/>
      </w:pPr>
      <w:r>
        <w:rPr>
          <w:rFonts w:ascii="Arial" w:cs="Arial" w:eastAsia="Arial" w:hAnsi="Arial"/>
          <w:color w:val="222222"/>
          <w:sz w:val="22"/>
          <w:szCs w:val="22"/>
        </w:rPr>
        <w:t xml:space="preserve">If the team were to exit the Meteora LP position and sell, it would materially impact token price. The treasury policy above is the commitment against this, but it is not a technical lock — it is a reputational commitment.</w:t>
      </w:r>
    </w:p>
    <w:p>
      <w:pPr>
        <w:spacing w:after="0" w:before="80"/>
      </w:pPr>
      <w:r>
        <w:t xml:space="preserve"/>
      </w:r>
    </w:p>
    <w:p>
      <w:pPr>
        <w:pStyle w:val="Heading3"/>
        <w:spacing w:after="80" w:before="220"/>
      </w:pPr>
      <w:r>
        <w:rPr>
          <w:rFonts w:ascii="Arial" w:cs="Arial" w:eastAsia="Arial" w:hAnsi="Arial"/>
          <w:b/>
          <w:bCs/>
          <w:color w:val="2E2E4E"/>
          <w:sz w:val="23"/>
          <w:szCs w:val="23"/>
        </w:rPr>
        <w:t xml:space="preserve">Regulatory Risk</w:t>
      </w:r>
    </w:p>
    <w:p>
      <w:pPr>
        <w:pStyle w:val="ListParagraph"/>
        <w:numPr>
          <w:ilvl w:val="0"/>
          <w:numId w:val="2"/>
        </w:numPr>
        <w:spacing w:after="60" w:before="60"/>
      </w:pPr>
      <w:r>
        <w:rPr>
          <w:rFonts w:ascii="Arial" w:cs="Arial" w:eastAsia="Arial" w:hAnsi="Arial"/>
          <w:color w:val="222222"/>
          <w:sz w:val="22"/>
          <w:szCs w:val="22"/>
        </w:rPr>
        <w:t xml:space="preserve">The regulatory classification of $ARENA tokens may change in various jurisdictions. The team should monitor developments in Solana token regulation, particularly in jurisdictions where users are active.</w:t>
      </w:r>
    </w:p>
    <w:p>
      <w:pPr>
        <w:pStyle w:val="ListParagraph"/>
        <w:numPr>
          <w:ilvl w:val="0"/>
          <w:numId w:val="2"/>
        </w:numPr>
        <w:spacing w:after="60" w:before="60"/>
      </w:pPr>
      <w:r>
        <w:rPr>
          <w:rFonts w:ascii="Arial" w:cs="Arial" w:eastAsia="Arial" w:hAnsi="Arial"/>
          <w:color w:val="222222"/>
          <w:sz w:val="22"/>
          <w:szCs w:val="22"/>
        </w:rPr>
        <w:t xml:space="preserve">The fee tier discount structure (holding tokens for financial benefit in a wagering context) should be reviewed by legal counsel in the V2 licensing process to confirm it does not create an unintended securities characterization.</w:t>
      </w:r>
    </w:p>
    <w:p>
      <w:pPr>
        <w:spacing w:after="0" w:before="80"/>
      </w:pPr>
      <w:r>
        <w:t xml:space="preserve"/>
      </w:r>
    </w:p>
    <w:p>
      <w:pPr>
        <w:pStyle w:val="Heading3"/>
        <w:spacing w:after="80" w:before="220"/>
      </w:pPr>
      <w:r>
        <w:rPr>
          <w:rFonts w:ascii="Arial" w:cs="Arial" w:eastAsia="Arial" w:hAnsi="Arial"/>
          <w:b/>
          <w:bCs/>
          <w:color w:val="2E2E4E"/>
          <w:sz w:val="23"/>
          <w:szCs w:val="23"/>
        </w:rPr>
        <w:t xml:space="preserve">Game Traction Risk</w:t>
      </w:r>
    </w:p>
    <w:p>
      <w:pPr>
        <w:pStyle w:val="ListParagraph"/>
        <w:numPr>
          <w:ilvl w:val="0"/>
          <w:numId w:val="2"/>
        </w:numPr>
        <w:spacing w:after="60" w:before="60"/>
      </w:pPr>
      <w:r>
        <w:rPr>
          <w:rFonts w:ascii="Arial" w:cs="Arial" w:eastAsia="Arial" w:hAnsi="Arial"/>
          <w:color w:val="222222"/>
          <w:sz w:val="22"/>
          <w:szCs w:val="22"/>
        </w:rPr>
        <w:t xml:space="preserve">Cosmetic burn revenue is entirely dependent on game player count and willingness to spend. If V1 does not attract a meaningful player base, this revenue stream may be negligible.</w:t>
      </w:r>
    </w:p>
    <w:p>
      <w:pPr>
        <w:pStyle w:val="ListParagraph"/>
        <w:numPr>
          <w:ilvl w:val="0"/>
          <w:numId w:val="2"/>
        </w:numPr>
        <w:spacing w:after="60" w:before="60"/>
      </w:pPr>
      <w:r>
        <w:rPr>
          <w:rFonts w:ascii="Arial" w:cs="Arial" w:eastAsia="Arial" w:hAnsi="Arial"/>
          <w:color w:val="222222"/>
          <w:sz w:val="22"/>
          <w:szCs w:val="22"/>
        </w:rPr>
        <w:t xml:space="preserve">The fee tier structure only generates value for holders in V2 when wagering is live. If V2 is delayed, the token's utility narrative is weaker in the interim.</w:t>
      </w:r>
    </w:p>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9. Tokenomics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Item</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Value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Total supply</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1,000,000,000 $ARENA — fixed forever</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Team acquisition</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25% via bonding curve at launch (≈$1,500–$2,000 total cost)</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Public float at launch</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75% via pump.fun bonding curve</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DAMM pool (Meteora)</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20% of supply paired with SOL — team-owned LP</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Team treasury</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5% of supply — locked, strategic use only</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Burn mechanism</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50% of every in-game cosmetic purchase, immediate and permanent</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Treasury routing</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50% of every in-game cosmetic purchase — redeployed as LP only, never sold</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Revenue stream 1</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pump.fun creator fees (USDC) — perpetual, scales with trading volume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Revenue stream 2</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Meteora DAMM LP fees (ARENA + SOL) — perpetual, scales with swap volume</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Revenue stream 3</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In-game cosmetic purchase split (V1 onwards)</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Revenue stream 4</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V2 protocol fee on wagering — 5% base, reduced by tier</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Fee tiers</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5% base → 4% at 1M tokens → 3% at 5M tokens → TBD at 10M tokens</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Grandfathering</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Existing tier holders locked in permanently at any future restructure</w:t>
            </w:r>
          </w:p>
        </w:tc>
      </w:tr>
    </w:tbl>
    <w:p>
      <w:pPr>
        <w:spacing w:after="0" w:before="200"/>
      </w:pPr>
      <w:r>
        <w:t xml:space="preserve"/>
      </w:r>
    </w:p>
    <w:p>
      <w:pPr>
        <w:spacing w:after="80" w:before="200"/>
        <w:jc w:val="center"/>
      </w:pPr>
      <w:r>
        <w:rPr>
          <w:rFonts w:ascii="Arial" w:cs="Arial" w:eastAsia="Arial" w:hAnsi="Arial"/>
          <w:i/>
          <w:iCs/>
          <w:color w:val="666666"/>
          <w:sz w:val="20"/>
          <w:szCs w:val="20"/>
        </w:rPr>
        <w:t xml:space="preserve">ARENA — $ARENA Tokenomics</w:t>
      </w:r>
    </w:p>
    <w:p>
      <w:pPr>
        <w:jc w:val="center"/>
      </w:pPr>
      <w:r>
        <w:rPr>
          <w:rFonts w:ascii="Arial" w:cs="Arial" w:eastAsia="Arial" w:hAnsi="Arial"/>
          <w:i/>
          <w:iCs/>
          <w:color w:val="666666"/>
          <w:sz w:val="20"/>
          <w:szCs w:val="20"/>
        </w:rPr>
        <w:t xml:space="preserve">Internal Planning Document · Subject to Revision · Not Financial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2E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2026-06-11T19:36:23.666Z</dcterms:created>
  <dcterms:modified xsi:type="dcterms:W3CDTF">2026-06-11T19:36:23.679Z</dcterms:modified>
</cp:coreProperties>
</file>

<file path=docProps/custom.xml><?xml version="1.0" encoding="utf-8"?>
<Properties xmlns="http://schemas.openxmlformats.org/officeDocument/2006/custom-properties" xmlns:vt="http://schemas.openxmlformats.org/officeDocument/2006/docPropsVTypes"/>
</file>