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C9A84C"/>
          <w:sz w:val="96"/>
          <w:szCs w:val="96"/>
        </w:rPr>
        <w:t xml:space="preserve">ARENA</w:t>
      </w:r>
    </w:p>
    <w:p>
      <w:pPr>
        <w:spacing w:after="120" w:before="0"/>
        <w:jc w:val="center"/>
      </w:pPr>
      <w:r>
        <w:rPr>
          <w:rFonts w:ascii="Arial" w:cs="Arial" w:eastAsia="Arial" w:hAnsi="Arial"/>
          <w:color w:val="2E2E4E"/>
          <w:sz w:val="32"/>
          <w:szCs w:val="32"/>
        </w:rPr>
        <w:t xml:space="preserve">Terms of Service &amp; AML Compliance Framework</w:t>
      </w:r>
    </w:p>
    <w:p>
      <w:pPr>
        <w:spacing w:after="800" w:before="0"/>
        <w:jc w:val="center"/>
      </w:pPr>
      <w:r>
        <w:rPr>
          <w:rFonts w:ascii="Arial" w:cs="Arial" w:eastAsia="Arial" w:hAnsi="Arial"/>
          <w:i/>
          <w:iCs/>
          <w:color w:val="666666"/>
          <w:sz w:val="22"/>
          <w:szCs w:val="22"/>
        </w:rPr>
        <w:t xml:space="preserve">Draft Framework — Legal Review Required Before Adoption</w:t>
      </w:r>
    </w:p>
    <w:p>
      <w:pPr>
        <w:pBdr>
          <w:bottom w:val="single" w:color="C9A84C" w:sz="6" w:space="1"/>
        </w:pBdr>
        <w:spacing w:after="1200" w:before="0"/>
        <w:jc w:val="center"/>
      </w:pPr>
      <w:r>
        <w:rPr>
          <w:rFonts w:ascii="Arial" w:cs="Arial" w:eastAsia="Arial" w:hAnsi="Arial"/>
          <w:color w:val="666666"/>
          <w:sz w:val="22"/>
          <w:szCs w:val="22"/>
        </w:rPr>
        <w:t xml:space="preserve">Not Legal Advice  ·  For Internal Planning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3"/>
              <w:left w:val="single" w:color="A32D2D" w:sz="12"/>
              <w:bottom w:val="single" w:color="A32D2D" w:sz="3"/>
              <w:right w:val="none" w:color="FFFFFF" w:sz="0"/>
            </w:tcBorders>
            <w:shd w:fill="FDF2F2" w:val="clear"/>
            <w:tcMar>
              <w:top w:type="dxa" w:w="140"/>
              <w:left w:type="dxa" w:w="200"/>
              <w:bottom w:type="dxa" w:w="140"/>
              <w:right w:type="dxa" w:w="200"/>
            </w:tcMar>
          </w:tcPr>
          <w:p>
            <w:pPr>
              <w:spacing w:after="60" w:before="0"/>
            </w:pPr>
            <w:r>
              <w:rPr>
                <w:rFonts w:ascii="Arial" w:cs="Arial" w:eastAsia="Arial" w:hAnsi="Arial"/>
                <w:b/>
                <w:bCs/>
                <w:color w:val="A32D2D"/>
                <w:sz w:val="22"/>
                <w:szCs w:val="22"/>
              </w:rPr>
              <w:t xml:space="preserve">IMPORTANT NOTICE</w:t>
            </w:r>
          </w:p>
          <w:p>
            <w:pPr>
              <w:spacing w:after="0" w:before="0"/>
            </w:pPr>
            <w:r>
              <w:rPr>
                <w:rFonts w:ascii="Arial" w:cs="Arial" w:eastAsia="Arial" w:hAnsi="Arial"/>
                <w:color w:val="444444"/>
                <w:sz w:val="21"/>
                <w:szCs w:val="21"/>
              </w:rPr>
              <w:t xml:space="preserve">This document is a planning framework drafted for internal purposes. It does not constitute legal advice. All provisions must be reviewed, validated, and adopted by qualified legal counsel in the relevant operating jurisdiction before Arena accepts real-money wagers from users. No section of this document should be published or relied upon without that review.</w:t>
            </w:r>
          </w:p>
        </w:tc>
      </w:tr>
    </w:tbl>
    <w:p>
      <w:pPr>
        <w:spacing w:after="0" w:before="400"/>
      </w:pPr>
      <w:r>
        <w:t xml:space="preserve"/>
      </w:r>
    </w:p>
    <w:p>
      <w:pPr>
        <w:pStyle w:val="Heading1"/>
        <w:spacing w:after="160" w:before="440"/>
      </w:pPr>
      <w:r>
        <w:rPr>
          <w:rFonts w:ascii="Arial" w:cs="Arial" w:eastAsia="Arial" w:hAnsi="Arial"/>
          <w:b/>
          <w:bCs/>
          <w:color w:val="C9A84C"/>
          <w:sz w:val="36"/>
          <w:szCs w:val="36"/>
        </w:rPr>
        <w:t xml:space="preserve">Part I — AML &amp; Compliance Framework</w:t>
      </w:r>
    </w:p>
    <w:p>
      <w:pPr>
        <w:spacing w:after="80" w:before="80"/>
      </w:pPr>
      <w:r>
        <w:rPr>
          <w:rFonts w:ascii="Arial" w:cs="Arial" w:eastAsia="Arial" w:hAnsi="Arial"/>
          <w:color w:val="222222"/>
          <w:sz w:val="22"/>
          <w:szCs w:val="22"/>
        </w:rPr>
        <w:t xml:space="preserve">This section defines Arena’s Anti-Money Laundering (AML) posture, wallet screening requirements, wager thresholds, velocity controls, and record-keeping obligations. These requirements are V2 obligations — they apply at mainnet launch with real-money wagering enabled. V1 (free-to-play, no real-money wagers) is exempt from AML obligations but should integrate wallet screening infrastructure during V1 development so it is operational before V2 goes live.</w:t>
      </w:r>
    </w:p>
    <w:p>
      <w:pPr>
        <w:spacing w:after="0" w:before="12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1. Guiding Principles</w:t>
      </w:r>
    </w:p>
    <w:p>
      <w:pPr>
        <w:pStyle w:val="ListParagraph"/>
        <w:numPr>
          <w:ilvl w:val="0"/>
          <w:numId w:val="2"/>
        </w:numPr>
        <w:spacing w:after="60" w:before="60"/>
      </w:pPr>
      <w:r>
        <w:rPr>
          <w:rFonts w:ascii="Arial" w:cs="Arial" w:eastAsia="Arial" w:hAnsi="Arial"/>
          <w:color w:val="222222"/>
          <w:sz w:val="22"/>
          <w:szCs w:val="22"/>
        </w:rPr>
        <w:t xml:space="preserve">Arena is not a bank and does not custody fiat currency. All wagering occurs in USDC or SOL on the Solana blockchain. However, on-chain transactions do not exempt the protocol from AML obligations — FATF guidance explicitly covers virtual asset service providers (VASPs).</w:t>
      </w:r>
    </w:p>
    <w:p>
      <w:pPr>
        <w:pStyle w:val="ListParagraph"/>
        <w:numPr>
          <w:ilvl w:val="0"/>
          <w:numId w:val="2"/>
        </w:numPr>
        <w:spacing w:after="60" w:before="60"/>
      </w:pPr>
      <w:r>
        <w:rPr>
          <w:rFonts w:ascii="Arial" w:cs="Arial" w:eastAsia="Arial" w:hAnsi="Arial"/>
          <w:color w:val="222222"/>
          <w:sz w:val="22"/>
          <w:szCs w:val="22"/>
        </w:rPr>
        <w:t xml:space="preserve">The protocol will operate a good-faith, risk-based AML program proportional to its size and transaction volumes. This is not performative compliance — it is a genuine operational requirement for maintaining relationships with wallet providers, exchanges, and any future banking infrastructure.</w:t>
      </w:r>
    </w:p>
    <w:p>
      <w:pPr>
        <w:pStyle w:val="ListParagraph"/>
        <w:numPr>
          <w:ilvl w:val="0"/>
          <w:numId w:val="2"/>
        </w:numPr>
        <w:spacing w:after="60" w:before="60"/>
      </w:pPr>
      <w:r>
        <w:rPr>
          <w:rFonts w:ascii="Arial" w:cs="Arial" w:eastAsia="Arial" w:hAnsi="Arial"/>
          <w:color w:val="222222"/>
          <w:sz w:val="22"/>
          <w:szCs w:val="22"/>
        </w:rPr>
        <w:t xml:space="preserve">No real-money operation will commence until the AML framework has been reviewed by qualified legal counsel and the operating entity is registered or licensed in a compliant jurisdiction.</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2. Wallet Screening</w:t>
      </w:r>
    </w:p>
    <w:p>
      <w:pPr>
        <w:pStyle w:val="Heading3"/>
        <w:spacing w:after="80" w:before="220"/>
      </w:pPr>
      <w:r>
        <w:rPr>
          <w:rFonts w:ascii="Arial" w:cs="Arial" w:eastAsia="Arial" w:hAnsi="Arial"/>
          <w:b/>
          <w:bCs/>
          <w:color w:val="2E2E4E"/>
          <w:sz w:val="23"/>
          <w:szCs w:val="23"/>
        </w:rPr>
        <w:t xml:space="preserve">2.1  Screening at Wallet Connection</w:t>
      </w:r>
    </w:p>
    <w:p>
      <w:pPr>
        <w:spacing w:after="80" w:before="80"/>
      </w:pPr>
      <w:r>
        <w:rPr>
          <w:rFonts w:ascii="Arial" w:cs="Arial" w:eastAsia="Arial" w:hAnsi="Arial"/>
          <w:color w:val="222222"/>
          <w:sz w:val="22"/>
          <w:szCs w:val="22"/>
        </w:rPr>
        <w:t xml:space="preserve">Every wallet address that connects to Arena must be screened before the user can access the lobby, issue a challenge, or accept a wager. Screening must occur at connection and re-occur at each new session.</w:t>
      </w:r>
    </w:p>
    <w:p>
      <w:pPr>
        <w:spacing w:after="0" w:before="80"/>
      </w:pPr>
      <w:r>
        <w:t xml:space="preserve"/>
      </w:r>
    </w:p>
    <w:p>
      <w:pPr>
        <w:spacing w:after="80" w:before="80"/>
      </w:pPr>
      <w:r>
        <w:rPr>
          <w:rFonts w:ascii="Arial" w:cs="Arial" w:eastAsia="Arial" w:hAnsi="Arial"/>
          <w:color w:val="222222"/>
          <w:sz w:val="22"/>
          <w:szCs w:val="22"/>
        </w:rPr>
        <w:t xml:space="preserve">Screening checks the connecting address against:</w:t>
      </w:r>
    </w:p>
    <w:p>
      <w:pPr>
        <w:pStyle w:val="ListParagraph"/>
        <w:numPr>
          <w:ilvl w:val="0"/>
          <w:numId w:val="2"/>
        </w:numPr>
        <w:spacing w:after="60" w:before="60"/>
      </w:pPr>
      <w:r>
        <w:rPr>
          <w:rFonts w:ascii="Arial" w:cs="Arial" w:eastAsia="Arial" w:hAnsi="Arial"/>
          <w:color w:val="222222"/>
          <w:sz w:val="22"/>
          <w:szCs w:val="22"/>
        </w:rPr>
        <w:t xml:space="preserve">OFAC Specially Designated Nationals (SDN) list</w:t>
      </w:r>
    </w:p>
    <w:p>
      <w:pPr>
        <w:pStyle w:val="ListParagraph"/>
        <w:numPr>
          <w:ilvl w:val="0"/>
          <w:numId w:val="2"/>
        </w:numPr>
        <w:spacing w:after="60" w:before="60"/>
      </w:pPr>
      <w:r>
        <w:rPr>
          <w:rFonts w:ascii="Arial" w:cs="Arial" w:eastAsia="Arial" w:hAnsi="Arial"/>
          <w:color w:val="222222"/>
          <w:sz w:val="22"/>
          <w:szCs w:val="22"/>
        </w:rPr>
        <w:t xml:space="preserve">UN Security Council sanctions lists</w:t>
      </w:r>
    </w:p>
    <w:p>
      <w:pPr>
        <w:pStyle w:val="ListParagraph"/>
        <w:numPr>
          <w:ilvl w:val="0"/>
          <w:numId w:val="2"/>
        </w:numPr>
        <w:spacing w:after="60" w:before="60"/>
      </w:pPr>
      <w:r>
        <w:rPr>
          <w:rFonts w:ascii="Arial" w:cs="Arial" w:eastAsia="Arial" w:hAnsi="Arial"/>
          <w:color w:val="222222"/>
          <w:sz w:val="22"/>
          <w:szCs w:val="22"/>
        </w:rPr>
        <w:t xml:space="preserve">EU consolidated sanctions list</w:t>
      </w:r>
    </w:p>
    <w:p>
      <w:pPr>
        <w:pStyle w:val="ListParagraph"/>
        <w:numPr>
          <w:ilvl w:val="0"/>
          <w:numId w:val="2"/>
        </w:numPr>
        <w:spacing w:after="60" w:before="60"/>
      </w:pPr>
      <w:r>
        <w:rPr>
          <w:rFonts w:ascii="Arial" w:cs="Arial" w:eastAsia="Arial" w:hAnsi="Arial"/>
          <w:color w:val="222222"/>
          <w:sz w:val="22"/>
          <w:szCs w:val="22"/>
        </w:rPr>
        <w:t xml:space="preserve">Known illicit address databases (e.g., Chainalysis Reactor, TRM Labs, Elliptic)</w:t>
      </w:r>
    </w:p>
    <w:p>
      <w:pPr>
        <w:pStyle w:val="ListParagraph"/>
        <w:numPr>
          <w:ilvl w:val="0"/>
          <w:numId w:val="2"/>
        </w:numPr>
        <w:spacing w:after="60" w:before="60"/>
      </w:pPr>
      <w:r>
        <w:rPr>
          <w:rFonts w:ascii="Arial" w:cs="Arial" w:eastAsia="Arial" w:hAnsi="Arial"/>
          <w:color w:val="222222"/>
          <w:sz w:val="22"/>
          <w:szCs w:val="22"/>
        </w:rPr>
        <w:t xml:space="preserve">Addresses flagged internally by Arena's own monitoring system</w:t>
      </w:r>
    </w:p>
    <w:p>
      <w:pPr>
        <w:spacing w:after="0" w:before="100"/>
      </w:pPr>
      <w:r>
        <w:t xml:space="preserve"/>
      </w:r>
    </w:p>
    <w:p>
      <w:pPr>
        <w:spacing w:after="80" w:before="80"/>
      </w:pPr>
      <w:r>
        <w:rPr>
          <w:rFonts w:ascii="Arial" w:cs="Arial" w:eastAsia="Arial" w:hAnsi="Arial"/>
          <w:color w:val="222222"/>
          <w:sz w:val="22"/>
          <w:szCs w:val="22"/>
        </w:rPr>
        <w:t xml:space="preserve">Implementation: Chainalysis Sanctions API or TRM Labs wallet screening API. Both offer real-time lookup with sub-100ms response times. Cost is negligible at expected launch volumes.</w:t>
      </w:r>
    </w:p>
    <w:p>
      <w:pPr>
        <w:spacing w:after="0" w:before="100"/>
      </w:pPr>
      <w:r>
        <w:t xml:space="preserve"/>
      </w:r>
    </w:p>
    <w:p>
      <w:pPr>
        <w:pStyle w:val="Heading3"/>
        <w:spacing w:after="80" w:before="220"/>
      </w:pPr>
      <w:r>
        <w:rPr>
          <w:rFonts w:ascii="Arial" w:cs="Arial" w:eastAsia="Arial" w:hAnsi="Arial"/>
          <w:b/>
          <w:bCs/>
          <w:color w:val="2E2E4E"/>
          <w:sz w:val="23"/>
          <w:szCs w:val="23"/>
        </w:rPr>
        <w:t xml:space="preserve">2.2  Screening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Outcome</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Action</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Clean</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Wallet proceeds to lobby with no friction.</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Flagged (sanctions list)</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Hard block. Wallet cannot access lobby. Error message displayed. Incident logged with timestamp and address.</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Flagged (illicit database)</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Hard block. Same as sanctions outcome. Logged separately for internal AML review queue.</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Flagged (internal)</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Hard block. Logged. Flagging admin notified.</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Screening service unavailable</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Soft block. User shown maintenance message. No wagering permitted until screening resumes. Fight viewing (spectator, if implemented) may proceed.</w:t>
            </w:r>
          </w:p>
        </w:tc>
      </w:tr>
    </w:tbl>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3. Wager Thresholds &amp; KYC Triggers</w:t>
      </w:r>
    </w:p>
    <w:p>
      <w:pPr>
        <w:spacing w:after="80" w:before="80"/>
      </w:pPr>
      <w:r>
        <w:rPr>
          <w:rFonts w:ascii="Arial" w:cs="Arial" w:eastAsia="Arial" w:hAnsi="Arial"/>
          <w:color w:val="222222"/>
          <w:sz w:val="22"/>
          <w:szCs w:val="22"/>
        </w:rPr>
        <w:t xml:space="preserve">Arena uses a tiered approach. Low-value wagers require no identity verification beyond wallet screening. High-value wagers trigger additional controls. This mirrors the risk-based approach used by most regulated crypto gambling operators.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Wager Level</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Control</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Under $1,000 USD equivalent</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Wallet screening only. No additional friction. Full platform access.</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$1,000 – $9,999 USD equivalent</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Wallet screening plus internal monitoring flag. User proceeds without friction but account is added to enhanced monitoring queue.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$5,000+ USD equivalent (single wager)</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Hard cap — protocol will not process a single wager above $5,000 USD equivalent. No exceptions at V2 launch. Revisit ceiling when monthly volume exceeds $1M or at first licensing renewal.</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Aggregate $50,000+ in 7 days</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Automatic flag for internal AML review regardless of individual wager size. No automatic block — review determines action.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12"/>
              <w:bottom w:val="single" w:color="C9A84C" w:sz="3"/>
              <w:right w:val="none" w:color="FFFFFF" w:sz="0"/>
            </w:tcBorders>
            <w:shd w:fill="FEFBF0" w:val="clear"/>
            <w:tcMar>
              <w:top w:type="dxa" w:w="140"/>
              <w:left w:type="dxa" w:w="200"/>
              <w:bottom w:type="dxa" w:w="140"/>
              <w:right w:type="dxa" w:w="200"/>
            </w:tcMar>
          </w:tcPr>
          <w:p>
            <w:pPr>
              <w:spacing w:after="60" w:before="0"/>
            </w:pPr>
            <w:r>
              <w:rPr>
                <w:rFonts w:ascii="Arial" w:cs="Arial" w:eastAsia="Arial" w:hAnsi="Arial"/>
                <w:b/>
                <w:bCs/>
                <w:color w:val="C9A84C"/>
                <w:sz w:val="22"/>
                <w:szCs w:val="22"/>
              </w:rPr>
              <w:t xml:space="preserve">Recommended launch position</w:t>
            </w:r>
          </w:p>
          <w:p>
            <w:pPr>
              <w:spacing w:after="0" w:before="0"/>
            </w:pPr>
            <w:r>
              <w:rPr>
                <w:rFonts w:ascii="Arial" w:cs="Arial" w:eastAsia="Arial" w:hAnsi="Arial"/>
                <w:color w:val="444444"/>
                <w:sz w:val="21"/>
                <w:szCs w:val="21"/>
              </w:rPr>
              <w:t xml:space="preserve">Hard cap set at $5,000 USD equivalent per single wager. Keeps the product well clear of the $10,000 CTR threshold used in most jurisdictions, removes the highest-risk transactions, and keeps the AML program manageable for an early-stage team.</w:t>
            </w:r>
          </w:p>
        </w:tc>
      </w:tr>
    </w:tbl>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4. Velocity Controls &amp; Collusion Detection</w:t>
      </w:r>
    </w:p>
    <w:p>
      <w:pPr>
        <w:pStyle w:val="Heading3"/>
        <w:spacing w:after="80" w:before="220"/>
      </w:pPr>
      <w:r>
        <w:rPr>
          <w:rFonts w:ascii="Arial" w:cs="Arial" w:eastAsia="Arial" w:hAnsi="Arial"/>
          <w:b/>
          <w:bCs/>
          <w:color w:val="2E2E4E"/>
          <w:sz w:val="23"/>
          <w:szCs w:val="23"/>
        </w:rPr>
        <w:t xml:space="preserve">4.1  Same-Pair Rate Limiting</w:t>
      </w:r>
    </w:p>
    <w:p>
      <w:pPr>
        <w:spacing w:after="80" w:before="80"/>
      </w:pPr>
      <w:r>
        <w:rPr>
          <w:rFonts w:ascii="Arial" w:cs="Arial" w:eastAsia="Arial" w:hAnsi="Arial"/>
          <w:color w:val="222222"/>
          <w:sz w:val="22"/>
          <w:szCs w:val="22"/>
        </w:rPr>
        <w:t xml:space="preserve">The same two wallet addresses may not fight each other more than 5 times within any 24-hour rolling window. On the 6th attempt, the challenge is blocked with a message explaining the cooldown. This limit resets at the 24-hour mark from the first fight.</w:t>
      </w:r>
    </w:p>
    <w:p>
      <w:pPr>
        <w:spacing w:after="0" w:before="80"/>
      </w:pPr>
      <w:r>
        <w:t xml:space="preserve"/>
      </w:r>
    </w:p>
    <w:p>
      <w:pPr>
        <w:spacing w:after="80" w:before="80"/>
      </w:pPr>
      <w:r>
        <w:rPr>
          <w:rFonts w:ascii="Arial" w:cs="Arial" w:eastAsia="Arial" w:hAnsi="Arial"/>
          <w:color w:val="222222"/>
          <w:sz w:val="22"/>
          <w:szCs w:val="22"/>
        </w:rPr>
        <w:t xml:space="preserve">Rationale: the primary collusion vector is repeated peer transfers disguised as fight losses. Rate-limiting same-pair fights to 5 per day caps the maximum extractable value per day at 5 × wager × (1 - protocol fee). At a $1,000 wager cap this is $5,000/day — still a risk, but one that triggers the velocity monitoring threshold above.</w:t>
      </w:r>
    </w:p>
    <w:p>
      <w:pPr>
        <w:spacing w:after="0" w:before="120"/>
      </w:pPr>
      <w:r>
        <w:t xml:space="preserve"/>
      </w:r>
    </w:p>
    <w:p>
      <w:pPr>
        <w:pStyle w:val="Heading3"/>
        <w:spacing w:after="80" w:before="220"/>
      </w:pPr>
      <w:r>
        <w:rPr>
          <w:rFonts w:ascii="Arial" w:cs="Arial" w:eastAsia="Arial" w:hAnsi="Arial"/>
          <w:b/>
          <w:bCs/>
          <w:color w:val="2E2E4E"/>
          <w:sz w:val="23"/>
          <w:szCs w:val="23"/>
        </w:rPr>
        <w:t xml:space="preserve">4.2  Velocity Flags (Internal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Pattern</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Response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Same-pair &gt; 5 fights / 24h</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Automatic block (hard rule, not just flag).</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Single wallet &gt; $50k volume / 7 days</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Flag for AML review. No automatic block.</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Win rate &gt; 80% over 50+ fights</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Flag for review — statistically anomalous in a 50/50 game, may indicate scripted/bot behavior or collusion.</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Wager amounts in exact repeating patterns</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Flag for review — indicative of automated wash trading.</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New wallet + immediate high-value wager</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Flag for review — wallet age under 7 days combined with wager over $500.</w:t>
            </w:r>
          </w:p>
        </w:tc>
      </w:tr>
    </w:tbl>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5. Geo-Blocking &amp; Restricted Jurisdictions</w:t>
      </w:r>
    </w:p>
    <w:p>
      <w:pPr>
        <w:spacing w:after="80" w:before="80"/>
      </w:pPr>
      <w:r>
        <w:rPr>
          <w:rFonts w:ascii="Arial" w:cs="Arial" w:eastAsia="Arial" w:hAnsi="Arial"/>
          <w:color w:val="222222"/>
          <w:sz w:val="22"/>
          <w:szCs w:val="22"/>
        </w:rPr>
        <w:t xml:space="preserve">The following jurisdictions are hard-blocked at the IP level from day one of mainnet operation. Users from these jurisdictions who circumvent geo-blocks via VPN or proxy are in violation of the Terms of Service and bear full legal responsibility for their access.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Jurisdiction</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Rationale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United States (all states)</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UIGEA + state-level gambling laws. Hard block. No exceptions at launch.</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United Kingdom</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Requires UK Gambling Commission license. Block unless licensed.</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Australia</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Interactive Gambling Act 2001. Hard block.</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France</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ARJEL licensing required. Hard block unless licensed.</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Netherlands</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KSA licensing required. Hard block unless licensed.</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FATF Blacklist jurisdictions</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Iran, North Korea, Myanmar, and any jurisdiction on the FATF blacklist at time of launch. Hard block.</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Any additional jurisdictions</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To be determined by legal counsel based on operating entity jurisdiction.</w:t>
            </w:r>
          </w:p>
        </w:tc>
      </w:tr>
    </w:tbl>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6. Record Keeping</w:t>
      </w:r>
    </w:p>
    <w:p>
      <w:pPr>
        <w:pStyle w:val="ListParagraph"/>
        <w:numPr>
          <w:ilvl w:val="0"/>
          <w:numId w:val="2"/>
        </w:numPr>
        <w:spacing w:after="60" w:before="60"/>
      </w:pPr>
      <w:r>
        <w:rPr>
          <w:rFonts w:ascii="Arial" w:cs="Arial" w:eastAsia="Arial" w:hAnsi="Arial"/>
          <w:color w:val="222222"/>
          <w:sz w:val="22"/>
          <w:szCs w:val="22"/>
        </w:rPr>
        <w:t xml:space="preserve">All fight records retained for minimum 5 years: wallet addresses (both players), wager amounts, token type, fight seed, fight outcome, timestamps, IP addresses (hashed for privacy).</w:t>
      </w:r>
    </w:p>
    <w:p>
      <w:pPr>
        <w:pStyle w:val="ListParagraph"/>
        <w:numPr>
          <w:ilvl w:val="0"/>
          <w:numId w:val="2"/>
        </w:numPr>
        <w:spacing w:after="60" w:before="60"/>
      </w:pPr>
      <w:r>
        <w:rPr>
          <w:rFonts w:ascii="Arial" w:cs="Arial" w:eastAsia="Arial" w:hAnsi="Arial"/>
          <w:color w:val="222222"/>
          <w:sz w:val="22"/>
          <w:szCs w:val="22"/>
        </w:rPr>
        <w:t xml:space="preserve">All wallet screening results retained for minimum 5 years: wallet address, screening timestamp, result, service used, flag reason if applicable.</w:t>
      </w:r>
    </w:p>
    <w:p>
      <w:pPr>
        <w:pStyle w:val="ListParagraph"/>
        <w:numPr>
          <w:ilvl w:val="0"/>
          <w:numId w:val="2"/>
        </w:numPr>
        <w:spacing w:after="60" w:before="60"/>
      </w:pPr>
      <w:r>
        <w:rPr>
          <w:rFonts w:ascii="Arial" w:cs="Arial" w:eastAsia="Arial" w:hAnsi="Arial"/>
          <w:color w:val="222222"/>
          <w:sz w:val="22"/>
          <w:szCs w:val="22"/>
        </w:rPr>
        <w:t xml:space="preserve">All AML flag events retained for minimum 5 years with disposition notes.</w:t>
      </w:r>
    </w:p>
    <w:p>
      <w:pPr>
        <w:pStyle w:val="ListParagraph"/>
        <w:numPr>
          <w:ilvl w:val="0"/>
          <w:numId w:val="2"/>
        </w:numPr>
        <w:spacing w:after="60" w:before="60"/>
      </w:pPr>
      <w:r>
        <w:rPr>
          <w:rFonts w:ascii="Arial" w:cs="Arial" w:eastAsia="Arial" w:hAnsi="Arial"/>
          <w:color w:val="222222"/>
          <w:sz w:val="22"/>
          <w:szCs w:val="22"/>
        </w:rPr>
        <w:t xml:space="preserve">Records must be producible within 72 hours in response to a lawful legal request.</w:t>
      </w:r>
    </w:p>
    <w:p>
      <w:pPr>
        <w:pStyle w:val="ListParagraph"/>
        <w:numPr>
          <w:ilvl w:val="0"/>
          <w:numId w:val="2"/>
        </w:numPr>
        <w:spacing w:after="60" w:before="60"/>
      </w:pPr>
      <w:r>
        <w:rPr>
          <w:rFonts w:ascii="Arial" w:cs="Arial" w:eastAsia="Arial" w:hAnsi="Arial"/>
          <w:color w:val="222222"/>
          <w:sz w:val="22"/>
          <w:szCs w:val="22"/>
        </w:rPr>
        <w:t xml:space="preserve">Records stored in a jurisdiction-appropriate data store with access logging. Access restricted to designated compliance personnel.</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7. Blacklisting &amp; Enforcement</w:t>
      </w:r>
    </w:p>
    <w:p>
      <w:pPr>
        <w:pStyle w:val="ListParagraph"/>
        <w:numPr>
          <w:ilvl w:val="0"/>
          <w:numId w:val="2"/>
        </w:numPr>
        <w:spacing w:after="60" w:before="60"/>
      </w:pPr>
      <w:r>
        <w:rPr>
          <w:rFonts w:ascii="Arial" w:cs="Arial" w:eastAsia="Arial" w:hAnsi="Arial"/>
          <w:color w:val="222222"/>
          <w:sz w:val="22"/>
          <w:szCs w:val="22"/>
        </w:rPr>
        <w:t xml:space="preserve">Wallets confirmed to have engaged in collusion, wash trading, or other prohibited conduct may be permanently blacklisted from the protocol.</w:t>
      </w:r>
    </w:p>
    <w:p>
      <w:pPr>
        <w:pStyle w:val="ListParagraph"/>
        <w:numPr>
          <w:ilvl w:val="0"/>
          <w:numId w:val="2"/>
        </w:numPr>
        <w:spacing w:after="60" w:before="60"/>
      </w:pPr>
      <w:r>
        <w:rPr>
          <w:rFonts w:ascii="Arial" w:cs="Arial" w:eastAsia="Arial" w:hAnsi="Arial"/>
          <w:color w:val="222222"/>
          <w:sz w:val="22"/>
          <w:szCs w:val="22"/>
        </w:rPr>
        <w:t xml:space="preserve">Blacklisting is recorded on-chain where technically feasible, and in the protocol's internal database.</w:t>
      </w:r>
    </w:p>
    <w:p>
      <w:pPr>
        <w:pStyle w:val="ListParagraph"/>
        <w:numPr>
          <w:ilvl w:val="0"/>
          <w:numId w:val="2"/>
        </w:numPr>
        <w:spacing w:after="60" w:before="60"/>
      </w:pPr>
      <w:r>
        <w:rPr>
          <w:rFonts w:ascii="Arial" w:cs="Arial" w:eastAsia="Arial" w:hAnsi="Arial"/>
          <w:color w:val="222222"/>
          <w:sz w:val="22"/>
          <w:szCs w:val="22"/>
        </w:rPr>
        <w:t xml:space="preserve">Arena will cooperate with law enforcement requests that are accompanied by valid legal process in the operating jurisdiction.</w:t>
      </w:r>
    </w:p>
    <w:p>
      <w:pPr>
        <w:pStyle w:val="ListParagraph"/>
        <w:numPr>
          <w:ilvl w:val="0"/>
          <w:numId w:val="2"/>
        </w:numPr>
        <w:spacing w:after="60" w:before="60"/>
      </w:pPr>
      <w:r>
        <w:rPr>
          <w:rFonts w:ascii="Arial" w:cs="Arial" w:eastAsia="Arial" w:hAnsi="Arial"/>
          <w:color w:val="222222"/>
          <w:sz w:val="22"/>
          <w:szCs w:val="22"/>
        </w:rPr>
        <w:t xml:space="preserve">Arena will file Suspicious Activity Reports (SARs) with the relevant financial intelligence unit in the operating jurisdiction where required by law.</w:t>
      </w:r>
    </w:p>
    <w:p>
      <w:pPr>
        <w:pStyle w:val="ListParagraph"/>
        <w:numPr>
          <w:ilvl w:val="0"/>
          <w:numId w:val="2"/>
        </w:numPr>
        <w:spacing w:after="60" w:before="60"/>
      </w:pPr>
      <w:r>
        <w:rPr>
          <w:rFonts w:ascii="Arial" w:cs="Arial" w:eastAsia="Arial" w:hAnsi="Arial"/>
          <w:color w:val="222222"/>
          <w:sz w:val="22"/>
          <w:szCs w:val="22"/>
        </w:rPr>
        <w:t xml:space="preserve">Blacklisted wallets forfeit any pending wagers in escrow at the time of blacklisting. Funds are held in the protocol treasury pending legal direction.</w:t>
      </w:r>
    </w:p>
    <w:p>
      <w:pPr>
        <w:spacing w:after="0" w:before="200"/>
      </w:pPr>
      <w:r>
        <w:t xml:space="preserve"/>
      </w:r>
    </w:p>
    <w:p>
      <w:pPr>
        <w:pBdr>
          <w:bottom w:val="single" w:color="DDDDDD" w:sz="2" w:space="1"/>
        </w:pBdr>
        <w:spacing w:after="160" w:before="160"/>
      </w:pPr>
      <w:r>
        <w:t xml:space="preserve"/>
      </w:r>
    </w:p>
    <w:p>
      <w:r>
        <w:br w:type="page"/>
      </w:r>
    </w:p>
    <w:p>
      <w:pPr>
        <w:pStyle w:val="Heading1"/>
        <w:spacing w:after="160" w:before="440"/>
      </w:pPr>
      <w:r>
        <w:rPr>
          <w:rFonts w:ascii="Arial" w:cs="Arial" w:eastAsia="Arial" w:hAnsi="Arial"/>
          <w:b/>
          <w:bCs/>
          <w:color w:val="C9A84C"/>
          <w:sz w:val="36"/>
          <w:szCs w:val="36"/>
        </w:rPr>
        <w:t xml:space="preserve">Part II — Terms of Service Framework</w:t>
      </w:r>
    </w:p>
    <w:p>
      <w:pPr>
        <w:spacing w:after="80" w:before="80"/>
      </w:pPr>
      <w:r>
        <w:rPr>
          <w:rFonts w:ascii="Arial" w:cs="Arial" w:eastAsia="Arial" w:hAnsi="Arial"/>
          <w:color w:val="222222"/>
          <w:sz w:val="22"/>
          <w:szCs w:val="22"/>
        </w:rPr>
        <w:t xml:space="preserve">The following is a structural framework for Arena's Terms of Service. Each section identifies the key provisions that must be present. Final language must be drafted by legal counsel. Provisions marked [LEGAL REVIEW] are placeholders that require jurisdiction-specific drafting.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12"/>
              <w:bottom w:val="single" w:color="C9A84C" w:sz="3"/>
              <w:right w:val="none" w:color="FFFFFF" w:sz="0"/>
            </w:tcBorders>
            <w:shd w:fill="FEFBF0" w:val="clear"/>
            <w:tcMar>
              <w:top w:type="dxa" w:w="140"/>
              <w:left w:type="dxa" w:w="200"/>
              <w:bottom w:type="dxa" w:w="140"/>
              <w:right w:type="dxa" w:w="200"/>
            </w:tcMar>
          </w:tcPr>
          <w:p>
            <w:pPr>
              <w:spacing w:after="60" w:before="0"/>
            </w:pPr>
            <w:r>
              <w:rPr>
                <w:rFonts w:ascii="Arial" w:cs="Arial" w:eastAsia="Arial" w:hAnsi="Arial"/>
                <w:b/>
                <w:bCs/>
                <w:color w:val="C9A84C"/>
                <w:sz w:val="22"/>
                <w:szCs w:val="22"/>
              </w:rPr>
              <w:t xml:space="preserve">Framework note</w:t>
            </w:r>
          </w:p>
          <w:p>
            <w:pPr>
              <w:spacing w:after="0" w:before="0"/>
            </w:pPr>
            <w:r>
              <w:rPr>
                <w:rFonts w:ascii="Arial" w:cs="Arial" w:eastAsia="Arial" w:hAnsi="Arial"/>
                <w:color w:val="444444"/>
                <w:sz w:val="21"/>
                <w:szCs w:val="21"/>
              </w:rPr>
              <w:t xml:space="preserve">A ToS for a crypto wagering product is not a standard SaaS agreement. It must address gambling regulation, smart contract finality, token disclaimers, and cross-border legal exposure simultaneously. Do not adapt a boilerplate SaaS ToS — engage counsel with specific experience in crypto gambling or fintech.</w:t>
            </w:r>
          </w:p>
        </w:tc>
      </w:tr>
    </w:tbl>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Section 1 — Acceptance &amp; Eligibility</w:t>
      </w:r>
    </w:p>
    <w:p>
      <w:pPr>
        <w:pStyle w:val="Heading3"/>
        <w:spacing w:after="80" w:before="220"/>
      </w:pPr>
      <w:r>
        <w:rPr>
          <w:rFonts w:ascii="Arial" w:cs="Arial" w:eastAsia="Arial" w:hAnsi="Arial"/>
          <w:b/>
          <w:bCs/>
          <w:color w:val="2E2E4E"/>
          <w:sz w:val="23"/>
          <w:szCs w:val="23"/>
        </w:rPr>
        <w:t xml:space="preserve">1.1  Acceptance of Terms</w:t>
      </w:r>
    </w:p>
    <w:p>
      <w:pPr>
        <w:spacing w:after="80" w:before="80"/>
      </w:pPr>
      <w:r>
        <w:rPr>
          <w:rFonts w:ascii="Arial" w:cs="Arial" w:eastAsia="Arial" w:hAnsi="Arial"/>
          <w:color w:val="222222"/>
          <w:sz w:val="22"/>
          <w:szCs w:val="22"/>
        </w:rPr>
        <w:t xml:space="preserve">By connecting a wallet to Arena and participating in any fight, wager, or lobby activity, the user agrees to be bound by these Terms in their entirety. If a user does not agree, they must disconnect and cease use immediately. Connecting a wallet constitutes a legally binding agreement to these Terms. [LEGAL REVIEW: jurisdiction-specific enforceability of click-wrap via wallet connection.]</w:t>
      </w:r>
    </w:p>
    <w:p>
      <w:pPr>
        <w:spacing w:after="0" w:before="80"/>
      </w:pPr>
      <w:r>
        <w:t xml:space="preserve"/>
      </w:r>
    </w:p>
    <w:p>
      <w:pPr>
        <w:pStyle w:val="Heading3"/>
        <w:spacing w:after="80" w:before="220"/>
      </w:pPr>
      <w:r>
        <w:rPr>
          <w:rFonts w:ascii="Arial" w:cs="Arial" w:eastAsia="Arial" w:hAnsi="Arial"/>
          <w:b/>
          <w:bCs/>
          <w:color w:val="2E2E4E"/>
          <w:sz w:val="23"/>
          <w:szCs w:val="23"/>
        </w:rPr>
        <w:t xml:space="preserve">1.2  Eligibility Requirements</w:t>
      </w:r>
    </w:p>
    <w:p>
      <w:pPr>
        <w:spacing w:after="80" w:before="80"/>
      </w:pPr>
      <w:r>
        <w:rPr>
          <w:rFonts w:ascii="Arial" w:cs="Arial" w:eastAsia="Arial" w:hAnsi="Arial"/>
          <w:color w:val="222222"/>
          <w:sz w:val="22"/>
          <w:szCs w:val="22"/>
        </w:rPr>
        <w:t xml:space="preserve">To use Arena, a user must represent and warrant all of the following:</w:t>
      </w:r>
    </w:p>
    <w:p>
      <w:pPr>
        <w:pStyle w:val="ListParagraph"/>
        <w:numPr>
          <w:ilvl w:val="0"/>
          <w:numId w:val="2"/>
        </w:numPr>
        <w:spacing w:after="60" w:before="60"/>
      </w:pPr>
      <w:r>
        <w:rPr>
          <w:rFonts w:ascii="Arial" w:cs="Arial" w:eastAsia="Arial" w:hAnsi="Arial"/>
          <w:color w:val="222222"/>
          <w:sz w:val="22"/>
          <w:szCs w:val="22"/>
        </w:rPr>
        <w:t xml:space="preserve">They are at least 18 years of age, or the legal age of majority in their jurisdiction, whichever is higher.</w:t>
      </w:r>
    </w:p>
    <w:p>
      <w:pPr>
        <w:pStyle w:val="ListParagraph"/>
        <w:numPr>
          <w:ilvl w:val="0"/>
          <w:numId w:val="2"/>
        </w:numPr>
        <w:spacing w:after="60" w:before="60"/>
      </w:pPr>
      <w:r>
        <w:rPr>
          <w:rFonts w:ascii="Arial" w:cs="Arial" w:eastAsia="Arial" w:hAnsi="Arial"/>
          <w:color w:val="222222"/>
          <w:sz w:val="22"/>
          <w:szCs w:val="22"/>
        </w:rPr>
        <w:t xml:space="preserve">They are not located in, a resident of, or a national of any Restricted Jurisdiction (see Appendix A).</w:t>
      </w:r>
    </w:p>
    <w:p>
      <w:pPr>
        <w:pStyle w:val="ListParagraph"/>
        <w:numPr>
          <w:ilvl w:val="0"/>
          <w:numId w:val="2"/>
        </w:numPr>
        <w:spacing w:after="60" w:before="60"/>
      </w:pPr>
      <w:r>
        <w:rPr>
          <w:rFonts w:ascii="Arial" w:cs="Arial" w:eastAsia="Arial" w:hAnsi="Arial"/>
          <w:color w:val="222222"/>
          <w:sz w:val="22"/>
          <w:szCs w:val="22"/>
        </w:rPr>
        <w:t xml:space="preserve">They are not subject to sanctions by OFAC, the UN Security Council, the EU, or any other applicable authority.</w:t>
      </w:r>
    </w:p>
    <w:p>
      <w:pPr>
        <w:pStyle w:val="ListParagraph"/>
        <w:numPr>
          <w:ilvl w:val="0"/>
          <w:numId w:val="2"/>
        </w:numPr>
        <w:spacing w:after="60" w:before="60"/>
      </w:pPr>
      <w:r>
        <w:rPr>
          <w:rFonts w:ascii="Arial" w:cs="Arial" w:eastAsia="Arial" w:hAnsi="Arial"/>
          <w:color w:val="222222"/>
          <w:sz w:val="22"/>
          <w:szCs w:val="22"/>
        </w:rPr>
        <w:t xml:space="preserve">They are accessing Arena for personal entertainment purposes only, not on behalf of a business or third party.</w:t>
      </w:r>
    </w:p>
    <w:p>
      <w:pPr>
        <w:pStyle w:val="ListParagraph"/>
        <w:numPr>
          <w:ilvl w:val="0"/>
          <w:numId w:val="2"/>
        </w:numPr>
        <w:spacing w:after="60" w:before="60"/>
      </w:pPr>
      <w:r>
        <w:rPr>
          <w:rFonts w:ascii="Arial" w:cs="Arial" w:eastAsia="Arial" w:hAnsi="Arial"/>
          <w:color w:val="222222"/>
          <w:sz w:val="22"/>
          <w:szCs w:val="22"/>
        </w:rPr>
        <w:t xml:space="preserve">Their participation in wagering activities is legal under all applicable laws in their jurisdiction.</w:t>
      </w:r>
    </w:p>
    <w:p>
      <w:pPr>
        <w:pStyle w:val="ListParagraph"/>
        <w:numPr>
          <w:ilvl w:val="0"/>
          <w:numId w:val="2"/>
        </w:numPr>
        <w:spacing w:after="60" w:before="60"/>
      </w:pPr>
      <w:r>
        <w:rPr>
          <w:rFonts w:ascii="Arial" w:cs="Arial" w:eastAsia="Arial" w:hAnsi="Arial"/>
          <w:color w:val="222222"/>
          <w:sz w:val="22"/>
          <w:szCs w:val="22"/>
        </w:rPr>
        <w:t xml:space="preserve">They have not been excluded from Arena or any other gambling platform under a self-exclusion program.</w:t>
      </w:r>
    </w:p>
    <w:p>
      <w:pPr>
        <w:spacing w:after="0" w:before="80"/>
      </w:pPr>
      <w:r>
        <w:t xml:space="preserve"/>
      </w:r>
    </w:p>
    <w:p>
      <w:pPr>
        <w:spacing w:after="80" w:before="80"/>
      </w:pPr>
      <w:r>
        <w:rPr>
          <w:rFonts w:ascii="Arial" w:cs="Arial" w:eastAsia="Arial" w:hAnsi="Arial"/>
          <w:color w:val="222222"/>
          <w:sz w:val="22"/>
          <w:szCs w:val="22"/>
        </w:rPr>
        <w:t xml:space="preserve">Arena reserves the right to request documentation substantiating any of the above representations at any time. Failure to provide requested documentation may result in account suspension and wager hold.</w:t>
      </w:r>
    </w:p>
    <w:p>
      <w:pPr>
        <w:spacing w:after="0" w:before="120"/>
      </w:pPr>
      <w:r>
        <w:t xml:space="preserve"/>
      </w:r>
    </w:p>
    <w:p>
      <w:pPr>
        <w:pStyle w:val="Heading3"/>
        <w:spacing w:after="80" w:before="220"/>
      </w:pPr>
      <w:r>
        <w:rPr>
          <w:rFonts w:ascii="Arial" w:cs="Arial" w:eastAsia="Arial" w:hAnsi="Arial"/>
          <w:b/>
          <w:bCs/>
          <w:color w:val="2E2E4E"/>
          <w:sz w:val="23"/>
          <w:szCs w:val="23"/>
        </w:rPr>
        <w:t xml:space="preserve">1.3  Age Verification</w:t>
      </w:r>
    </w:p>
    <w:p>
      <w:pPr>
        <w:spacing w:after="80" w:before="80"/>
      </w:pPr>
      <w:r>
        <w:rPr>
          <w:rFonts w:ascii="Arial" w:cs="Arial" w:eastAsia="Arial" w:hAnsi="Arial"/>
          <w:color w:val="222222"/>
          <w:sz w:val="22"/>
          <w:szCs w:val="22"/>
        </w:rPr>
        <w:t xml:space="preserve">Arena does not currently operate a formal age verification system. Users self-certify their age at wallet connection. Arena will implement technical age verification controls if required by the operating jurisdiction's licensing conditions. [LEGAL REVIEW: whether self-certification is sufficient in the operating jurisdiction or whether technical verification is mandated.]</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Section 2 — The Service</w:t>
      </w:r>
    </w:p>
    <w:p>
      <w:pPr>
        <w:pStyle w:val="Heading3"/>
        <w:spacing w:after="80" w:before="220"/>
      </w:pPr>
      <w:r>
        <w:rPr>
          <w:rFonts w:ascii="Arial" w:cs="Arial" w:eastAsia="Arial" w:hAnsi="Arial"/>
          <w:b/>
          <w:bCs/>
          <w:color w:val="2E2E4E"/>
          <w:sz w:val="23"/>
          <w:szCs w:val="23"/>
        </w:rPr>
        <w:t xml:space="preserve">2.1  Nature of the Service</w:t>
      </w:r>
    </w:p>
    <w:p>
      <w:pPr>
        <w:spacing w:after="80" w:before="80"/>
      </w:pPr>
      <w:r>
        <w:rPr>
          <w:rFonts w:ascii="Arial" w:cs="Arial" w:eastAsia="Arial" w:hAnsi="Arial"/>
          <w:color w:val="222222"/>
          <w:sz w:val="22"/>
          <w:szCs w:val="22"/>
        </w:rPr>
        <w:t xml:space="preserve">Arena is a peer-to-peer wagering platform in which two users agree to stake cryptocurrency on the outcome of a simulated combat sequence. The outcome of each fight is determined by a provably fair pseudorandom algorithm seeded at the time both wagers are confirmed on-chain. Arena does not take a position in any fight — it operates solely as the infrastructure facilitating the wager and does not influence fight outcomes.</w:t>
      </w:r>
    </w:p>
    <w:p>
      <w:pPr>
        <w:spacing w:after="0" w:before="80"/>
      </w:pPr>
      <w:r>
        <w:t xml:space="preserve"/>
      </w:r>
    </w:p>
    <w:p>
      <w:pPr>
        <w:pStyle w:val="Heading3"/>
        <w:spacing w:after="80" w:before="220"/>
      </w:pPr>
      <w:r>
        <w:rPr>
          <w:rFonts w:ascii="Arial" w:cs="Arial" w:eastAsia="Arial" w:hAnsi="Arial"/>
          <w:b/>
          <w:bCs/>
          <w:color w:val="2E2E4E"/>
          <w:sz w:val="23"/>
          <w:szCs w:val="23"/>
        </w:rPr>
        <w:t xml:space="preserve">2.2  Provably Fair Mechanism</w:t>
      </w:r>
    </w:p>
    <w:p>
      <w:pPr>
        <w:spacing w:after="80" w:before="80"/>
      </w:pPr>
      <w:r>
        <w:rPr>
          <w:rFonts w:ascii="Arial" w:cs="Arial" w:eastAsia="Arial" w:hAnsi="Arial"/>
          <w:color w:val="222222"/>
          <w:sz w:val="22"/>
          <w:szCs w:val="22"/>
        </w:rPr>
        <w:t xml:space="preserve">All fight outcomes are determined by a commit-reveal randomness scheme. The fight seed is committed to the Solana blockchain before any fight animation is displayed to either player. Both players may independently verify the fight outcome by re-running the published seed through the open-source fight simulation algorithm. The committed seed is cryptographically binding — neither Arena nor any third party can alter the outcome after seed commitment.</w:t>
      </w:r>
    </w:p>
    <w:p>
      <w:pPr>
        <w:spacing w:after="0" w:before="80"/>
      </w:pPr>
      <w:r>
        <w:t xml:space="preserve"/>
      </w:r>
    </w:p>
    <w:p>
      <w:pPr>
        <w:pStyle w:val="Heading3"/>
        <w:spacing w:after="80" w:before="220"/>
      </w:pPr>
      <w:r>
        <w:rPr>
          <w:rFonts w:ascii="Arial" w:cs="Arial" w:eastAsia="Arial" w:hAnsi="Arial"/>
          <w:b/>
          <w:bCs/>
          <w:color w:val="2E2E4E"/>
          <w:sz w:val="23"/>
          <w:szCs w:val="23"/>
        </w:rPr>
        <w:t xml:space="preserve">2.3  No Skill Component (V1)</w:t>
      </w:r>
    </w:p>
    <w:p>
      <w:pPr>
        <w:spacing w:after="80" w:before="80"/>
      </w:pPr>
      <w:r>
        <w:rPr>
          <w:rFonts w:ascii="Arial" w:cs="Arial" w:eastAsia="Arial" w:hAnsi="Arial"/>
          <w:color w:val="222222"/>
          <w:sz w:val="22"/>
          <w:szCs w:val="22"/>
        </w:rPr>
        <w:t xml:space="preserve">In its initial version, Arena fights involve no skill component. All combat parameters are identical for both players. Fight outcomes are determined entirely by the provably fair random algorithm. Users acknowledge this and accept that each fight is a game of chance with equal probability for each participant.</w:t>
      </w:r>
    </w:p>
    <w:p>
      <w:pPr>
        <w:spacing w:after="0" w:before="80"/>
      </w:pPr>
      <w:r>
        <w:t xml:space="preserve"/>
      </w:r>
    </w:p>
    <w:p>
      <w:pPr>
        <w:pStyle w:val="Heading3"/>
        <w:spacing w:after="80" w:before="220"/>
      </w:pPr>
      <w:r>
        <w:rPr>
          <w:rFonts w:ascii="Arial" w:cs="Arial" w:eastAsia="Arial" w:hAnsi="Arial"/>
          <w:b/>
          <w:bCs/>
          <w:color w:val="2E2E4E"/>
          <w:sz w:val="23"/>
          <w:szCs w:val="23"/>
        </w:rPr>
        <w:t xml:space="preserve">2.4  Protocol Fee</w:t>
      </w:r>
    </w:p>
    <w:p>
      <w:pPr>
        <w:spacing w:after="80" w:before="80"/>
      </w:pPr>
      <w:r>
        <w:rPr>
          <w:rFonts w:ascii="Arial" w:cs="Arial" w:eastAsia="Arial" w:hAnsi="Arial"/>
          <w:color w:val="222222"/>
          <w:sz w:val="22"/>
          <w:szCs w:val="22"/>
        </w:rPr>
        <w:t xml:space="preserve">Arena retains a protocol fee on every completed fight. The fee is deducted from the total pot before distribution to the winning player. The fee percentage is displayed to both players at challenge acceptance and is fixed for the duration of that fight. Arena reserves the right to adjust the fee for future fights with notice. [LEGAL REVIEW: required notice period for fee changes in operating jurisdiction.]</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Section 3 — Wagers, Escrow &amp; Settlement</w:t>
      </w:r>
    </w:p>
    <w:p>
      <w:pPr>
        <w:pStyle w:val="Heading3"/>
        <w:spacing w:after="80" w:before="220"/>
      </w:pPr>
      <w:r>
        <w:rPr>
          <w:rFonts w:ascii="Arial" w:cs="Arial" w:eastAsia="Arial" w:hAnsi="Arial"/>
          <w:b/>
          <w:bCs/>
          <w:color w:val="2E2E4E"/>
          <w:sz w:val="23"/>
          <w:szCs w:val="23"/>
        </w:rPr>
        <w:t xml:space="preserve">3.1  Wager Confirmation</w:t>
      </w:r>
    </w:p>
    <w:p>
      <w:pPr>
        <w:spacing w:after="80" w:before="80"/>
      </w:pPr>
      <w:r>
        <w:rPr>
          <w:rFonts w:ascii="Arial" w:cs="Arial" w:eastAsia="Arial" w:hAnsi="Arial"/>
          <w:color w:val="222222"/>
          <w:sz w:val="22"/>
          <w:szCs w:val="22"/>
        </w:rPr>
        <w:t xml:space="preserve">A wager is confirmed when both players' stake amounts are locked into the Arena escrow smart contract on the Solana blockchain. Once confirmed, a wager is irrevocable. Neither player may withdraw or cancel a wager after escrow confirmation. Users are responsible for ensuring they intend to wager the displayed amount before confirming the on-chain transaction.</w:t>
      </w:r>
    </w:p>
    <w:p>
      <w:pPr>
        <w:spacing w:after="0" w:before="80"/>
      </w:pPr>
      <w:r>
        <w:t xml:space="preserve"/>
      </w:r>
    </w:p>
    <w:p>
      <w:pPr>
        <w:pStyle w:val="Heading3"/>
        <w:spacing w:after="80" w:before="220"/>
      </w:pPr>
      <w:r>
        <w:rPr>
          <w:rFonts w:ascii="Arial" w:cs="Arial" w:eastAsia="Arial" w:hAnsi="Arial"/>
          <w:b/>
          <w:bCs/>
          <w:color w:val="2E2E4E"/>
          <w:sz w:val="23"/>
          <w:szCs w:val="23"/>
        </w:rPr>
        <w:t xml:space="preserve">3.2  Smart Contract Finality</w:t>
      </w:r>
    </w:p>
    <w:p>
      <w:pPr>
        <w:spacing w:after="80" w:before="80"/>
      </w:pPr>
      <w:r>
        <w:rPr>
          <w:rFonts w:ascii="Arial" w:cs="Arial" w:eastAsia="Arial" w:hAnsi="Arial"/>
          <w:color w:val="222222"/>
          <w:sz w:val="22"/>
          <w:szCs w:val="22"/>
        </w:rPr>
        <w:t xml:space="preserve">Fight settlement is executed by an immutable smart contract on the Solana blockchain. Settlement is final and irreversible once executed. Arena does not have the ability to reverse, modify, or override a smart contract settlement. By participating, users acknowledge that blockchain transactions are irreversible and that Arena cannot remedy user errors such as incorrect wager amounts or unintended confirmations.</w:t>
      </w:r>
    </w:p>
    <w:p>
      <w:pPr>
        <w:spacing w:after="0" w:before="80"/>
      </w:pPr>
      <w:r>
        <w:t xml:space="preserve"/>
      </w:r>
    </w:p>
    <w:p>
      <w:pPr>
        <w:pStyle w:val="Heading3"/>
        <w:spacing w:after="80" w:before="220"/>
      </w:pPr>
      <w:r>
        <w:rPr>
          <w:rFonts w:ascii="Arial" w:cs="Arial" w:eastAsia="Arial" w:hAnsi="Arial"/>
          <w:b/>
          <w:bCs/>
          <w:color w:val="2E2E4E"/>
          <w:sz w:val="23"/>
          <w:szCs w:val="23"/>
        </w:rPr>
        <w:t xml:space="preserve">3.3  Payout</w:t>
      </w:r>
    </w:p>
    <w:p>
      <w:pPr>
        <w:spacing w:after="80" w:before="80"/>
      </w:pPr>
      <w:r>
        <w:rPr>
          <w:rFonts w:ascii="Arial" w:cs="Arial" w:eastAsia="Arial" w:hAnsi="Arial"/>
          <w:color w:val="222222"/>
          <w:sz w:val="22"/>
          <w:szCs w:val="22"/>
        </w:rPr>
        <w:t xml:space="preserve">The winning player receives the total pot minus the protocol fee, paid directly to their connected wallet address by the settlement smart contract. Payout occurs automatically upon fight completion. Arena does not hold funds on behalf of users beyond the duration of a single fight's escrow period.</w:t>
      </w:r>
    </w:p>
    <w:p>
      <w:pPr>
        <w:spacing w:after="0" w:before="80"/>
      </w:pPr>
      <w:r>
        <w:t xml:space="preserve"/>
      </w:r>
    </w:p>
    <w:p>
      <w:pPr>
        <w:pStyle w:val="Heading3"/>
        <w:spacing w:after="80" w:before="220"/>
      </w:pPr>
      <w:r>
        <w:rPr>
          <w:rFonts w:ascii="Arial" w:cs="Arial" w:eastAsia="Arial" w:hAnsi="Arial"/>
          <w:b/>
          <w:bCs/>
          <w:color w:val="2E2E4E"/>
          <w:sz w:val="23"/>
          <w:szCs w:val="23"/>
        </w:rPr>
        <w:t xml:space="preserve">3.4  Disputed Outcomes</w:t>
      </w:r>
    </w:p>
    <w:p>
      <w:pPr>
        <w:spacing w:after="80" w:before="80"/>
      </w:pPr>
      <w:r>
        <w:rPr>
          <w:rFonts w:ascii="Arial" w:cs="Arial" w:eastAsia="Arial" w:hAnsi="Arial"/>
          <w:color w:val="222222"/>
          <w:sz w:val="22"/>
          <w:szCs w:val="22"/>
        </w:rPr>
        <w:t xml:space="preserve">Given the provably fair architecture, the fight outcome is independently verifiable by both parties. Arena will not reverse a fight outcome on the basis of a player's disagreement with the result. Users may submit a dispute only on the following grounds: (a) a technical failure prevented the fight from completing and funds remain in escrow; or (b) the published fight seed does not produce the displayed fight outcome upon independent verification. [LEGAL REVIEW: dispute resolution procedure and binding arbitration clause.]</w:t>
      </w:r>
    </w:p>
    <w:p>
      <w:pPr>
        <w:spacing w:after="0" w:before="80"/>
      </w:pPr>
      <w:r>
        <w:t xml:space="preserve"/>
      </w:r>
    </w:p>
    <w:p>
      <w:pPr>
        <w:pStyle w:val="Heading3"/>
        <w:spacing w:after="80" w:before="220"/>
      </w:pPr>
      <w:r>
        <w:rPr>
          <w:rFonts w:ascii="Arial" w:cs="Arial" w:eastAsia="Arial" w:hAnsi="Arial"/>
          <w:b/>
          <w:bCs/>
          <w:color w:val="2E2E4E"/>
          <w:sz w:val="23"/>
          <w:szCs w:val="23"/>
        </w:rPr>
        <w:t xml:space="preserve">3.5  Uncompleted Fights</w:t>
      </w:r>
    </w:p>
    <w:p>
      <w:pPr>
        <w:spacing w:after="80" w:before="80"/>
      </w:pPr>
      <w:r>
        <w:rPr>
          <w:rFonts w:ascii="Arial" w:cs="Arial" w:eastAsia="Arial" w:hAnsi="Arial"/>
          <w:color w:val="222222"/>
          <w:sz w:val="22"/>
          <w:szCs w:val="22"/>
        </w:rPr>
        <w:t xml:space="preserve">If a fight fails to complete due to a technical error on Arena's infrastructure (not attributable to the user's connection or wallet), both players' wagers will be returned in full from escrow. The protocol fee will not be charged on incomplete fights. Arena's determination of infrastructure fault is final. [LEGAL REVIEW: force majeure and blockchain outage provisions.]</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Section 4 — Prohibited Conduct</w:t>
      </w:r>
    </w:p>
    <w:p>
      <w:pPr>
        <w:pStyle w:val="Heading3"/>
        <w:spacing w:after="80" w:before="220"/>
      </w:pPr>
      <w:r>
        <w:rPr>
          <w:rFonts w:ascii="Arial" w:cs="Arial" w:eastAsia="Arial" w:hAnsi="Arial"/>
          <w:b/>
          <w:bCs/>
          <w:color w:val="2E2E4E"/>
          <w:sz w:val="23"/>
          <w:szCs w:val="23"/>
        </w:rPr>
        <w:t xml:space="preserve">4.1  Prohibited Activities</w:t>
      </w:r>
    </w:p>
    <w:p>
      <w:pPr>
        <w:spacing w:after="80" w:before="80"/>
      </w:pPr>
      <w:r>
        <w:rPr>
          <w:rFonts w:ascii="Arial" w:cs="Arial" w:eastAsia="Arial" w:hAnsi="Arial"/>
          <w:color w:val="222222"/>
          <w:sz w:val="22"/>
          <w:szCs w:val="22"/>
        </w:rPr>
        <w:t xml:space="preserve">The following activities are strictly prohibited and will result in permanent wallet blacklisting, forfeiture of funds in escrow, and referral to law enforcement where applicable:</w:t>
      </w:r>
    </w:p>
    <w:p>
      <w:pPr>
        <w:pStyle w:val="ListParagraph"/>
        <w:numPr>
          <w:ilvl w:val="0"/>
          <w:numId w:val="2"/>
        </w:numPr>
        <w:spacing w:after="60" w:before="60"/>
      </w:pPr>
      <w:r>
        <w:rPr>
          <w:rFonts w:ascii="Arial" w:cs="Arial" w:eastAsia="Arial" w:hAnsi="Arial"/>
          <w:color w:val="222222"/>
          <w:sz w:val="22"/>
          <w:szCs w:val="22"/>
        </w:rPr>
        <w:t xml:space="preserve">Collusion — coordinating with an opponent to predetermine fight outcomes or transfer funds under the guise of wagering.</w:t>
      </w:r>
    </w:p>
    <w:p>
      <w:pPr>
        <w:pStyle w:val="ListParagraph"/>
        <w:numPr>
          <w:ilvl w:val="0"/>
          <w:numId w:val="2"/>
        </w:numPr>
        <w:spacing w:after="60" w:before="60"/>
      </w:pPr>
      <w:r>
        <w:rPr>
          <w:rFonts w:ascii="Arial" w:cs="Arial" w:eastAsia="Arial" w:hAnsi="Arial"/>
          <w:color w:val="222222"/>
          <w:sz w:val="22"/>
          <w:szCs w:val="22"/>
        </w:rPr>
        <w:t xml:space="preserve">Wash trading — fighting against wallets under your own control or control of associated parties to generate artificial volume or extract funds.</w:t>
      </w:r>
    </w:p>
    <w:p>
      <w:pPr>
        <w:pStyle w:val="ListParagraph"/>
        <w:numPr>
          <w:ilvl w:val="0"/>
          <w:numId w:val="2"/>
        </w:numPr>
        <w:spacing w:after="60" w:before="60"/>
      </w:pPr>
      <w:r>
        <w:rPr>
          <w:rFonts w:ascii="Arial" w:cs="Arial" w:eastAsia="Arial" w:hAnsi="Arial"/>
          <w:color w:val="222222"/>
          <w:sz w:val="22"/>
          <w:szCs w:val="22"/>
        </w:rPr>
        <w:t xml:space="preserve">Money laundering — using Arena to layer, place, or integrate proceeds of criminal activity.</w:t>
      </w:r>
    </w:p>
    <w:p>
      <w:pPr>
        <w:pStyle w:val="ListParagraph"/>
        <w:numPr>
          <w:ilvl w:val="0"/>
          <w:numId w:val="2"/>
        </w:numPr>
        <w:spacing w:after="60" w:before="60"/>
      </w:pPr>
      <w:r>
        <w:rPr>
          <w:rFonts w:ascii="Arial" w:cs="Arial" w:eastAsia="Arial" w:hAnsi="Arial"/>
          <w:color w:val="222222"/>
          <w:sz w:val="22"/>
          <w:szCs w:val="22"/>
        </w:rPr>
        <w:t xml:space="preserve">Sanctions evasion — accessing Arena from a Restricted Jurisdiction or on behalf of a sanctioned person or entity.</w:t>
      </w:r>
    </w:p>
    <w:p>
      <w:pPr>
        <w:pStyle w:val="ListParagraph"/>
        <w:numPr>
          <w:ilvl w:val="0"/>
          <w:numId w:val="2"/>
        </w:numPr>
        <w:spacing w:after="60" w:before="60"/>
      </w:pPr>
      <w:r>
        <w:rPr>
          <w:rFonts w:ascii="Arial" w:cs="Arial" w:eastAsia="Arial" w:hAnsi="Arial"/>
          <w:color w:val="222222"/>
          <w:sz w:val="22"/>
          <w:szCs w:val="22"/>
        </w:rPr>
        <w:t xml:space="preserve">Bot operation — using automated scripts or bots to issue or accept challenges without genuine human intent to wager.</w:t>
      </w:r>
    </w:p>
    <w:p>
      <w:pPr>
        <w:pStyle w:val="ListParagraph"/>
        <w:numPr>
          <w:ilvl w:val="0"/>
          <w:numId w:val="2"/>
        </w:numPr>
        <w:spacing w:after="60" w:before="60"/>
      </w:pPr>
      <w:r>
        <w:rPr>
          <w:rFonts w:ascii="Arial" w:cs="Arial" w:eastAsia="Arial" w:hAnsi="Arial"/>
          <w:color w:val="222222"/>
          <w:sz w:val="22"/>
          <w:szCs w:val="22"/>
        </w:rPr>
        <w:t xml:space="preserve">Exploitation — attempting to exploit smart contract vulnerabilities, front-run fight seeds, or manipulate the provably fair mechanism.</w:t>
      </w:r>
    </w:p>
    <w:p>
      <w:pPr>
        <w:pStyle w:val="ListParagraph"/>
        <w:numPr>
          <w:ilvl w:val="0"/>
          <w:numId w:val="2"/>
        </w:numPr>
        <w:spacing w:after="60" w:before="60"/>
      </w:pPr>
      <w:r>
        <w:rPr>
          <w:rFonts w:ascii="Arial" w:cs="Arial" w:eastAsia="Arial" w:hAnsi="Arial"/>
          <w:color w:val="222222"/>
          <w:sz w:val="22"/>
          <w:szCs w:val="22"/>
        </w:rPr>
        <w:t xml:space="preserve">Circumventing geo-blocks — using VPNs, proxies, or other technical means to access Arena from a Restricted Jurisdiction.</w:t>
      </w:r>
    </w:p>
    <w:p>
      <w:pPr>
        <w:pStyle w:val="ListParagraph"/>
        <w:numPr>
          <w:ilvl w:val="0"/>
          <w:numId w:val="2"/>
        </w:numPr>
        <w:spacing w:after="60" w:before="60"/>
      </w:pPr>
      <w:r>
        <w:rPr>
          <w:rFonts w:ascii="Arial" w:cs="Arial" w:eastAsia="Arial" w:hAnsi="Arial"/>
          <w:color w:val="222222"/>
          <w:sz w:val="22"/>
          <w:szCs w:val="22"/>
        </w:rPr>
        <w:t xml:space="preserve">Identity misrepresentation — providing false information in response to any verification request.</w:t>
      </w:r>
    </w:p>
    <w:p>
      <w:pPr>
        <w:spacing w:after="0" w:before="120"/>
      </w:pPr>
      <w:r>
        <w:t xml:space="preserve"/>
      </w:r>
    </w:p>
    <w:p>
      <w:pPr>
        <w:pStyle w:val="Heading3"/>
        <w:spacing w:after="80" w:before="220"/>
      </w:pPr>
      <w:r>
        <w:rPr>
          <w:rFonts w:ascii="Arial" w:cs="Arial" w:eastAsia="Arial" w:hAnsi="Arial"/>
          <w:b/>
          <w:bCs/>
          <w:color w:val="2E2E4E"/>
          <w:sz w:val="23"/>
          <w:szCs w:val="23"/>
        </w:rPr>
        <w:t xml:space="preserve">4.2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Violation</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Consequence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First confirmed violation</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Permanent wallet blacklist. Escrow funds held pending review. Incident reported to compliance officer.</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Sanctions / money laundering</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Immediate block, funds frozen, mandatory SAR filing, law enforcement referral.</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Geo-block circumvention</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Immediate block. No fund recovery. User assumes all legal liability for their access.</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Bot operation</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Wallet blacklist. Fights involving the bot wallet reviewed for reversal where technically possible.</w:t>
            </w:r>
          </w:p>
        </w:tc>
      </w:tr>
    </w:tbl>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Section 5 — Responsible Gambling</w:t>
      </w:r>
    </w:p>
    <w:p>
      <w:pPr>
        <w:pStyle w:val="Heading3"/>
        <w:spacing w:after="80" w:before="220"/>
      </w:pPr>
      <w:r>
        <w:rPr>
          <w:rFonts w:ascii="Arial" w:cs="Arial" w:eastAsia="Arial" w:hAnsi="Arial"/>
          <w:b/>
          <w:bCs/>
          <w:color w:val="2E2E4E"/>
          <w:sz w:val="23"/>
          <w:szCs w:val="23"/>
        </w:rPr>
        <w:t xml:space="preserve">5.1  Acknowledgment of Risk</w:t>
      </w:r>
    </w:p>
    <w:p>
      <w:pPr>
        <w:spacing w:after="80" w:before="80"/>
      </w:pPr>
      <w:r>
        <w:rPr>
          <w:rFonts w:ascii="Arial" w:cs="Arial" w:eastAsia="Arial" w:hAnsi="Arial"/>
          <w:color w:val="222222"/>
          <w:sz w:val="22"/>
          <w:szCs w:val="22"/>
        </w:rPr>
        <w:t xml:space="preserve">Users acknowledge that wagering on Arena involves financial risk. Users may lose their entire wager on any fight. Past fight results do not predict or influence future outcomes. Each fight is an independent, 50/50 probability event. No strategy, system, or pattern of play can improve a user's expected outcome.</w:t>
      </w:r>
    </w:p>
    <w:p>
      <w:pPr>
        <w:spacing w:after="0" w:before="80"/>
      </w:pPr>
      <w:r>
        <w:t xml:space="preserve"/>
      </w:r>
    </w:p>
    <w:p>
      <w:pPr>
        <w:pStyle w:val="Heading3"/>
        <w:spacing w:after="80" w:before="220"/>
      </w:pPr>
      <w:r>
        <w:rPr>
          <w:rFonts w:ascii="Arial" w:cs="Arial" w:eastAsia="Arial" w:hAnsi="Arial"/>
          <w:b/>
          <w:bCs/>
          <w:color w:val="2E2E4E"/>
          <w:sz w:val="23"/>
          <w:szCs w:val="23"/>
        </w:rPr>
        <w:t xml:space="preserve">5.2  Self-Exclusion</w:t>
      </w:r>
    </w:p>
    <w:p>
      <w:pPr>
        <w:spacing w:after="80" w:before="80"/>
      </w:pPr>
      <w:r>
        <w:rPr>
          <w:rFonts w:ascii="Arial" w:cs="Arial" w:eastAsia="Arial" w:hAnsi="Arial"/>
          <w:color w:val="222222"/>
          <w:sz w:val="22"/>
          <w:szCs w:val="22"/>
        </w:rPr>
        <w:t xml:space="preserve">Users who wish to restrict their own access to Arena may submit a self-exclusion request by [mechanism TBD — email to compliance address / on-site form]. Self-exclusion is processed within 24 hours. Self-excluded wallets are blacklisted from wagering for the elected exclusion period. Self-exclusion cannot be reversed during the elected period. [LEGAL REVIEW: mandatory self-exclusion periods and cooling-off requirements by jurisdiction.]</w:t>
      </w:r>
    </w:p>
    <w:p>
      <w:pPr>
        <w:spacing w:after="0" w:before="80"/>
      </w:pPr>
      <w:r>
        <w:t xml:space="preserve"/>
      </w:r>
    </w:p>
    <w:p>
      <w:pPr>
        <w:pStyle w:val="Heading3"/>
        <w:spacing w:after="80" w:before="220"/>
      </w:pPr>
      <w:r>
        <w:rPr>
          <w:rFonts w:ascii="Arial" w:cs="Arial" w:eastAsia="Arial" w:hAnsi="Arial"/>
          <w:b/>
          <w:bCs/>
          <w:color w:val="2E2E4E"/>
          <w:sz w:val="23"/>
          <w:szCs w:val="23"/>
        </w:rPr>
        <w:t xml:space="preserve">5.3  Responsible Gambling Resources</w:t>
      </w:r>
    </w:p>
    <w:p>
      <w:pPr>
        <w:spacing w:after="80" w:before="80"/>
      </w:pPr>
      <w:r>
        <w:rPr>
          <w:rFonts w:ascii="Arial" w:cs="Arial" w:eastAsia="Arial" w:hAnsi="Arial"/>
          <w:color w:val="222222"/>
          <w:sz w:val="22"/>
          <w:szCs w:val="22"/>
        </w:rPr>
        <w:t xml:space="preserve">Arena displays responsible gambling messaging at the wager confirmation step. The following resources are available to users who may be experiencing gambling-related harm:</w:t>
      </w:r>
    </w:p>
    <w:p>
      <w:pPr>
        <w:pStyle w:val="ListParagraph"/>
        <w:numPr>
          <w:ilvl w:val="0"/>
          <w:numId w:val="2"/>
        </w:numPr>
        <w:spacing w:after="60" w:before="60"/>
      </w:pPr>
      <w:r>
        <w:rPr>
          <w:rFonts w:ascii="Arial" w:cs="Arial" w:eastAsia="Arial" w:hAnsi="Arial"/>
          <w:color w:val="222222"/>
          <w:sz w:val="22"/>
          <w:szCs w:val="22"/>
        </w:rPr>
        <w:t xml:space="preserve">National Council on Problem Gambling (US): 1-800-522-4700 / ncpgambling.org</w:t>
      </w:r>
    </w:p>
    <w:p>
      <w:pPr>
        <w:pStyle w:val="ListParagraph"/>
        <w:numPr>
          <w:ilvl w:val="0"/>
          <w:numId w:val="2"/>
        </w:numPr>
        <w:spacing w:after="60" w:before="60"/>
      </w:pPr>
      <w:r>
        <w:rPr>
          <w:rFonts w:ascii="Arial" w:cs="Arial" w:eastAsia="Arial" w:hAnsi="Arial"/>
          <w:color w:val="222222"/>
          <w:sz w:val="22"/>
          <w:szCs w:val="22"/>
        </w:rPr>
        <w:t xml:space="preserve">GamCare (UK): 0808 8020 133 / gamcare.org.uk</w:t>
      </w:r>
    </w:p>
    <w:p>
      <w:pPr>
        <w:pStyle w:val="ListParagraph"/>
        <w:numPr>
          <w:ilvl w:val="0"/>
          <w:numId w:val="2"/>
        </w:numPr>
        <w:spacing w:after="60" w:before="60"/>
      </w:pPr>
      <w:r>
        <w:rPr>
          <w:rFonts w:ascii="Arial" w:cs="Arial" w:eastAsia="Arial" w:hAnsi="Arial"/>
          <w:color w:val="222222"/>
          <w:sz w:val="22"/>
          <w:szCs w:val="22"/>
        </w:rPr>
        <w:t xml:space="preserve">Gamblers Anonymous: www.gamblersanonymous.org</w:t>
      </w:r>
    </w:p>
    <w:p>
      <w:pPr>
        <w:pStyle w:val="ListParagraph"/>
        <w:numPr>
          <w:ilvl w:val="0"/>
          <w:numId w:val="2"/>
        </w:numPr>
        <w:spacing w:after="60" w:before="60"/>
      </w:pPr>
      <w:r>
        <w:rPr>
          <w:rFonts w:ascii="Arial" w:cs="Arial" w:eastAsia="Arial" w:hAnsi="Arial"/>
          <w:color w:val="222222"/>
          <w:sz w:val="22"/>
          <w:szCs w:val="22"/>
        </w:rPr>
        <w:t xml:space="preserve">BeGambleAware: www.begambleaware.org</w:t>
      </w:r>
    </w:p>
    <w:p>
      <w:pPr>
        <w:spacing w:after="0" w:before="80"/>
      </w:pPr>
      <w:r>
        <w:t xml:space="preserve"/>
      </w:r>
    </w:p>
    <w:p>
      <w:pPr>
        <w:spacing w:after="80" w:before="80"/>
      </w:pPr>
      <w:r>
        <w:rPr>
          <w:rFonts w:ascii="Arial" w:cs="Arial" w:eastAsia="Arial" w:hAnsi="Arial"/>
          <w:color w:val="222222"/>
          <w:sz w:val="22"/>
          <w:szCs w:val="22"/>
        </w:rPr>
        <w:t xml:space="preserve">Arena will update this list to reflect resources appropriate to the jurisdictions from which users are permitted to access the platform. [LEGAL REVIEW: mandatory responsible gambling messaging requirements by jurisdiction.]</w:t>
      </w:r>
    </w:p>
    <w:p>
      <w:pPr>
        <w:spacing w:after="0" w:before="80"/>
      </w:pPr>
      <w:r>
        <w:t xml:space="preserve"/>
      </w:r>
    </w:p>
    <w:p>
      <w:pPr>
        <w:pStyle w:val="Heading3"/>
        <w:spacing w:after="80" w:before="220"/>
      </w:pPr>
      <w:r>
        <w:rPr>
          <w:rFonts w:ascii="Arial" w:cs="Arial" w:eastAsia="Arial" w:hAnsi="Arial"/>
          <w:b/>
          <w:bCs/>
          <w:color w:val="2E2E4E"/>
          <w:sz w:val="23"/>
          <w:szCs w:val="23"/>
        </w:rPr>
        <w:t xml:space="preserve">5.4  Deposit / Wager Limits</w:t>
      </w:r>
    </w:p>
    <w:p>
      <w:pPr>
        <w:spacing w:after="80" w:before="80"/>
      </w:pPr>
      <w:r>
        <w:rPr>
          <w:rFonts w:ascii="Arial" w:cs="Arial" w:eastAsia="Arial" w:hAnsi="Arial"/>
          <w:color w:val="222222"/>
          <w:sz w:val="22"/>
          <w:szCs w:val="22"/>
        </w:rPr>
        <w:t xml:space="preserve">[LEGAL REVIEW: whether the operating jurisdiction requires mandatory player-set deposit or wager limits, and if so, the mechanism and enforcement requirements. Recommended: offer voluntary wager limits as a product feature regardless of legal requirement — it is good practice and demonstrates responsible operation to regulators.]</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Section 6 — $ARENA Token</w:t>
      </w:r>
    </w:p>
    <w:p>
      <w:pPr>
        <w:pStyle w:val="Heading3"/>
        <w:spacing w:after="80" w:before="220"/>
      </w:pPr>
      <w:r>
        <w:rPr>
          <w:rFonts w:ascii="Arial" w:cs="Arial" w:eastAsia="Arial" w:hAnsi="Arial"/>
          <w:b/>
          <w:bCs/>
          <w:color w:val="2E2E4E"/>
          <w:sz w:val="23"/>
          <w:szCs w:val="23"/>
        </w:rPr>
        <w:t xml:space="preserve">6.1  Nature of the Token</w:t>
      </w:r>
    </w:p>
    <w:p>
      <w:pPr>
        <w:spacing w:after="80" w:before="80"/>
      </w:pPr>
      <w:r>
        <w:rPr>
          <w:rFonts w:ascii="Arial" w:cs="Arial" w:eastAsia="Arial" w:hAnsi="Arial"/>
          <w:color w:val="222222"/>
          <w:sz w:val="22"/>
          <w:szCs w:val="22"/>
        </w:rPr>
        <w:t xml:space="preserve">The $ARENA token is a utility token used within the Arena platform for cosmetic purchases and fee tier eligibility. $ARENA is not a wagering currency — it cannot be staked in fights and is not used to determine fight outcomes. $ARENA does not represent equity, debt, or any ownership interest in the Arena protocol or its operators.</w:t>
      </w:r>
    </w:p>
    <w:p>
      <w:pPr>
        <w:spacing w:after="0" w:before="80"/>
      </w:pPr>
      <w:r>
        <w:t xml:space="preserve"/>
      </w:r>
    </w:p>
    <w:p>
      <w:pPr>
        <w:pStyle w:val="Heading3"/>
        <w:spacing w:after="80" w:before="220"/>
      </w:pPr>
      <w:r>
        <w:rPr>
          <w:rFonts w:ascii="Arial" w:cs="Arial" w:eastAsia="Arial" w:hAnsi="Arial"/>
          <w:b/>
          <w:bCs/>
          <w:color w:val="2E2E4E"/>
          <w:sz w:val="23"/>
          <w:szCs w:val="23"/>
        </w:rPr>
        <w:t xml:space="preserve">6.2  Token Utility</w:t>
      </w:r>
    </w:p>
    <w:p>
      <w:pPr>
        <w:pStyle w:val="ListParagraph"/>
        <w:numPr>
          <w:ilvl w:val="0"/>
          <w:numId w:val="2"/>
        </w:numPr>
        <w:spacing w:after="60" w:before="60"/>
      </w:pPr>
      <w:r>
        <w:rPr>
          <w:rFonts w:ascii="Arial" w:cs="Arial" w:eastAsia="Arial" w:hAnsi="Arial"/>
          <w:color w:val="222222"/>
          <w:sz w:val="22"/>
          <w:szCs w:val="22"/>
        </w:rPr>
        <w:t xml:space="preserve">Cosmetic purchases: $ARENA tokens are burned (permanently removed from supply) upon purchase of in-game cosmetic items. The transaction is irreversible.</w:t>
      </w:r>
    </w:p>
    <w:p>
      <w:pPr>
        <w:pStyle w:val="ListParagraph"/>
        <w:numPr>
          <w:ilvl w:val="0"/>
          <w:numId w:val="2"/>
        </w:numPr>
        <w:spacing w:after="60" w:before="60"/>
      </w:pPr>
      <w:r>
        <w:rPr>
          <w:rFonts w:ascii="Arial" w:cs="Arial" w:eastAsia="Arial" w:hAnsi="Arial"/>
          <w:color w:val="222222"/>
          <w:sz w:val="22"/>
          <w:szCs w:val="22"/>
        </w:rPr>
        <w:t xml:space="preserve">Fee tiers: Holding $ARENA in a connected wallet at session initiation may qualify the user for a reduced protocol fee. The $ARENA is not spent or locked for this purpose — only the balance is checked. Threshold amounts and corresponding fee tiers are published in the platform documentation and may be updated with notice.</w:t>
      </w:r>
    </w:p>
    <w:p>
      <w:pPr>
        <w:pStyle w:val="ListParagraph"/>
        <w:numPr>
          <w:ilvl w:val="0"/>
          <w:numId w:val="2"/>
        </w:numPr>
        <w:spacing w:after="60" w:before="60"/>
      </w:pPr>
      <w:r>
        <w:rPr>
          <w:rFonts w:ascii="Arial" w:cs="Arial" w:eastAsia="Arial" w:hAnsi="Arial"/>
          <w:color w:val="222222"/>
          <w:sz w:val="22"/>
          <w:szCs w:val="22"/>
        </w:rPr>
        <w:t xml:space="preserve">$ARENA tokens are not redeemable for fiat currency through Arena. Secondary market trading is outside Arena's control and Arena makes no representation about the market value of $ARENA.</w:t>
      </w:r>
    </w:p>
    <w:p>
      <w:pPr>
        <w:spacing w:after="0" w:before="80"/>
      </w:pPr>
      <w:r>
        <w:t xml:space="preserve"/>
      </w:r>
    </w:p>
    <w:p>
      <w:pPr>
        <w:pStyle w:val="Heading3"/>
        <w:spacing w:after="80" w:before="220"/>
      </w:pPr>
      <w:r>
        <w:rPr>
          <w:rFonts w:ascii="Arial" w:cs="Arial" w:eastAsia="Arial" w:hAnsi="Arial"/>
          <w:b/>
          <w:bCs/>
          <w:color w:val="2E2E4E"/>
          <w:sz w:val="23"/>
          <w:szCs w:val="23"/>
        </w:rPr>
        <w:t xml:space="preserve">6.3  No Investment Representation</w:t>
      </w:r>
    </w:p>
    <w:p>
      <w:pPr>
        <w:spacing w:after="80" w:before="80"/>
      </w:pPr>
      <w:r>
        <w:rPr>
          <w:rFonts w:ascii="Arial" w:cs="Arial" w:eastAsia="Arial" w:hAnsi="Arial"/>
          <w:color w:val="222222"/>
          <w:sz w:val="22"/>
          <w:szCs w:val="22"/>
        </w:rPr>
        <w:t xml:space="preserve">Arena makes no representation that $ARENA will appreciate in value, generate returns, or provide any financial benefit beyond the in-platform utility described above. Purchasing or holding $ARENA is not an investment. Users should not acquire $ARENA with the expectation of profit. [LEGAL REVIEW: securities law analysis of $ARENA token in operating jurisdiction and any jurisdiction where tokens may be acquired.]</w:t>
      </w:r>
    </w:p>
    <w:p>
      <w:pPr>
        <w:spacing w:after="0" w:before="80"/>
      </w:pPr>
      <w:r>
        <w:t xml:space="preserve"/>
      </w:r>
    </w:p>
    <w:p>
      <w:pPr>
        <w:pStyle w:val="Heading3"/>
        <w:spacing w:after="80" w:before="220"/>
      </w:pPr>
      <w:r>
        <w:rPr>
          <w:rFonts w:ascii="Arial" w:cs="Arial" w:eastAsia="Arial" w:hAnsi="Arial"/>
          <w:b/>
          <w:bCs/>
          <w:color w:val="2E2E4E"/>
          <w:sz w:val="23"/>
          <w:szCs w:val="23"/>
        </w:rPr>
        <w:t xml:space="preserve">6.4  Revenue Accumulation Mechanism</w:t>
      </w:r>
    </w:p>
    <w:p>
      <w:pPr>
        <w:spacing w:after="80" w:before="80"/>
      </w:pPr>
      <w:r>
        <w:rPr>
          <w:rFonts w:ascii="Arial" w:cs="Arial" w:eastAsia="Arial" w:hAnsi="Arial"/>
          <w:color w:val="222222"/>
          <w:sz w:val="22"/>
          <w:szCs w:val="22"/>
        </w:rPr>
        <w:t xml:space="preserve">A portion of protocol fee revenue is directed to the $ARENA token ecosystem through a mechanism to be defined (buyback, treasury accumulation, or similar). The specific mechanism, percentage, and timing will be published in the Arena tokenomics documentation. This mechanism is subject to change by the protocol with notice. [LEGAL REVIEW: whether revenue accumulation to a token constitutes a security interest in the operating jurisdiction.]</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Section 7 — Disclaimers &amp; Limitation of Liability</w:t>
      </w:r>
    </w:p>
    <w:p>
      <w:pPr>
        <w:pStyle w:val="Heading3"/>
        <w:spacing w:after="80" w:before="220"/>
      </w:pPr>
      <w:r>
        <w:rPr>
          <w:rFonts w:ascii="Arial" w:cs="Arial" w:eastAsia="Arial" w:hAnsi="Arial"/>
          <w:b/>
          <w:bCs/>
          <w:color w:val="2E2E4E"/>
          <w:sz w:val="23"/>
          <w:szCs w:val="23"/>
        </w:rPr>
        <w:t xml:space="preserve">7.1  No Warranty</w:t>
      </w:r>
    </w:p>
    <w:p>
      <w:pPr>
        <w:spacing w:after="80" w:before="80"/>
      </w:pPr>
      <w:r>
        <w:rPr>
          <w:rFonts w:ascii="Arial" w:cs="Arial" w:eastAsia="Arial" w:hAnsi="Arial"/>
          <w:color w:val="222222"/>
          <w:sz w:val="22"/>
          <w:szCs w:val="22"/>
        </w:rPr>
        <w:t xml:space="preserve">Arena is provided on an 'as is' and 'as available' basis. Arena makes no warranty, express or implied, that the platform will be available without interruption, free from errors, or that all fights will complete successfully. Blockchain network congestion, smart contract bugs, or third-party infrastructure failures may affect platform availability and Arena makes no guarantee against such events.</w:t>
      </w:r>
    </w:p>
    <w:p>
      <w:pPr>
        <w:spacing w:after="0" w:before="80"/>
      </w:pPr>
      <w:r>
        <w:t xml:space="preserve"/>
      </w:r>
    </w:p>
    <w:p>
      <w:pPr>
        <w:pStyle w:val="Heading3"/>
        <w:spacing w:after="80" w:before="220"/>
      </w:pPr>
      <w:r>
        <w:rPr>
          <w:rFonts w:ascii="Arial" w:cs="Arial" w:eastAsia="Arial" w:hAnsi="Arial"/>
          <w:b/>
          <w:bCs/>
          <w:color w:val="2E2E4E"/>
          <w:sz w:val="23"/>
          <w:szCs w:val="23"/>
        </w:rPr>
        <w:t xml:space="preserve">7.2  Limitation of Liability</w:t>
      </w:r>
    </w:p>
    <w:p>
      <w:pPr>
        <w:spacing w:after="80" w:before="80"/>
      </w:pPr>
      <w:r>
        <w:rPr>
          <w:rFonts w:ascii="Arial" w:cs="Arial" w:eastAsia="Arial" w:hAnsi="Arial"/>
          <w:color w:val="222222"/>
          <w:sz w:val="22"/>
          <w:szCs w:val="22"/>
        </w:rPr>
        <w:t xml:space="preserve">[LEGAL REVIEW: jurisdiction-specific limitation of liability language. Core intent: Arena's aggregate liability to any user for any claim arising from platform use is capped at the amount of protocol fees paid by that user in the 30 days preceding the claim. Arena is not liable for consequential, indirect, or punitive damages. Arena is not liable for losses arising from user error, wallet compromise, or third-party service failure.]</w:t>
      </w:r>
    </w:p>
    <w:p>
      <w:pPr>
        <w:spacing w:after="0" w:before="80"/>
      </w:pPr>
      <w:r>
        <w:t xml:space="preserve"/>
      </w:r>
    </w:p>
    <w:p>
      <w:pPr>
        <w:pStyle w:val="Heading3"/>
        <w:spacing w:after="80" w:before="220"/>
      </w:pPr>
      <w:r>
        <w:rPr>
          <w:rFonts w:ascii="Arial" w:cs="Arial" w:eastAsia="Arial" w:hAnsi="Arial"/>
          <w:b/>
          <w:bCs/>
          <w:color w:val="2E2E4E"/>
          <w:sz w:val="23"/>
          <w:szCs w:val="23"/>
        </w:rPr>
        <w:t xml:space="preserve">7.3  Indemnification</w:t>
      </w:r>
    </w:p>
    <w:p>
      <w:pPr>
        <w:spacing w:after="80" w:before="80"/>
      </w:pPr>
      <w:r>
        <w:rPr>
          <w:rFonts w:ascii="Arial" w:cs="Arial" w:eastAsia="Arial" w:hAnsi="Arial"/>
          <w:color w:val="222222"/>
          <w:sz w:val="22"/>
          <w:szCs w:val="22"/>
        </w:rPr>
        <w:t xml:space="preserve">Users agree to indemnify and hold harmless Arena, its operators, developers, and associated parties from any claim, loss, or liability arising from: (a) the user's violation of these Terms; (b) the user's access from a Restricted Jurisdiction; (c) the user's breach of any applicable law; or (d) third-party claims arising from the user's conduct on the platform.</w:t>
      </w:r>
    </w:p>
    <w:p>
      <w:pPr>
        <w:spacing w:after="0" w:before="80"/>
      </w:pPr>
      <w:r>
        <w:t xml:space="preserve"/>
      </w:r>
    </w:p>
    <w:p>
      <w:pPr>
        <w:pStyle w:val="Heading3"/>
        <w:spacing w:after="80" w:before="220"/>
      </w:pPr>
      <w:r>
        <w:rPr>
          <w:rFonts w:ascii="Arial" w:cs="Arial" w:eastAsia="Arial" w:hAnsi="Arial"/>
          <w:b/>
          <w:bCs/>
          <w:color w:val="2E2E4E"/>
          <w:sz w:val="23"/>
          <w:szCs w:val="23"/>
        </w:rPr>
        <w:t xml:space="preserve">7.4  Tax Obligations</w:t>
      </w:r>
    </w:p>
    <w:p>
      <w:pPr>
        <w:spacing w:after="80" w:before="80"/>
      </w:pPr>
      <w:r>
        <w:rPr>
          <w:rFonts w:ascii="Arial" w:cs="Arial" w:eastAsia="Arial" w:hAnsi="Arial"/>
          <w:color w:val="222222"/>
          <w:sz w:val="22"/>
          <w:szCs w:val="22"/>
        </w:rPr>
        <w:t xml:space="preserve">Users are solely responsible for determining and fulfilling their tax obligations arising from wagering activity on Arena. Arena does not provide tax advice and does not report fight winnings to any tax authority except where required by law in the operating jurisdiction. Users in jurisdictions with mandatory gambling winnings reporting should consult a tax professional.</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Section 8 — Governing Law &amp; Dispute Resolution</w:t>
      </w:r>
    </w:p>
    <w:p>
      <w:pPr>
        <w:spacing w:after="80" w:before="80"/>
      </w:pPr>
      <w:r>
        <w:rPr>
          <w:rFonts w:ascii="Arial" w:cs="Arial" w:eastAsia="Arial" w:hAnsi="Arial"/>
          <w:color w:val="222222"/>
          <w:sz w:val="22"/>
          <w:szCs w:val="22"/>
        </w:rPr>
        <w:t xml:space="preserve">[LEGAL REVIEW: entire section. Core requirements: (a) governing law clause identifying the jurisdiction whose law applies; (b) mandatory arbitration clause with waiver of class action; (c) jurisdiction for any court proceedings that survive arbitration; (d) language barriers — if the platform is accessible in multiple languages, which version of the ToS controls in the event of conflict.]</w:t>
      </w:r>
    </w:p>
    <w:p>
      <w:pPr>
        <w:spacing w:after="0" w:before="80"/>
      </w:pPr>
      <w:r>
        <w:t xml:space="preserve"/>
      </w:r>
    </w:p>
    <w:p>
      <w:pPr>
        <w:spacing w:after="80" w:before="80"/>
      </w:pPr>
      <w:r>
        <w:rPr>
          <w:rFonts w:ascii="Arial" w:cs="Arial" w:eastAsia="Arial" w:hAnsi="Arial"/>
          <w:color w:val="222222"/>
          <w:sz w:val="22"/>
          <w:szCs w:val="22"/>
        </w:rPr>
        <w:t xml:space="preserve">Key decisions for legal counsel: whether to use JAMS, AAA, or ICC arbitration; seat of arbitration; whether to permit small claims court as an alternative for low-value disputes; class action waiver enforceability in the operating jurisdiction.</w:t>
      </w:r>
    </w:p>
    <w:p>
      <w:pPr>
        <w:spacing w:after="0" w:before="160"/>
      </w:pPr>
      <w:r>
        <w:t xml:space="preserve"/>
      </w:r>
    </w:p>
    <w:p>
      <w:pPr>
        <w:pStyle w:val="Heading2"/>
        <w:pBdr>
          <w:bottom w:val="single" w:color="C9A84C" w:sz="3" w:space="4"/>
        </w:pBdr>
        <w:spacing w:after="120" w:before="300"/>
      </w:pPr>
      <w:r>
        <w:rPr>
          <w:rFonts w:ascii="Arial" w:cs="Arial" w:eastAsia="Arial" w:hAnsi="Arial"/>
          <w:b/>
          <w:bCs/>
          <w:color w:val="1A1A2E"/>
          <w:sz w:val="26"/>
          <w:szCs w:val="26"/>
        </w:rPr>
        <w:t xml:space="preserve">Section 9 — Amendments &amp; Termination</w:t>
      </w:r>
    </w:p>
    <w:p>
      <w:pPr>
        <w:pStyle w:val="Heading3"/>
        <w:spacing w:after="80" w:before="220"/>
      </w:pPr>
      <w:r>
        <w:rPr>
          <w:rFonts w:ascii="Arial" w:cs="Arial" w:eastAsia="Arial" w:hAnsi="Arial"/>
          <w:b/>
          <w:bCs/>
          <w:color w:val="2E2E4E"/>
          <w:sz w:val="23"/>
          <w:szCs w:val="23"/>
        </w:rPr>
        <w:t xml:space="preserve">9.1  Amendments</w:t>
      </w:r>
    </w:p>
    <w:p>
      <w:pPr>
        <w:spacing w:after="80" w:before="80"/>
      </w:pPr>
      <w:r>
        <w:rPr>
          <w:rFonts w:ascii="Arial" w:cs="Arial" w:eastAsia="Arial" w:hAnsi="Arial"/>
          <w:color w:val="222222"/>
          <w:sz w:val="22"/>
          <w:szCs w:val="22"/>
        </w:rPr>
        <w:t xml:space="preserve">Arena reserves the right to amend these Terms at any time. Material changes will be communicated to users via [mechanism TBD — lobby notification / email if collected / on-site banner]. Continued use of the platform after the effective date of any amendment constitutes acceptance of the revised Terms. [LEGAL REVIEW: required notice periods for material changes in operating jurisdiction.]</w:t>
      </w:r>
    </w:p>
    <w:p>
      <w:pPr>
        <w:spacing w:after="0" w:before="80"/>
      </w:pPr>
      <w:r>
        <w:t xml:space="preserve"/>
      </w:r>
    </w:p>
    <w:p>
      <w:pPr>
        <w:pStyle w:val="Heading3"/>
        <w:spacing w:after="80" w:before="220"/>
      </w:pPr>
      <w:r>
        <w:rPr>
          <w:rFonts w:ascii="Arial" w:cs="Arial" w:eastAsia="Arial" w:hAnsi="Arial"/>
          <w:b/>
          <w:bCs/>
          <w:color w:val="2E2E4E"/>
          <w:sz w:val="23"/>
          <w:szCs w:val="23"/>
        </w:rPr>
        <w:t xml:space="preserve">9.2  Termination by Arena</w:t>
      </w:r>
    </w:p>
    <w:p>
      <w:pPr>
        <w:spacing w:after="80" w:before="80"/>
      </w:pPr>
      <w:r>
        <w:rPr>
          <w:rFonts w:ascii="Arial" w:cs="Arial" w:eastAsia="Arial" w:hAnsi="Arial"/>
          <w:color w:val="222222"/>
          <w:sz w:val="22"/>
          <w:szCs w:val="22"/>
        </w:rPr>
        <w:t xml:space="preserve">Arena may terminate or suspend a user's access immediately and without notice for: violation of these Terms, regulatory requirement, or any reason at Arena's sole discretion. Termination does not affect obligations incurred prior to termination. Funds in active escrow at the time of termination for cause will be handled per the enforcement provisions of Section 4.</w:t>
      </w:r>
    </w:p>
    <w:p>
      <w:pPr>
        <w:spacing w:after="0" w:before="80"/>
      </w:pPr>
      <w:r>
        <w:t xml:space="preserve"/>
      </w:r>
    </w:p>
    <w:p>
      <w:pPr>
        <w:pStyle w:val="Heading3"/>
        <w:spacing w:after="80" w:before="220"/>
      </w:pPr>
      <w:r>
        <w:rPr>
          <w:rFonts w:ascii="Arial" w:cs="Arial" w:eastAsia="Arial" w:hAnsi="Arial"/>
          <w:b/>
          <w:bCs/>
          <w:color w:val="2E2E4E"/>
          <w:sz w:val="23"/>
          <w:szCs w:val="23"/>
        </w:rPr>
        <w:t xml:space="preserve">9.3  Termination by User</w:t>
      </w:r>
    </w:p>
    <w:p>
      <w:pPr>
        <w:spacing w:after="80" w:before="80"/>
      </w:pPr>
      <w:r>
        <w:rPr>
          <w:rFonts w:ascii="Arial" w:cs="Arial" w:eastAsia="Arial" w:hAnsi="Arial"/>
          <w:color w:val="222222"/>
          <w:sz w:val="22"/>
          <w:szCs w:val="22"/>
        </w:rPr>
        <w:t xml:space="preserve">Users may cease use of Arena at any time by disconnecting their wallet and ceasing all platform activity. There is no formal account deletion process — wallet addresses are pseudonymous and fight records are retained per the record-keeping obligations in Part I. Self-exclusion requests (Section 5.2) provide a formal opt-out mechanism for wagering activity.</w:t>
      </w:r>
    </w:p>
    <w:p>
      <w:pPr>
        <w:spacing w:after="0" w:before="200"/>
      </w:pPr>
      <w:r>
        <w:t xml:space="preserve"/>
      </w:r>
    </w:p>
    <w:p>
      <w:pPr>
        <w:pBdr>
          <w:bottom w:val="single" w:color="DDDDDD" w:sz="2" w:space="1"/>
        </w:pBdr>
        <w:spacing w:after="160" w:before="160"/>
      </w:pPr>
      <w:r>
        <w:t xml:space="preserve"/>
      </w:r>
    </w:p>
    <w:p>
      <w:pPr>
        <w:pStyle w:val="Heading1"/>
        <w:spacing w:after="160" w:before="440"/>
      </w:pPr>
      <w:r>
        <w:rPr>
          <w:rFonts w:ascii="Arial" w:cs="Arial" w:eastAsia="Arial" w:hAnsi="Arial"/>
          <w:b/>
          <w:bCs/>
          <w:color w:val="C9A84C"/>
          <w:sz w:val="36"/>
          <w:szCs w:val="36"/>
        </w:rPr>
        <w:t xml:space="preserve">Appendix A — Restricted Jurisdictions</w:t>
      </w:r>
    </w:p>
    <w:p>
      <w:pPr>
        <w:spacing w:after="80" w:before="80"/>
      </w:pPr>
      <w:r>
        <w:rPr>
          <w:rFonts w:ascii="Arial" w:cs="Arial" w:eastAsia="Arial" w:hAnsi="Arial"/>
          <w:color w:val="222222"/>
          <w:sz w:val="22"/>
          <w:szCs w:val="22"/>
        </w:rPr>
        <w:t xml:space="preserve">The following jurisdictions are blocked from accessing Arena. This list is effective at mainnet launch and will be updated as licensing is obtained or as legal requirements change.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Jurisdiction</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Basis for Restriction</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United States</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All 50 states, DC, and territories</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United Kingdom</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Until UKGC license obtained</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Australia</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Interactive Gambling Act 2001</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France</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Until ARJEL license obtained</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Netherlands</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Until KSA license obtained</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Iran</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OFAC / FATF</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North Korea</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OFAC / FATF / UN sanctions</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Myanmar</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FATF blacklist</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[Additional jurisdictions]</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[To be confirmed by legal counsel based on operating entity jurisdiction]</w:t>
            </w:r>
          </w:p>
        </w:tc>
      </w:tr>
    </w:tbl>
    <w:p>
      <w:pPr>
        <w:spacing w:after="0" w:before="200"/>
      </w:pPr>
      <w:r>
        <w:t xml:space="preserve"/>
      </w:r>
    </w:p>
    <w:p>
      <w:pPr>
        <w:pStyle w:val="Heading1"/>
        <w:spacing w:after="160" w:before="440"/>
      </w:pPr>
      <w:r>
        <w:rPr>
          <w:rFonts w:ascii="Arial" w:cs="Arial" w:eastAsia="Arial" w:hAnsi="Arial"/>
          <w:b/>
          <w:bCs/>
          <w:color w:val="C9A84C"/>
          <w:sz w:val="36"/>
          <w:szCs w:val="36"/>
        </w:rPr>
        <w:t xml:space="preserve">Appendix B — AML Threshold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Control</w:t>
            </w:r>
          </w:p>
        </w:tc>
        <w:tc>
          <w:tcPr>
            <w:tcW w:type="dxa" w:w="5760"/>
            <w:tcBorders>
              <w:top w:val="single" w:color="C9A84C" w:sz="2"/>
              <w:left w:val="single" w:color="C9A84C" w:sz="2"/>
              <w:bottom w:val="single" w:color="C9A84C" w:sz="2"/>
              <w:right w:val="single" w:color="C9A84C" w:sz="2"/>
            </w:tcBorders>
            <w:shd w:fill="1A1A2E" w:val="clear"/>
            <w:tcMar>
              <w:top w:type="dxa" w:w="100"/>
              <w:left w:type="dxa" w:w="160"/>
              <w:bottom w:type="dxa" w:w="100"/>
              <w:right w:type="dxa" w:w="160"/>
            </w:tcMar>
          </w:tcPr>
          <w:p>
            <w:r>
              <w:rPr>
                <w:rFonts w:ascii="Arial" w:cs="Arial" w:eastAsia="Arial" w:hAnsi="Arial"/>
                <w:b/>
                <w:bCs/>
                <w:color w:val="C9A84C"/>
                <w:sz w:val="22"/>
                <w:szCs w:val="22"/>
              </w:rPr>
              <w:t xml:space="preserve">Threshold</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Wallet screening</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Every connection, every session</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Single wager hard cap</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$5,000 USD equivalent (hard cap)</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Enhanced monitoring trigger</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$1,000 – $9,999 single wager</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7-day velocity flag</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$50,000 USD equivalent aggregate</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Same-pair daily limit</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5 fights per 24-hour rolling window</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Win rate anomaly flag</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&gt;80% over 50+ fights</w:t>
            </w:r>
          </w:p>
        </w:tc>
      </w:tr>
      <w:tr>
        <w:tc>
          <w:tcPr>
            <w:tcW w:type="dxa" w:w="360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b/>
                <w:bCs/>
                <w:color w:val="333333"/>
                <w:sz w:val="21"/>
                <w:szCs w:val="21"/>
              </w:rPr>
              <w:t xml:space="preserve">New wallet high-value flag</w:t>
            </w:r>
          </w:p>
        </w:tc>
        <w:tc>
          <w:tcPr>
            <w:tcW w:type="dxa" w:w="5760"/>
            <w:tcBorders>
              <w:top w:val="none" w:color="FFFFFF" w:sz="0"/>
              <w:left w:val="none" w:color="FFFFFF" w:sz="0"/>
              <w:bottom w:val="single" w:color="DDDDDD" w:sz="1"/>
              <w:right w:val="none" w:color="FFFFFF" w:sz="0"/>
            </w:tcBorders>
            <w:shd w:fill="F9F9F9" w:val="clear"/>
            <w:tcMar>
              <w:top w:type="dxa" w:w="100"/>
              <w:left w:type="dxa" w:w="160"/>
              <w:bottom w:type="dxa" w:w="100"/>
              <w:right w:type="dxa" w:w="160"/>
            </w:tcMar>
          </w:tcPr>
          <w:p>
            <w:r>
              <w:rPr>
                <w:rFonts w:ascii="Arial" w:cs="Arial" w:eastAsia="Arial" w:hAnsi="Arial"/>
                <w:color w:val="444444"/>
                <w:sz w:val="21"/>
                <w:szCs w:val="21"/>
              </w:rPr>
              <w:t xml:space="preserve">Wallet age &lt; 7 days + wager &gt; $500</w:t>
            </w:r>
          </w:p>
        </w:tc>
      </w:tr>
      <w:tr>
        <w:tc>
          <w:tcPr>
            <w:tcW w:type="dxa" w:w="360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21"/>
                <w:szCs w:val="21"/>
              </w:rPr>
              <w:t xml:space="preserve">Record retention</w:t>
            </w:r>
          </w:p>
        </w:tc>
        <w:tc>
          <w:tcPr>
            <w:tcW w:type="dxa" w:w="5760"/>
            <w:tcBorders>
              <w:top w:val="none" w:color="FFFFFF" w:sz="0"/>
              <w:left w:val="none" w:color="FFFFFF" w:sz="0"/>
              <w:bottom w:val="single" w:color="DDDDDD" w:sz="1"/>
              <w:right w:val="none" w:color="FFFFFF" w:sz="0"/>
            </w:tcBorders>
            <w:shd w:fill="FFFFFF" w:val="clear"/>
            <w:tcMar>
              <w:top w:type="dxa" w:w="100"/>
              <w:left w:type="dxa" w:w="160"/>
              <w:bottom w:type="dxa" w:w="100"/>
              <w:right w:type="dxa" w:w="160"/>
            </w:tcMar>
          </w:tcPr>
          <w:p>
            <w:r>
              <w:rPr>
                <w:rFonts w:ascii="Arial" w:cs="Arial" w:eastAsia="Arial" w:hAnsi="Arial"/>
                <w:color w:val="444444"/>
                <w:sz w:val="21"/>
                <w:szCs w:val="21"/>
              </w:rPr>
              <w:t xml:space="preserve">5 years minimum</w:t>
            </w:r>
          </w:p>
        </w:tc>
      </w:tr>
    </w:tbl>
    <w:p>
      <w:pPr>
        <w:spacing w:after="0" w:before="200"/>
      </w:pPr>
      <w:r>
        <w:t xml:space="preserve"/>
      </w:r>
    </w:p>
    <w:p>
      <w:pPr>
        <w:pStyle w:val="Heading1"/>
        <w:spacing w:after="160" w:before="440"/>
      </w:pPr>
      <w:r>
        <w:rPr>
          <w:rFonts w:ascii="Arial" w:cs="Arial" w:eastAsia="Arial" w:hAnsi="Arial"/>
          <w:b/>
          <w:bCs/>
          <w:color w:val="C9A84C"/>
          <w:sz w:val="36"/>
          <w:szCs w:val="36"/>
        </w:rPr>
        <w:t xml:space="preserve">Appendix C — Legal Review Checklist</w:t>
      </w:r>
    </w:p>
    <w:p>
      <w:pPr>
        <w:spacing w:after="80" w:before="80"/>
      </w:pPr>
      <w:r>
        <w:rPr>
          <w:rFonts w:ascii="Arial" w:cs="Arial" w:eastAsia="Arial" w:hAnsi="Arial"/>
          <w:color w:val="222222"/>
          <w:sz w:val="22"/>
          <w:szCs w:val="22"/>
        </w:rPr>
        <w:t xml:space="preserve">The following items require review by qualified legal counsel before Arena launches with real-money wagering:</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Operating entity jurisdiction selection and incorporation</w:t>
      </w:r>
    </w:p>
    <w:p>
      <w:pPr>
        <w:pStyle w:val="ListParagraph"/>
        <w:numPr>
          <w:ilvl w:val="0"/>
          <w:numId w:val="2"/>
        </w:numPr>
        <w:spacing w:after="60" w:before="60"/>
      </w:pPr>
      <w:r>
        <w:rPr>
          <w:rFonts w:ascii="Arial" w:cs="Arial" w:eastAsia="Arial" w:hAnsi="Arial"/>
          <w:color w:val="222222"/>
          <w:sz w:val="22"/>
          <w:szCs w:val="22"/>
        </w:rPr>
        <w:t xml:space="preserve">Gambling / gaming license application (recommended: Curaçao eGaming as baseline, with roadmap to MGA or UKGC)</w:t>
      </w:r>
    </w:p>
    <w:p>
      <w:pPr>
        <w:pStyle w:val="ListParagraph"/>
        <w:numPr>
          <w:ilvl w:val="0"/>
          <w:numId w:val="2"/>
        </w:numPr>
        <w:spacing w:after="60" w:before="60"/>
      </w:pPr>
      <w:r>
        <w:rPr>
          <w:rFonts w:ascii="Arial" w:cs="Arial" w:eastAsia="Arial" w:hAnsi="Arial"/>
          <w:color w:val="222222"/>
          <w:sz w:val="22"/>
          <w:szCs w:val="22"/>
        </w:rPr>
        <w:t xml:space="preserve">ToS governing law and arbitration clause</w:t>
      </w:r>
    </w:p>
    <w:p>
      <w:pPr>
        <w:pStyle w:val="ListParagraph"/>
        <w:numPr>
          <w:ilvl w:val="0"/>
          <w:numId w:val="2"/>
        </w:numPr>
        <w:spacing w:after="60" w:before="60"/>
      </w:pPr>
      <w:r>
        <w:rPr>
          <w:rFonts w:ascii="Arial" w:cs="Arial" w:eastAsia="Arial" w:hAnsi="Arial"/>
          <w:color w:val="222222"/>
          <w:sz w:val="22"/>
          <w:szCs w:val="22"/>
        </w:rPr>
        <w:t xml:space="preserve">$ARENA token securities law analysis in all material jurisdictions</w:t>
      </w:r>
    </w:p>
    <w:p>
      <w:pPr>
        <w:pStyle w:val="ListParagraph"/>
        <w:numPr>
          <w:ilvl w:val="0"/>
          <w:numId w:val="2"/>
        </w:numPr>
        <w:spacing w:after="60" w:before="60"/>
      </w:pPr>
      <w:r>
        <w:rPr>
          <w:rFonts w:ascii="Arial" w:cs="Arial" w:eastAsia="Arial" w:hAnsi="Arial"/>
          <w:color w:val="222222"/>
          <w:sz w:val="22"/>
          <w:szCs w:val="22"/>
        </w:rPr>
        <w:t xml:space="preserve">Revenue accumulation mechanism legal characterization</w:t>
      </w:r>
    </w:p>
    <w:p>
      <w:pPr>
        <w:pStyle w:val="ListParagraph"/>
        <w:numPr>
          <w:ilvl w:val="0"/>
          <w:numId w:val="2"/>
        </w:numPr>
        <w:spacing w:after="60" w:before="60"/>
      </w:pPr>
      <w:r>
        <w:rPr>
          <w:rFonts w:ascii="Arial" w:cs="Arial" w:eastAsia="Arial" w:hAnsi="Arial"/>
          <w:color w:val="222222"/>
          <w:sz w:val="22"/>
          <w:szCs w:val="22"/>
        </w:rPr>
        <w:t xml:space="preserve">Age verification requirements in operating jurisdiction</w:t>
      </w:r>
    </w:p>
    <w:p>
      <w:pPr>
        <w:pStyle w:val="ListParagraph"/>
        <w:numPr>
          <w:ilvl w:val="0"/>
          <w:numId w:val="2"/>
        </w:numPr>
        <w:spacing w:after="60" w:before="60"/>
      </w:pPr>
      <w:r>
        <w:rPr>
          <w:rFonts w:ascii="Arial" w:cs="Arial" w:eastAsia="Arial" w:hAnsi="Arial"/>
          <w:color w:val="222222"/>
          <w:sz w:val="22"/>
          <w:szCs w:val="22"/>
        </w:rPr>
        <w:t xml:space="preserve">Mandatory responsible gambling controls (deposit limits, cooling-off periods)</w:t>
      </w:r>
    </w:p>
    <w:p>
      <w:pPr>
        <w:pStyle w:val="ListParagraph"/>
        <w:numPr>
          <w:ilvl w:val="0"/>
          <w:numId w:val="2"/>
        </w:numPr>
        <w:spacing w:after="60" w:before="60"/>
      </w:pPr>
      <w:r>
        <w:rPr>
          <w:rFonts w:ascii="Arial" w:cs="Arial" w:eastAsia="Arial" w:hAnsi="Arial"/>
          <w:color w:val="222222"/>
          <w:sz w:val="22"/>
          <w:szCs w:val="22"/>
        </w:rPr>
        <w:t xml:space="preserve">SAR filing obligations and thresholds in operating jurisdiction</w:t>
      </w:r>
    </w:p>
    <w:p>
      <w:pPr>
        <w:pStyle w:val="ListParagraph"/>
        <w:numPr>
          <w:ilvl w:val="0"/>
          <w:numId w:val="2"/>
        </w:numPr>
        <w:spacing w:after="60" w:before="60"/>
      </w:pPr>
      <w:r>
        <w:rPr>
          <w:rFonts w:ascii="Arial" w:cs="Arial" w:eastAsia="Arial" w:hAnsi="Arial"/>
          <w:color w:val="222222"/>
          <w:sz w:val="22"/>
          <w:szCs w:val="22"/>
        </w:rPr>
        <w:t xml:space="preserve">Data retention and privacy compliance (GDPR if EU users permitted, etc.)</w:t>
      </w:r>
    </w:p>
    <w:p>
      <w:pPr>
        <w:pStyle w:val="ListParagraph"/>
        <w:numPr>
          <w:ilvl w:val="0"/>
          <w:numId w:val="2"/>
        </w:numPr>
        <w:spacing w:after="60" w:before="60"/>
      </w:pPr>
      <w:r>
        <w:rPr>
          <w:rFonts w:ascii="Arial" w:cs="Arial" w:eastAsia="Arial" w:hAnsi="Arial"/>
          <w:color w:val="222222"/>
          <w:sz w:val="22"/>
          <w:szCs w:val="22"/>
        </w:rPr>
        <w:t xml:space="preserve">Tax reporting obligations on protocol revenue</w:t>
      </w:r>
    </w:p>
    <w:p>
      <w:pPr>
        <w:pStyle w:val="ListParagraph"/>
        <w:numPr>
          <w:ilvl w:val="0"/>
          <w:numId w:val="2"/>
        </w:numPr>
        <w:spacing w:after="60" w:before="60"/>
      </w:pPr>
      <w:r>
        <w:rPr>
          <w:rFonts w:ascii="Arial" w:cs="Arial" w:eastAsia="Arial" w:hAnsi="Arial"/>
          <w:color w:val="222222"/>
          <w:sz w:val="22"/>
          <w:szCs w:val="22"/>
        </w:rPr>
        <w:t xml:space="preserve">IP address / geo-block legal sufficiency in key restricted jurisdictions</w:t>
      </w:r>
    </w:p>
    <w:p>
      <w:pPr>
        <w:pStyle w:val="ListParagraph"/>
        <w:numPr>
          <w:ilvl w:val="0"/>
          <w:numId w:val="2"/>
        </w:numPr>
        <w:spacing w:after="60" w:before="60"/>
      </w:pPr>
      <w:r>
        <w:rPr>
          <w:rFonts w:ascii="Arial" w:cs="Arial" w:eastAsia="Arial" w:hAnsi="Arial"/>
          <w:color w:val="222222"/>
          <w:sz w:val="22"/>
          <w:szCs w:val="22"/>
        </w:rPr>
        <w:t xml:space="preserve">Class action waiver enforceability</w:t>
      </w:r>
    </w:p>
    <w:p>
      <w:pPr>
        <w:pStyle w:val="ListParagraph"/>
        <w:numPr>
          <w:ilvl w:val="0"/>
          <w:numId w:val="2"/>
        </w:numPr>
        <w:spacing w:after="60" w:before="60"/>
      </w:pPr>
      <w:r>
        <w:rPr>
          <w:rFonts w:ascii="Arial" w:cs="Arial" w:eastAsia="Arial" w:hAnsi="Arial"/>
          <w:color w:val="222222"/>
          <w:sz w:val="22"/>
          <w:szCs w:val="22"/>
        </w:rPr>
        <w:t xml:space="preserve">Smart contract audit (separate from legal review but a prerequisite for launch)</w:t>
      </w:r>
    </w:p>
    <w:p>
      <w:pPr>
        <w:spacing w:after="0" w:before="200"/>
      </w:pPr>
      <w:r>
        <w:t xml:space="preserve"/>
      </w:r>
    </w:p>
    <w:p>
      <w:pPr>
        <w:spacing w:after="80" w:before="200"/>
        <w:jc w:val="center"/>
      </w:pPr>
      <w:r>
        <w:rPr>
          <w:rFonts w:ascii="Arial" w:cs="Arial" w:eastAsia="Arial" w:hAnsi="Arial"/>
          <w:i/>
          <w:iCs/>
          <w:color w:val="666666"/>
          <w:sz w:val="20"/>
          <w:szCs w:val="20"/>
        </w:rPr>
        <w:t xml:space="preserve">ARENA — Terms of Service &amp; AML Framework</w:t>
      </w:r>
    </w:p>
    <w:p>
      <w:pPr>
        <w:spacing w:after="0" w:before="0"/>
        <w:jc w:val="center"/>
      </w:pPr>
      <w:r>
        <w:rPr>
          <w:rFonts w:ascii="Arial" w:cs="Arial" w:eastAsia="Arial" w:hAnsi="Arial"/>
          <w:i/>
          <w:iCs/>
          <w:color w:val="666666"/>
          <w:sz w:val="20"/>
          <w:szCs w:val="20"/>
        </w:rPr>
        <w:t xml:space="preserve">Draft — Not Legal Advice — Internal Planning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C9A84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E2E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2026-06-11T18:11:26.820Z</dcterms:created>
  <dcterms:modified xsi:type="dcterms:W3CDTF">2026-06-11T18:11:26.830Z</dcterms:modified>
</cp:coreProperties>
</file>

<file path=docProps/custom.xml><?xml version="1.0" encoding="utf-8"?>
<Properties xmlns="http://schemas.openxmlformats.org/officeDocument/2006/custom-properties" xmlns:vt="http://schemas.openxmlformats.org/officeDocument/2006/docPropsVTypes"/>
</file>