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B4C3" w14:textId="18939177" w:rsidR="00F847EF" w:rsidRDefault="002E603C" w:rsidP="0065398D">
      <w:pPr>
        <w:rPr>
          <w:b/>
        </w:rPr>
      </w:pPr>
      <w:r>
        <w:rPr>
          <w:b/>
        </w:rPr>
        <w:t xml:space="preserve">Transplant </w:t>
      </w:r>
      <w:r w:rsidR="00F847EF">
        <w:rPr>
          <w:b/>
        </w:rPr>
        <w:t>Date:</w:t>
      </w:r>
      <w:r w:rsidR="00F847EF">
        <w:rPr>
          <w:b/>
        </w:rPr>
        <w:tab/>
      </w:r>
      <w:r w:rsidR="009F50FB">
        <w:rPr>
          <w:b/>
        </w:rPr>
        <w:t xml:space="preserve">August </w:t>
      </w:r>
      <w:r w:rsidR="00982259">
        <w:rPr>
          <w:b/>
        </w:rPr>
        <w:t>9</w:t>
      </w:r>
      <w:r w:rsidR="00D06221">
        <w:rPr>
          <w:b/>
        </w:rPr>
        <w:t>,</w:t>
      </w:r>
      <w:r w:rsidR="00A30859">
        <w:rPr>
          <w:b/>
        </w:rPr>
        <w:t xml:space="preserve"> 2021</w:t>
      </w:r>
    </w:p>
    <w:p w14:paraId="6DEC15F4" w14:textId="4BF7C20F" w:rsidR="00F847EF" w:rsidRDefault="00F847EF" w:rsidP="0065398D">
      <w:r>
        <w:rPr>
          <w:b/>
        </w:rPr>
        <w:t>Protocol Number:</w:t>
      </w:r>
      <w:r>
        <w:rPr>
          <w:b/>
        </w:rPr>
        <w:tab/>
      </w:r>
      <w:r w:rsidRPr="00F847EF">
        <w:t>AMI-018-00</w:t>
      </w:r>
      <w:r w:rsidR="00336331">
        <w:t>6</w:t>
      </w:r>
    </w:p>
    <w:p w14:paraId="0A8EE2E1" w14:textId="6CC8F65C" w:rsidR="00012FAB" w:rsidRDefault="00012FAB" w:rsidP="0065398D">
      <w:pPr>
        <w:rPr>
          <w:b/>
        </w:rPr>
      </w:pPr>
      <w:r>
        <w:rPr>
          <w:b/>
        </w:rPr>
        <w:t>Study Number:</w:t>
      </w:r>
      <w:r>
        <w:rPr>
          <w:b/>
        </w:rPr>
        <w:tab/>
      </w:r>
      <w:r>
        <w:rPr>
          <w:b/>
        </w:rPr>
        <w:tab/>
      </w:r>
      <w:r w:rsidRPr="00012FAB">
        <w:t>AMI-018-00</w:t>
      </w:r>
      <w:r w:rsidR="0039393C">
        <w:t>6</w:t>
      </w:r>
      <w:r w:rsidRPr="00012FAB">
        <w:t>-</w:t>
      </w:r>
      <w:r w:rsidR="00550463">
        <w:t>1</w:t>
      </w:r>
      <w:r w:rsidR="00ED34D6">
        <w:t>2</w:t>
      </w:r>
      <w:r w:rsidR="00982259">
        <w:t>3</w:t>
      </w:r>
    </w:p>
    <w:p w14:paraId="7059A7B6" w14:textId="2D576C36" w:rsidR="00F847EF" w:rsidRDefault="00F847EF" w:rsidP="0065398D">
      <w:r>
        <w:rPr>
          <w:b/>
        </w:rPr>
        <w:t>Title of Study:</w:t>
      </w:r>
      <w:r>
        <w:rPr>
          <w:b/>
        </w:rPr>
        <w:tab/>
      </w:r>
      <w:r w:rsidR="00F76CE9">
        <w:rPr>
          <w:bCs/>
        </w:rPr>
        <w:t xml:space="preserve">Transplantation with </w:t>
      </w:r>
      <w:r w:rsidR="004B0E1F">
        <w:rPr>
          <w:bCs/>
        </w:rPr>
        <w:t xml:space="preserve">various species of primary hepatocytes to address if a </w:t>
      </w:r>
      <w:proofErr w:type="spellStart"/>
      <w:r w:rsidR="004B0E1F">
        <w:rPr>
          <w:bCs/>
        </w:rPr>
        <w:t>xeno</w:t>
      </w:r>
      <w:proofErr w:type="spellEnd"/>
      <w:r w:rsidR="004B0E1F">
        <w:rPr>
          <w:bCs/>
        </w:rPr>
        <w:t>-incompatib</w:t>
      </w:r>
      <w:r w:rsidR="004F1931">
        <w:rPr>
          <w:bCs/>
        </w:rPr>
        <w:t>i</w:t>
      </w:r>
      <w:r w:rsidR="004B0E1F">
        <w:rPr>
          <w:bCs/>
        </w:rPr>
        <w:t>lity issue with the FRG rat and human hepatocytes</w:t>
      </w:r>
      <w:r w:rsidR="00A30859">
        <w:rPr>
          <w:bCs/>
        </w:rPr>
        <w:t>.</w:t>
      </w:r>
    </w:p>
    <w:p w14:paraId="247FC528" w14:textId="6FA6F458" w:rsidR="00F847EF" w:rsidRDefault="00F847EF" w:rsidP="0065398D">
      <w:r>
        <w:rPr>
          <w:b/>
        </w:rPr>
        <w:t>Primary Investigator</w:t>
      </w:r>
      <w:r w:rsidR="005130AB">
        <w:rPr>
          <w:b/>
        </w:rPr>
        <w:t>s:</w:t>
      </w:r>
      <w:r w:rsidR="005130AB">
        <w:rPr>
          <w:b/>
        </w:rPr>
        <w:tab/>
      </w:r>
      <w:r w:rsidR="005130AB">
        <w:t>Lisa Wilson</w:t>
      </w:r>
    </w:p>
    <w:p w14:paraId="0FB9B6EF" w14:textId="3EC2AD45" w:rsidR="00DA5032" w:rsidRDefault="00DA5032" w:rsidP="0065398D">
      <w:pPr>
        <w:rPr>
          <w:b/>
        </w:rPr>
      </w:pPr>
      <w:r>
        <w:rPr>
          <w:b/>
        </w:rPr>
        <w:t>Number of Animals:</w:t>
      </w:r>
      <w:r w:rsidR="00325BC4">
        <w:rPr>
          <w:b/>
        </w:rPr>
        <w:t xml:space="preserve"> </w:t>
      </w:r>
      <w:r w:rsidR="007B7C90">
        <w:t>40</w:t>
      </w:r>
      <w:r w:rsidR="00AE27A2">
        <w:t>.</w:t>
      </w:r>
      <w:r w:rsidRPr="00DA5032">
        <w:t xml:space="preserve">  </w:t>
      </w:r>
      <w:r>
        <w:rPr>
          <w:b/>
        </w:rPr>
        <w:t>Specie</w:t>
      </w:r>
      <w:r w:rsidR="00274D54">
        <w:rPr>
          <w:b/>
        </w:rPr>
        <w:t>s</w:t>
      </w:r>
      <w:r>
        <w:rPr>
          <w:b/>
        </w:rPr>
        <w:t xml:space="preserve">: </w:t>
      </w:r>
      <w:r w:rsidR="00336331">
        <w:t>Rat</w:t>
      </w:r>
      <w:r w:rsidR="00AE27A2">
        <w:t>.</w:t>
      </w:r>
      <w:r>
        <w:rPr>
          <w:b/>
        </w:rPr>
        <w:t xml:space="preserve"> </w:t>
      </w:r>
      <w:r w:rsidR="00362143">
        <w:rPr>
          <w:b/>
        </w:rPr>
        <w:t xml:space="preserve"> </w:t>
      </w:r>
      <w:r>
        <w:rPr>
          <w:b/>
        </w:rPr>
        <w:t xml:space="preserve"> Strain: </w:t>
      </w:r>
      <w:r w:rsidR="00336331">
        <w:t>SD FRG</w:t>
      </w:r>
      <w:r w:rsidR="00AE27A2">
        <w:t>.</w:t>
      </w:r>
      <w:r>
        <w:rPr>
          <w:b/>
        </w:rPr>
        <w:t xml:space="preserve"> </w:t>
      </w:r>
      <w:r w:rsidR="00362143">
        <w:rPr>
          <w:b/>
        </w:rPr>
        <w:t xml:space="preserve"> </w:t>
      </w:r>
      <w:r>
        <w:rPr>
          <w:b/>
        </w:rPr>
        <w:t xml:space="preserve"> Gender: </w:t>
      </w:r>
      <w:r w:rsidRPr="00DA5032">
        <w:t>Male</w:t>
      </w:r>
      <w:r w:rsidR="00C366C2">
        <w:t xml:space="preserve"> &amp; Female</w:t>
      </w:r>
      <w:r w:rsidR="00AE27A2">
        <w:t xml:space="preserve">.   </w:t>
      </w:r>
      <w:r>
        <w:rPr>
          <w:b/>
        </w:rPr>
        <w:t xml:space="preserve">Age or weight range: </w:t>
      </w:r>
      <w:r w:rsidR="00541795">
        <w:rPr>
          <w:b/>
        </w:rPr>
        <w:t>5-</w:t>
      </w:r>
      <w:r w:rsidR="002A2627">
        <w:t>6</w:t>
      </w:r>
      <w:r w:rsidR="00FA64DC">
        <w:t xml:space="preserve"> </w:t>
      </w:r>
      <w:r w:rsidR="00336331">
        <w:t>weeks</w:t>
      </w:r>
    </w:p>
    <w:p w14:paraId="7ADC48A1" w14:textId="61D36F59" w:rsidR="00012FAB" w:rsidRDefault="00EF0652" w:rsidP="0065398D">
      <w:r w:rsidRPr="00C8593F">
        <w:rPr>
          <w:b/>
        </w:rPr>
        <w:t>Purpose</w:t>
      </w:r>
      <w:r>
        <w:t>:</w:t>
      </w:r>
      <w:r w:rsidR="00A505AA">
        <w:t xml:space="preserve"> </w:t>
      </w:r>
      <w:r w:rsidR="00F847EF">
        <w:tab/>
      </w:r>
      <w:r w:rsidR="00302063">
        <w:t xml:space="preserve"> </w:t>
      </w:r>
    </w:p>
    <w:p w14:paraId="5BAC0B42" w14:textId="39C65A6A" w:rsidR="00DA1B47" w:rsidRDefault="00012FAB" w:rsidP="00336331">
      <w:r>
        <w:t xml:space="preserve">In </w:t>
      </w:r>
      <w:r w:rsidR="00336331">
        <w:t>IACUC protocol</w:t>
      </w:r>
      <w:r>
        <w:t xml:space="preserve"> AMI-018-00</w:t>
      </w:r>
      <w:r w:rsidR="00336331">
        <w:t>6</w:t>
      </w:r>
      <w:r>
        <w:t xml:space="preserve">, </w:t>
      </w:r>
      <w:r w:rsidR="00336331">
        <w:t>t</w:t>
      </w:r>
      <w:r w:rsidR="00336331" w:rsidRPr="00336331">
        <w:t xml:space="preserve">he focus of </w:t>
      </w:r>
      <w:r w:rsidR="00336331">
        <w:t>the</w:t>
      </w:r>
      <w:r w:rsidR="00336331" w:rsidRPr="00336331">
        <w:t xml:space="preserve"> set of experiments is to utilize the immunodeficient rat model of hereditary tyrosinemia type 1 (HT1) - which are deficient in the enzyme fumarylacetoacetate hydrolase (FAH) – as the model for expanding human hepatocytes. Hepatocytes that are FAH+ have a selective growth advantage over FAH- hepatocyte; therefore, we hypothesize that FAH+ human hepatocytes will grow and repopulate the FAH-</w:t>
      </w:r>
      <w:r w:rsidR="00336331">
        <w:t>KO</w:t>
      </w:r>
      <w:r w:rsidR="00336331" w:rsidRPr="00336331">
        <w:t xml:space="preserve"> rat liver. Proof-of-concept has already been demonstrated in the mouse model of HT1 (see Azuma et al. 2007 PMID: 17664939). </w:t>
      </w:r>
    </w:p>
    <w:p w14:paraId="162C858E" w14:textId="60BC0FFA" w:rsidR="007B5A16" w:rsidRDefault="00BC0034" w:rsidP="002A2627">
      <w:r>
        <w:t>S</w:t>
      </w:r>
      <w:r w:rsidR="0001736D">
        <w:t xml:space="preserve">tudies </w:t>
      </w:r>
      <w:r>
        <w:t>are</w:t>
      </w:r>
      <w:r w:rsidR="0001736D">
        <w:t xml:space="preserve"> under way to improve </w:t>
      </w:r>
      <w:r w:rsidR="00D71E2E">
        <w:t xml:space="preserve">the health and </w:t>
      </w:r>
      <w:r w:rsidR="0001736D">
        <w:t xml:space="preserve">survival of transplanted FRG rats </w:t>
      </w:r>
      <w:r w:rsidR="00D06221">
        <w:t>out</w:t>
      </w:r>
      <w:r w:rsidR="00215F6B">
        <w:t xml:space="preserve"> to</w:t>
      </w:r>
      <w:r w:rsidR="00A30859">
        <w:t xml:space="preserve"> </w:t>
      </w:r>
      <w:r w:rsidR="00B33064">
        <w:t>90-</w:t>
      </w:r>
      <w:r w:rsidR="00A30859">
        <w:t>125 days</w:t>
      </w:r>
      <w:r w:rsidR="0001736D">
        <w:t xml:space="preserve"> post-transplant</w:t>
      </w:r>
      <w:r>
        <w:t xml:space="preserve"> while maintaining </w:t>
      </w:r>
      <w:r w:rsidR="00215F6B">
        <w:t>robust</w:t>
      </w:r>
      <w:r w:rsidR="00662211">
        <w:t xml:space="preserve"> </w:t>
      </w:r>
      <w:r>
        <w:t>expansion</w:t>
      </w:r>
      <w:r w:rsidR="00D06221">
        <w:t xml:space="preserve"> of the transplanted primary human hepatocytes</w:t>
      </w:r>
      <w:r w:rsidR="0001736D">
        <w:t xml:space="preserve">. </w:t>
      </w:r>
      <w:r w:rsidR="00D13B63">
        <w:t xml:space="preserve">Data from </w:t>
      </w:r>
      <w:r w:rsidR="00531F06">
        <w:t xml:space="preserve">the </w:t>
      </w:r>
      <w:r w:rsidR="00D06221">
        <w:t>most recent</w:t>
      </w:r>
      <w:r w:rsidR="00215F6B">
        <w:t xml:space="preserve"> </w:t>
      </w:r>
      <w:r w:rsidR="00877BFF">
        <w:t xml:space="preserve">NTBC cycles in </w:t>
      </w:r>
      <w:r w:rsidR="00D13B63">
        <w:t>Phase 1 and 2</w:t>
      </w:r>
      <w:r w:rsidR="00877BFF">
        <w:t xml:space="preserve">, </w:t>
      </w:r>
      <w:r w:rsidR="007B5A16">
        <w:t xml:space="preserve">at </w:t>
      </w:r>
      <w:r w:rsidR="00422489">
        <w:t>-28- and -50-days</w:t>
      </w:r>
      <w:r w:rsidR="007B5A16">
        <w:t xml:space="preserve"> post-transplant</w:t>
      </w:r>
      <w:r w:rsidR="00877BFF">
        <w:t xml:space="preserve"> respectively, </w:t>
      </w:r>
      <w:r w:rsidR="00422489">
        <w:t>us</w:t>
      </w:r>
      <w:r w:rsidR="00087703">
        <w:t>i</w:t>
      </w:r>
      <w:r w:rsidR="00422489">
        <w:t>ng the 0.4</w:t>
      </w:r>
      <w:r w:rsidR="00877BFF">
        <w:t>mg/L</w:t>
      </w:r>
      <w:r w:rsidR="00D13B63">
        <w:t xml:space="preserve"> &gt; 0.05mg/L</w:t>
      </w:r>
      <w:r w:rsidR="00D06221">
        <w:t xml:space="preserve"> </w:t>
      </w:r>
      <w:r w:rsidR="00877BFF">
        <w:t xml:space="preserve">NTBC </w:t>
      </w:r>
      <w:r w:rsidR="00422489">
        <w:t xml:space="preserve">(Cycles 4 and 11) </w:t>
      </w:r>
      <w:r w:rsidR="007B5A16">
        <w:t xml:space="preserve">allow for rat hepatocytes </w:t>
      </w:r>
      <w:r w:rsidR="001E118A">
        <w:t>to enter senescence</w:t>
      </w:r>
      <w:r w:rsidR="00422489">
        <w:t xml:space="preserve"> (0.4mg/L)</w:t>
      </w:r>
      <w:r w:rsidR="001E118A">
        <w:t xml:space="preserve"> prior to the very low NTBC concentration</w:t>
      </w:r>
      <w:r w:rsidR="00422489">
        <w:t>(0.05mg/L)</w:t>
      </w:r>
      <w:r w:rsidR="001E118A">
        <w:t xml:space="preserve"> where selective pressure is applied for the human hepatocytes to expand</w:t>
      </w:r>
      <w:r w:rsidR="007B5A16">
        <w:t xml:space="preserve">. </w:t>
      </w:r>
      <w:r w:rsidR="00422489">
        <w:t xml:space="preserve">Using this </w:t>
      </w:r>
      <w:r w:rsidR="004959D6">
        <w:t>cycle,</w:t>
      </w:r>
      <w:r w:rsidR="007B5A16">
        <w:t xml:space="preserve"> </w:t>
      </w:r>
      <w:r w:rsidR="00FA5DA0">
        <w:t xml:space="preserve">we have seen </w:t>
      </w:r>
      <w:r w:rsidR="007B5A16">
        <w:t xml:space="preserve">survival </w:t>
      </w:r>
      <w:r w:rsidR="00FA5DA0">
        <w:t xml:space="preserve">at ≥ 80% </w:t>
      </w:r>
      <w:r w:rsidR="00877BFF">
        <w:t xml:space="preserve">in the first 50-days post-transplant </w:t>
      </w:r>
    </w:p>
    <w:p w14:paraId="4ACD31BF" w14:textId="1A1E019B" w:rsidR="00A82B3E" w:rsidRDefault="0074664E" w:rsidP="00211B84">
      <w:r w:rsidRPr="00292B27">
        <w:t>To date</w:t>
      </w:r>
      <w:r w:rsidR="00A30859" w:rsidRPr="00292B27">
        <w:t xml:space="preserve">, </w:t>
      </w:r>
      <w:r w:rsidR="00FA5DA0" w:rsidRPr="00292B27">
        <w:t xml:space="preserve">with the testing of many </w:t>
      </w:r>
      <w:r w:rsidR="004959D6" w:rsidRPr="00292B27">
        <w:t>variations</w:t>
      </w:r>
      <w:r w:rsidR="00FA5DA0" w:rsidRPr="00292B27">
        <w:t xml:space="preserve"> in the NTBC cycling regime, </w:t>
      </w:r>
      <w:r w:rsidR="00A30859" w:rsidRPr="00292B27">
        <w:t>we have not been able to improve survival ≥ 70 days post-transplant.</w:t>
      </w:r>
      <w:r w:rsidR="00211B84" w:rsidRPr="00292B27">
        <w:t xml:space="preserve"> </w:t>
      </w:r>
      <w:r w:rsidR="00085A5D" w:rsidRPr="00292B27">
        <w:t xml:space="preserve">Due to the immune compromised state of the animals and immunohistochemistry data we have confirm the disease state is not graft versus host disease. </w:t>
      </w:r>
      <w:r w:rsidR="004B0E1F" w:rsidRPr="00292B27">
        <w:t xml:space="preserve">One hypothesis for the low survival is </w:t>
      </w:r>
      <w:r w:rsidR="00075500" w:rsidRPr="00292B27">
        <w:t xml:space="preserve">a </w:t>
      </w:r>
      <w:proofErr w:type="spellStart"/>
      <w:r w:rsidR="004B0E1F" w:rsidRPr="00292B27">
        <w:t>xeno</w:t>
      </w:r>
      <w:proofErr w:type="spellEnd"/>
      <w:r w:rsidR="004B0E1F" w:rsidRPr="00292B27">
        <w:t xml:space="preserve">-incompatibility </w:t>
      </w:r>
      <w:r w:rsidR="00661428" w:rsidRPr="00292B27">
        <w:t>issue</w:t>
      </w:r>
      <w:r w:rsidR="00A710D5" w:rsidRPr="00292B27">
        <w:t xml:space="preserve"> </w:t>
      </w:r>
      <w:r w:rsidR="004B0E1F" w:rsidRPr="00292B27">
        <w:t xml:space="preserve">between the FRG rat and </w:t>
      </w:r>
      <w:r w:rsidR="00075500" w:rsidRPr="00292B27">
        <w:t xml:space="preserve">expanded </w:t>
      </w:r>
      <w:r w:rsidR="004B0E1F" w:rsidRPr="00292B27">
        <w:t xml:space="preserve">human hepatocytes. </w:t>
      </w:r>
      <w:r w:rsidR="000B6CA2" w:rsidRPr="00292B27">
        <w:t xml:space="preserve">This may be due to species incompatibility </w:t>
      </w:r>
      <w:r w:rsidR="00501E0B" w:rsidRPr="00292B27">
        <w:t>with</w:t>
      </w:r>
      <w:r w:rsidR="000B6CA2" w:rsidRPr="00292B27">
        <w:t xml:space="preserve">in a critical </w:t>
      </w:r>
      <w:r w:rsidR="002E2855" w:rsidRPr="00292B27">
        <w:t>signaling</w:t>
      </w:r>
      <w:r w:rsidR="000B6CA2" w:rsidRPr="00292B27">
        <w:t xml:space="preserve"> pathway</w:t>
      </w:r>
      <w:r w:rsidR="002E2855" w:rsidRPr="00292B27">
        <w:t xml:space="preserve"> </w:t>
      </w:r>
      <w:r w:rsidR="00501E0B" w:rsidRPr="00292B27">
        <w:t xml:space="preserve">or a toxic metabolite produced from the transplanted hepatocytes </w:t>
      </w:r>
      <w:r w:rsidR="002E2855" w:rsidRPr="00292B27">
        <w:t xml:space="preserve">that </w:t>
      </w:r>
      <w:r w:rsidR="00501E0B" w:rsidRPr="00292B27">
        <w:t>induces the</w:t>
      </w:r>
      <w:r w:rsidR="002E2855" w:rsidRPr="00292B27">
        <w:t xml:space="preserve"> disease state</w:t>
      </w:r>
      <w:r w:rsidR="000B6CA2" w:rsidRPr="00292B27">
        <w:t>.</w:t>
      </w:r>
      <w:r w:rsidR="000B6CA2">
        <w:t xml:space="preserve">  </w:t>
      </w:r>
      <w:r w:rsidR="004A2763" w:rsidRPr="00CF55FA">
        <w:t xml:space="preserve">Cumulative data </w:t>
      </w:r>
      <w:r w:rsidR="004A2763">
        <w:t xml:space="preserve">from a health evaluation study </w:t>
      </w:r>
      <w:r w:rsidR="004A2763" w:rsidRPr="00CF55FA">
        <w:t xml:space="preserve">indicates cachexia and hypoglycemia caused by (1) impaired rat hepatocyte function and (2) rat proximal tubule injury may be the cause of morbidity. </w:t>
      </w:r>
      <w:r w:rsidR="004B0E1F">
        <w:t xml:space="preserve">To address if </w:t>
      </w:r>
      <w:r w:rsidR="004A2763">
        <w:t xml:space="preserve">these pathologies </w:t>
      </w:r>
      <w:r w:rsidR="00075500">
        <w:t>correlate with</w:t>
      </w:r>
      <w:r w:rsidR="004B0E1F">
        <w:t xml:space="preserve"> human </w:t>
      </w:r>
      <w:r w:rsidR="00075500">
        <w:t>hepatocyte expansion</w:t>
      </w:r>
      <w:r w:rsidR="00A710D5">
        <w:t>,</w:t>
      </w:r>
      <w:r w:rsidR="004B0E1F">
        <w:t xml:space="preserve"> we will use hepatocytes from various species, </w:t>
      </w:r>
      <w:r w:rsidR="008531EE">
        <w:t>including</w:t>
      </w:r>
      <w:r w:rsidR="004B0E1F">
        <w:t xml:space="preserve"> human, mouse, </w:t>
      </w:r>
      <w:proofErr w:type="gramStart"/>
      <w:r w:rsidR="004B0E1F">
        <w:t>rat</w:t>
      </w:r>
      <w:proofErr w:type="gramEnd"/>
      <w:r w:rsidR="004B0E1F">
        <w:t xml:space="preserve"> and pig.  We have confirmation from</w:t>
      </w:r>
      <w:r w:rsidR="00B241DD">
        <w:t xml:space="preserve"> </w:t>
      </w:r>
      <w:r w:rsidR="00D336E6">
        <w:t>collaborators</w:t>
      </w:r>
      <w:r w:rsidR="00B241DD">
        <w:t>,</w:t>
      </w:r>
      <w:r w:rsidR="004B0E1F">
        <w:t xml:space="preserve"> Markus </w:t>
      </w:r>
      <w:proofErr w:type="spellStart"/>
      <w:r w:rsidR="004B0E1F">
        <w:t>Grompe</w:t>
      </w:r>
      <w:proofErr w:type="spellEnd"/>
      <w:r w:rsidR="004B0E1F">
        <w:t xml:space="preserve"> and Scott </w:t>
      </w:r>
      <w:proofErr w:type="spellStart"/>
      <w:r w:rsidR="004B0E1F">
        <w:t>Naugler</w:t>
      </w:r>
      <w:proofErr w:type="spellEnd"/>
      <w:r w:rsidR="00B241DD">
        <w:t>,</w:t>
      </w:r>
      <w:r w:rsidR="004B0E1F">
        <w:t xml:space="preserve"> </w:t>
      </w:r>
      <w:r w:rsidR="008531EE">
        <w:t xml:space="preserve">that </w:t>
      </w:r>
      <w:r w:rsidR="004B0E1F">
        <w:t xml:space="preserve">mouse hepatocytes transplanted into the FRG rat engraft and robustly expand while maintaining high survival.  </w:t>
      </w:r>
      <w:r w:rsidR="008531EE">
        <w:t xml:space="preserve">The mouse hepatocytes would act as a positive </w:t>
      </w:r>
      <w:r w:rsidR="00A710D5">
        <w:t xml:space="preserve">xenograft </w:t>
      </w:r>
      <w:r w:rsidR="008531EE">
        <w:t xml:space="preserve">control </w:t>
      </w:r>
      <w:r w:rsidR="00B241DD">
        <w:t>to</w:t>
      </w:r>
      <w:r w:rsidR="004A2763">
        <w:t xml:space="preserve"> </w:t>
      </w:r>
      <w:r w:rsidR="00A710D5">
        <w:t>determine</w:t>
      </w:r>
      <w:r w:rsidR="00661428">
        <w:t xml:space="preserve"> if</w:t>
      </w:r>
      <w:r w:rsidR="00A710D5">
        <w:t xml:space="preserve"> hepatocytes </w:t>
      </w:r>
      <w:r w:rsidR="004A2763">
        <w:t xml:space="preserve">from a different species </w:t>
      </w:r>
      <w:r w:rsidR="00A710D5">
        <w:t xml:space="preserve">can </w:t>
      </w:r>
      <w:r w:rsidR="00661428">
        <w:t xml:space="preserve">engraft, </w:t>
      </w:r>
      <w:r w:rsidR="00B241DD">
        <w:t xml:space="preserve">expand to ≥ 50% hepatocyte replacement </w:t>
      </w:r>
      <w:r w:rsidR="00661428">
        <w:t>index,</w:t>
      </w:r>
      <w:r w:rsidR="00A710D5">
        <w:t xml:space="preserve"> </w:t>
      </w:r>
      <w:r w:rsidR="00075500">
        <w:t>and</w:t>
      </w:r>
      <w:r w:rsidR="008531EE">
        <w:t xml:space="preserve"> rescue the HT-1 phenotype</w:t>
      </w:r>
      <w:r w:rsidR="00A710D5">
        <w:t xml:space="preserve"> of the FRG rat</w:t>
      </w:r>
      <w:r w:rsidR="004A2763">
        <w:t xml:space="preserve"> – this is a </w:t>
      </w:r>
      <w:r w:rsidR="00A710D5">
        <w:t xml:space="preserve">critical control </w:t>
      </w:r>
      <w:r w:rsidR="00B241DD">
        <w:t xml:space="preserve">for testing the </w:t>
      </w:r>
      <w:proofErr w:type="spellStart"/>
      <w:r w:rsidR="00B241DD">
        <w:t>xeno</w:t>
      </w:r>
      <w:proofErr w:type="spellEnd"/>
      <w:r w:rsidR="00B241DD">
        <w:t>-incompatibility theory</w:t>
      </w:r>
      <w:r w:rsidR="00A710D5">
        <w:t xml:space="preserve">. </w:t>
      </w:r>
      <w:r w:rsidR="004B0E1F">
        <w:t xml:space="preserve"> </w:t>
      </w:r>
      <w:r w:rsidR="00075500">
        <w:t xml:space="preserve">The pig would be </w:t>
      </w:r>
      <w:r w:rsidR="00D336E6">
        <w:t>the</w:t>
      </w:r>
      <w:r w:rsidR="00075500">
        <w:t xml:space="preserve"> third </w:t>
      </w:r>
      <w:r w:rsidR="00D336E6">
        <w:t>species</w:t>
      </w:r>
      <w:r w:rsidR="00075500">
        <w:t>, phylogenetically further removed from the rat, to determine if similar morbidity to human hepatocytes</w:t>
      </w:r>
      <w:r w:rsidR="00B241DD">
        <w:t xml:space="preserve"> </w:t>
      </w:r>
      <w:r w:rsidR="00075500">
        <w:t xml:space="preserve">occurs as the pig hepatocytes expand in the FRG bioreactor. </w:t>
      </w:r>
      <w:r w:rsidR="00661428">
        <w:t>A fifth group, mock transplant</w:t>
      </w:r>
      <w:r w:rsidR="00356B4E">
        <w:t>,</w:t>
      </w:r>
      <w:r w:rsidR="00661428">
        <w:t xml:space="preserve"> will be used for determining if the NTBC regime is contributing to the low survival seen at ≥ 70 days post-transplant.  This group will receive </w:t>
      </w:r>
      <w:proofErr w:type="spellStart"/>
      <w:proofErr w:type="gramStart"/>
      <w:r w:rsidR="00661428">
        <w:t>Ad:uPA</w:t>
      </w:r>
      <w:proofErr w:type="spellEnd"/>
      <w:proofErr w:type="gramEnd"/>
      <w:r w:rsidR="00661428">
        <w:t xml:space="preserve"> pre-conditioning and the same </w:t>
      </w:r>
      <w:proofErr w:type="spellStart"/>
      <w:r w:rsidR="00661428">
        <w:t>laporatomy</w:t>
      </w:r>
      <w:proofErr w:type="spellEnd"/>
      <w:r w:rsidR="00661428">
        <w:t xml:space="preserve"> </w:t>
      </w:r>
      <w:r w:rsidR="00356B4E">
        <w:t xml:space="preserve">and injection into the splenic pulp </w:t>
      </w:r>
      <w:r w:rsidR="00661428">
        <w:t>except transplant media</w:t>
      </w:r>
      <w:r w:rsidR="00356B4E">
        <w:t>, at an equivalent dose volume compared to hepatocytes</w:t>
      </w:r>
      <w:r w:rsidR="00661428">
        <w:t xml:space="preserve"> will be used in place of hepatocytes. All </w:t>
      </w:r>
      <w:r w:rsidR="00661428">
        <w:lastRenderedPageBreak/>
        <w:t>animals will be placed on the same NTBC cycling regime, Cycle 11. The main endpoint for this study is survival and hepatocyte expansion at ~ 90 days post-transplant.</w:t>
      </w:r>
    </w:p>
    <w:p w14:paraId="6D4FF1CD" w14:textId="64286253" w:rsidR="00B241DD" w:rsidRDefault="00661428" w:rsidP="00211B84">
      <w:r>
        <w:t xml:space="preserve">In </w:t>
      </w:r>
      <w:r w:rsidR="00356B4E">
        <w:t>addition,</w:t>
      </w:r>
      <w:r>
        <w:t xml:space="preserve"> each individual</w:t>
      </w:r>
      <w:r w:rsidR="00356B4E">
        <w:t xml:space="preserve"> animal</w:t>
      </w:r>
      <w:r>
        <w:t xml:space="preserve"> </w:t>
      </w:r>
      <w:r w:rsidR="00D336E6">
        <w:t xml:space="preserve">in </w:t>
      </w:r>
      <w:r>
        <w:t xml:space="preserve">all 5 groups will be evaluated </w:t>
      </w:r>
      <w:r w:rsidR="00D336E6">
        <w:t xml:space="preserve">at </w:t>
      </w:r>
      <w:r w:rsidR="00356B4E">
        <w:t xml:space="preserve">the </w:t>
      </w:r>
      <w:r>
        <w:t>specified</w:t>
      </w:r>
      <w:r w:rsidR="00D336E6">
        <w:t xml:space="preserve"> points in the NTBC cycling regime post-transplant.  Since this is </w:t>
      </w:r>
      <w:r w:rsidR="00356B4E">
        <w:t>a</w:t>
      </w:r>
      <w:r w:rsidR="00D336E6">
        <w:t xml:space="preserve"> pilot study and the groups sizes are </w:t>
      </w:r>
      <w:r w:rsidR="00B77075">
        <w:t>small,</w:t>
      </w:r>
      <w:r w:rsidR="00D336E6">
        <w:t xml:space="preserve"> we will use blood and urine as the matrix for evaluating metabolic function, nutritional state</w:t>
      </w:r>
      <w:r w:rsidR="00B77075">
        <w:t xml:space="preserve"> </w:t>
      </w:r>
      <w:r>
        <w:t>as well as</w:t>
      </w:r>
      <w:r w:rsidR="00D336E6">
        <w:t xml:space="preserve"> liver and renal injury</w:t>
      </w:r>
      <w:r w:rsidR="00B77075">
        <w:t xml:space="preserve">.  Serum and urine will be collected at ~ 30-, 50-, 70- and 90-days post-transplant.  Comprehensive liver clinical chemistries for metabolic function and liver/kidney injury, amino acid composition to correlate nutritional state, </w:t>
      </w:r>
      <w:proofErr w:type="spellStart"/>
      <w:r w:rsidR="00B77075">
        <w:t>succinylacetone</w:t>
      </w:r>
      <w:proofErr w:type="spellEnd"/>
      <w:r w:rsidR="00B77075">
        <w:t xml:space="preserve">/tyrosine as </w:t>
      </w:r>
      <w:r w:rsidR="00F93739">
        <w:t>contributors</w:t>
      </w:r>
      <w:r w:rsidR="00B77075">
        <w:t xml:space="preserve"> to liver/kidney injury, urine for total protein and amino acid analysis as well as specific gravity</w:t>
      </w:r>
      <w:r>
        <w:t xml:space="preserve"> will be analyzed and reported.</w:t>
      </w:r>
      <w:r w:rsidR="00F93739">
        <w:t xml:space="preserve"> </w:t>
      </w:r>
      <w:r w:rsidR="00356B4E">
        <w:t>If body</w:t>
      </w:r>
      <w:r w:rsidR="00F93739">
        <w:t xml:space="preserve"> condition</w:t>
      </w:r>
      <w:r>
        <w:t xml:space="preserve"> score</w:t>
      </w:r>
      <w:r w:rsidR="00F93739">
        <w:t xml:space="preserve"> is ≤ 3 and body weight loss ≥ 30% or a clinical score of</w:t>
      </w:r>
      <w:r w:rsidR="00356B4E">
        <w:t xml:space="preserve"> ≤</w:t>
      </w:r>
      <w:r w:rsidR="00F93739">
        <w:t xml:space="preserve"> 3.0, animals will be euthanized and blood, urine, kidney, </w:t>
      </w:r>
      <w:proofErr w:type="gramStart"/>
      <w:r w:rsidR="00F93739">
        <w:t>liver</w:t>
      </w:r>
      <w:proofErr w:type="gramEnd"/>
      <w:r w:rsidR="00F93739">
        <w:t xml:space="preserve"> and spleen collected as stated in Appendix A.</w:t>
      </w:r>
      <w:r>
        <w:t xml:space="preserve"> At the end of the study, &gt;100 days post-transplants, all remaining animals will undergo the necropsy process described in Appendix A.</w:t>
      </w:r>
    </w:p>
    <w:p w14:paraId="12B91BF1" w14:textId="5AE06950" w:rsidR="00165250" w:rsidRPr="005130AB" w:rsidRDefault="00165250" w:rsidP="00165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right="360"/>
      </w:pPr>
      <w:r w:rsidRPr="00DD6D07">
        <w:t>All FRG rats will be on 5LJ5</w:t>
      </w:r>
    </w:p>
    <w:p w14:paraId="7C2E2E74" w14:textId="4809D2DE" w:rsidR="00165250" w:rsidRDefault="00165250" w:rsidP="00165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right="360"/>
      </w:pPr>
      <w:r w:rsidRPr="005130AB">
        <w:t xml:space="preserve">All FRG rats will </w:t>
      </w:r>
      <w:r w:rsidR="00A36219">
        <w:t xml:space="preserve">begin </w:t>
      </w:r>
      <w:r w:rsidRPr="005130AB">
        <w:t>on 16 mg/L NTBC</w:t>
      </w:r>
      <w:r w:rsidR="00D71E2E">
        <w:t xml:space="preserve"> +</w:t>
      </w:r>
      <w:r w:rsidR="001C1D75">
        <w:t xml:space="preserve"> 820µg/mL </w:t>
      </w:r>
      <w:proofErr w:type="spellStart"/>
      <w:r w:rsidR="001C1D75">
        <w:t>E</w:t>
      </w:r>
      <w:r w:rsidR="00D71E2E">
        <w:t>quisul</w:t>
      </w:r>
      <w:proofErr w:type="spellEnd"/>
      <w:r w:rsidR="00D71E2E">
        <w:t xml:space="preserve"> in the drinking water</w:t>
      </w:r>
    </w:p>
    <w:p w14:paraId="430C0115" w14:textId="5B9324FA" w:rsidR="00165250" w:rsidRDefault="00165250" w:rsidP="00165250">
      <w:pPr>
        <w:rPr>
          <w:b/>
        </w:rPr>
      </w:pPr>
      <w:r w:rsidRPr="00274D54">
        <w:rPr>
          <w:b/>
        </w:rPr>
        <w:t xml:space="preserve">Experiment Outline: </w:t>
      </w:r>
    </w:p>
    <w:p w14:paraId="36FE694E" w14:textId="4FC3046B" w:rsidR="00F61C87" w:rsidRDefault="00F61C87" w:rsidP="00165250">
      <w:pPr>
        <w:rPr>
          <w:b/>
        </w:rPr>
      </w:pPr>
      <w:r w:rsidRPr="00195C04">
        <w:t>N=</w:t>
      </w:r>
      <w:r w:rsidR="00611C3D">
        <w:t xml:space="preserve">40 </w:t>
      </w:r>
      <w:r w:rsidRPr="00195C04">
        <w:t>FRG rats</w:t>
      </w:r>
      <w:r w:rsidRPr="00165250">
        <w:rPr>
          <w:b/>
        </w:rPr>
        <w:t xml:space="preserve"> </w:t>
      </w:r>
    </w:p>
    <w:p w14:paraId="56ECA538" w14:textId="35E7D8EA" w:rsidR="00E71671" w:rsidRPr="00215F6B" w:rsidRDefault="00E71671" w:rsidP="00E71671">
      <w:pPr>
        <w:rPr>
          <w:bCs/>
        </w:rPr>
      </w:pPr>
      <w:r w:rsidRPr="00215F6B">
        <w:rPr>
          <w:bCs/>
        </w:rPr>
        <w:t>Animals will be held for at least one week to acclimate following arrival.</w:t>
      </w:r>
    </w:p>
    <w:p w14:paraId="3E596766" w14:textId="08825D29" w:rsidR="00E71671" w:rsidRDefault="00E71671" w:rsidP="00E71671">
      <w:pPr>
        <w:rPr>
          <w:bCs/>
        </w:rPr>
      </w:pPr>
      <w:r w:rsidRPr="00215F6B">
        <w:rPr>
          <w:bCs/>
        </w:rPr>
        <w:t>Animals will be socially housed. On the rare case where one animal remains in a cage without a partner, additional cage enrichment (non-food) will be provided.</w:t>
      </w:r>
    </w:p>
    <w:p w14:paraId="3050B3C7" w14:textId="2FEAD298" w:rsidR="00661428" w:rsidRDefault="00CF1B43" w:rsidP="00E34333">
      <w:r>
        <w:t>Using body weights collected the same day</w:t>
      </w:r>
      <w:r w:rsidR="007324C2">
        <w:t xml:space="preserve"> as preconditioning</w:t>
      </w:r>
      <w:r>
        <w:t xml:space="preserve"> the</w:t>
      </w:r>
      <w:r w:rsidDel="00CF1B43">
        <w:t xml:space="preserve"> </w:t>
      </w:r>
      <w:r w:rsidR="00F61C87">
        <w:t xml:space="preserve">rederived FRG rats from </w:t>
      </w:r>
      <w:proofErr w:type="spellStart"/>
      <w:r w:rsidR="00F61C87">
        <w:t>Envigo</w:t>
      </w:r>
      <w:proofErr w:type="spellEnd"/>
      <w:r w:rsidR="00F61C87">
        <w:t xml:space="preserve"> will be </w:t>
      </w:r>
      <w:r w:rsidR="009E141E">
        <w:t xml:space="preserve">pre-conditioned </w:t>
      </w:r>
      <w:r w:rsidR="00F93739">
        <w:t>using</w:t>
      </w:r>
      <w:r w:rsidR="009E141E">
        <w:t xml:space="preserve"> </w:t>
      </w:r>
      <w:r w:rsidR="00F61C87">
        <w:t>Ad-</w:t>
      </w:r>
      <w:proofErr w:type="spellStart"/>
      <w:r w:rsidR="00F61C87">
        <w:t>uPA</w:t>
      </w:r>
      <w:proofErr w:type="spellEnd"/>
      <w:r w:rsidR="00F61C87">
        <w:t xml:space="preserve"> 24h ± 2h prior to transplant and placed on the drinking water as specified in the NTBC cycling protocol located on the </w:t>
      </w:r>
      <w:proofErr w:type="spellStart"/>
      <w:r w:rsidR="00F61C87">
        <w:t>Ambys</w:t>
      </w:r>
      <w:proofErr w:type="spellEnd"/>
      <w:r w:rsidR="00F61C87">
        <w:t xml:space="preserve"> G-drive. On the day of transplant, the cryopreserved </w:t>
      </w:r>
      <w:r w:rsidR="00B07D26">
        <w:t xml:space="preserve">validated commercial </w:t>
      </w:r>
      <w:r w:rsidR="00F61C87">
        <w:t>PHH Lot will be prepared following the standard protocol used for transplantation</w:t>
      </w:r>
      <w:bookmarkStart w:id="0" w:name="_Hlk521318309"/>
      <w:r w:rsidR="00FE3DDE">
        <w:t>.</w:t>
      </w:r>
      <w:r w:rsidR="0053204E">
        <w:t xml:space="preserve"> </w:t>
      </w:r>
      <w:r w:rsidR="0053204E" w:rsidRPr="0053204E">
        <w:rPr>
          <w:i/>
          <w:iCs/>
        </w:rPr>
        <w:t xml:space="preserve">The viral and </w:t>
      </w:r>
      <w:proofErr w:type="spellStart"/>
      <w:r w:rsidR="0053204E" w:rsidRPr="0053204E">
        <w:rPr>
          <w:i/>
          <w:iCs/>
        </w:rPr>
        <w:t>pHH</w:t>
      </w:r>
      <w:proofErr w:type="spellEnd"/>
      <w:r w:rsidR="0053204E" w:rsidRPr="0053204E">
        <w:rPr>
          <w:i/>
          <w:iCs/>
        </w:rPr>
        <w:t xml:space="preserve"> lot used in this study can be found in the FRG rat Compiled Information Google sheet in the tab marked “Study Tracker” on the </w:t>
      </w:r>
      <w:proofErr w:type="spellStart"/>
      <w:r w:rsidR="0053204E" w:rsidRPr="0053204E">
        <w:rPr>
          <w:i/>
          <w:iCs/>
        </w:rPr>
        <w:t>Ambys</w:t>
      </w:r>
      <w:proofErr w:type="spellEnd"/>
      <w:r w:rsidR="0053204E" w:rsidRPr="0053204E">
        <w:rPr>
          <w:i/>
          <w:iCs/>
        </w:rPr>
        <w:t xml:space="preserve"> G drive</w:t>
      </w:r>
      <w:r w:rsidR="0053204E">
        <w:t>.</w:t>
      </w:r>
    </w:p>
    <w:tbl>
      <w:tblPr>
        <w:tblStyle w:val="TableGrid"/>
        <w:tblW w:w="9756" w:type="dxa"/>
        <w:tblInd w:w="-5" w:type="dxa"/>
        <w:tblLook w:val="04A0" w:firstRow="1" w:lastRow="0" w:firstColumn="1" w:lastColumn="0" w:noHBand="0" w:noVBand="1"/>
      </w:tblPr>
      <w:tblGrid>
        <w:gridCol w:w="932"/>
        <w:gridCol w:w="1212"/>
        <w:gridCol w:w="2465"/>
        <w:gridCol w:w="5147"/>
      </w:tblGrid>
      <w:tr w:rsidR="00897666" w14:paraId="26793E41" w14:textId="77777777" w:rsidTr="00897666">
        <w:trPr>
          <w:trHeight w:val="465"/>
        </w:trPr>
        <w:tc>
          <w:tcPr>
            <w:tcW w:w="932" w:type="dxa"/>
          </w:tcPr>
          <w:p w14:paraId="7301A962" w14:textId="1585F08B" w:rsidR="00897666" w:rsidRDefault="00897666" w:rsidP="00356B4E">
            <w:pPr>
              <w:jc w:val="center"/>
            </w:pPr>
            <w:r>
              <w:t>Group</w:t>
            </w:r>
          </w:p>
        </w:tc>
        <w:tc>
          <w:tcPr>
            <w:tcW w:w="1212" w:type="dxa"/>
          </w:tcPr>
          <w:p w14:paraId="21CBFD6E" w14:textId="4749C090" w:rsidR="00897666" w:rsidRDefault="00897666" w:rsidP="00356B4E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FRG rats</w:t>
            </w:r>
          </w:p>
        </w:tc>
        <w:tc>
          <w:tcPr>
            <w:tcW w:w="2465" w:type="dxa"/>
          </w:tcPr>
          <w:p w14:paraId="7DA03A90" w14:textId="38AD05C1" w:rsidR="00897666" w:rsidRDefault="00897666" w:rsidP="00356B4E">
            <w:pPr>
              <w:jc w:val="center"/>
            </w:pPr>
            <w:proofErr w:type="spellStart"/>
            <w:proofErr w:type="gramStart"/>
            <w:r>
              <w:t>Ad:uPA</w:t>
            </w:r>
            <w:proofErr w:type="spellEnd"/>
            <w:proofErr w:type="gramEnd"/>
            <w:r>
              <w:t xml:space="preserve"> (pfu/grams of BW)</w:t>
            </w:r>
          </w:p>
        </w:tc>
        <w:tc>
          <w:tcPr>
            <w:tcW w:w="5147" w:type="dxa"/>
          </w:tcPr>
          <w:p w14:paraId="29C61CEF" w14:textId="74A4EAF1" w:rsidR="00897666" w:rsidRDefault="00897666" w:rsidP="00356B4E">
            <w:pPr>
              <w:jc w:val="center"/>
            </w:pPr>
            <w:r>
              <w:t>Hepatocyte source</w:t>
            </w:r>
          </w:p>
        </w:tc>
      </w:tr>
      <w:tr w:rsidR="00897666" w14:paraId="286745FB" w14:textId="77777777" w:rsidTr="00897666">
        <w:trPr>
          <w:trHeight w:val="241"/>
        </w:trPr>
        <w:tc>
          <w:tcPr>
            <w:tcW w:w="932" w:type="dxa"/>
          </w:tcPr>
          <w:p w14:paraId="145601F5" w14:textId="39025969" w:rsidR="00897666" w:rsidRDefault="00897666" w:rsidP="00356B4E">
            <w:pPr>
              <w:jc w:val="center"/>
            </w:pPr>
            <w:r>
              <w:t>A</w:t>
            </w:r>
          </w:p>
        </w:tc>
        <w:tc>
          <w:tcPr>
            <w:tcW w:w="1212" w:type="dxa"/>
          </w:tcPr>
          <w:p w14:paraId="4295CC46" w14:textId="3C479003" w:rsidR="00897666" w:rsidRDefault="00897666" w:rsidP="00356B4E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4BF78240" w14:textId="39FF648D" w:rsidR="00897666" w:rsidRDefault="00897666" w:rsidP="00356B4E">
            <w:pPr>
              <w:jc w:val="center"/>
            </w:pPr>
            <w:r>
              <w:t>5E+7</w:t>
            </w:r>
          </w:p>
        </w:tc>
        <w:tc>
          <w:tcPr>
            <w:tcW w:w="5147" w:type="dxa"/>
          </w:tcPr>
          <w:p w14:paraId="07CA8315" w14:textId="307938DD" w:rsidR="00897666" w:rsidRDefault="00897666" w:rsidP="00356B4E">
            <w:pPr>
              <w:jc w:val="center"/>
            </w:pPr>
            <w:r>
              <w:t>Commercial human hepatocytes</w:t>
            </w:r>
          </w:p>
        </w:tc>
      </w:tr>
      <w:tr w:rsidR="00897666" w14:paraId="048973D8" w14:textId="77777777" w:rsidTr="00897666">
        <w:trPr>
          <w:trHeight w:val="241"/>
        </w:trPr>
        <w:tc>
          <w:tcPr>
            <w:tcW w:w="932" w:type="dxa"/>
          </w:tcPr>
          <w:p w14:paraId="1CF47EBC" w14:textId="2A2CEC1C" w:rsidR="00897666" w:rsidRDefault="00897666" w:rsidP="00356B4E">
            <w:pPr>
              <w:jc w:val="center"/>
            </w:pPr>
            <w:r>
              <w:t>B</w:t>
            </w:r>
          </w:p>
        </w:tc>
        <w:tc>
          <w:tcPr>
            <w:tcW w:w="1212" w:type="dxa"/>
          </w:tcPr>
          <w:p w14:paraId="6AAEAFE3" w14:textId="206C9AFC" w:rsidR="00897666" w:rsidRDefault="00897666" w:rsidP="00356B4E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23EAD2F0" w14:textId="650196B2" w:rsidR="00897666" w:rsidRDefault="00897666" w:rsidP="00356B4E">
            <w:pPr>
              <w:jc w:val="center"/>
            </w:pPr>
            <w:r w:rsidRPr="00712A3E">
              <w:t>5E+7</w:t>
            </w:r>
          </w:p>
        </w:tc>
        <w:tc>
          <w:tcPr>
            <w:tcW w:w="5147" w:type="dxa"/>
          </w:tcPr>
          <w:p w14:paraId="4A9E7D24" w14:textId="1EA76083" w:rsidR="00897666" w:rsidRDefault="00897666" w:rsidP="00356B4E">
            <w:pPr>
              <w:jc w:val="center"/>
            </w:pPr>
            <w:r>
              <w:t>Commercial Lewis rat hepatocytes</w:t>
            </w:r>
          </w:p>
        </w:tc>
      </w:tr>
      <w:tr w:rsidR="00897666" w14:paraId="56935BA8" w14:textId="77777777" w:rsidTr="00897666">
        <w:trPr>
          <w:trHeight w:val="223"/>
        </w:trPr>
        <w:tc>
          <w:tcPr>
            <w:tcW w:w="932" w:type="dxa"/>
          </w:tcPr>
          <w:p w14:paraId="282DE22A" w14:textId="186AB548" w:rsidR="00897666" w:rsidRDefault="00897666" w:rsidP="00356B4E">
            <w:pPr>
              <w:jc w:val="center"/>
            </w:pPr>
            <w:r>
              <w:t>C</w:t>
            </w:r>
          </w:p>
        </w:tc>
        <w:tc>
          <w:tcPr>
            <w:tcW w:w="1212" w:type="dxa"/>
          </w:tcPr>
          <w:p w14:paraId="034A1DAF" w14:textId="01826B80" w:rsidR="00897666" w:rsidRDefault="00897666" w:rsidP="00356B4E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74A3E1FA" w14:textId="08FF23E7" w:rsidR="00897666" w:rsidRDefault="00897666" w:rsidP="00356B4E">
            <w:pPr>
              <w:jc w:val="center"/>
            </w:pPr>
            <w:r w:rsidRPr="00712A3E">
              <w:t>5E+7</w:t>
            </w:r>
          </w:p>
        </w:tc>
        <w:tc>
          <w:tcPr>
            <w:tcW w:w="5147" w:type="dxa"/>
          </w:tcPr>
          <w:p w14:paraId="4D616D6F" w14:textId="08BEBBEF" w:rsidR="00897666" w:rsidRDefault="00897666" w:rsidP="00356B4E">
            <w:pPr>
              <w:jc w:val="center"/>
            </w:pPr>
            <w:r>
              <w:t>Commercial C57Bl6 mouse hepatocytes</w:t>
            </w:r>
          </w:p>
        </w:tc>
      </w:tr>
      <w:tr w:rsidR="00897666" w14:paraId="6ABAD77B" w14:textId="77777777" w:rsidTr="00897666">
        <w:trPr>
          <w:trHeight w:val="241"/>
        </w:trPr>
        <w:tc>
          <w:tcPr>
            <w:tcW w:w="932" w:type="dxa"/>
          </w:tcPr>
          <w:p w14:paraId="6E3022D5" w14:textId="50B94D18" w:rsidR="00897666" w:rsidRDefault="00897666" w:rsidP="00356B4E">
            <w:pPr>
              <w:jc w:val="center"/>
            </w:pPr>
            <w:r>
              <w:t>D</w:t>
            </w:r>
          </w:p>
        </w:tc>
        <w:tc>
          <w:tcPr>
            <w:tcW w:w="1212" w:type="dxa"/>
          </w:tcPr>
          <w:p w14:paraId="47B5274F" w14:textId="0362B896" w:rsidR="00897666" w:rsidRDefault="00897666" w:rsidP="00356B4E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69C77F02" w14:textId="3F110459" w:rsidR="00897666" w:rsidRDefault="00897666" w:rsidP="00356B4E">
            <w:pPr>
              <w:jc w:val="center"/>
            </w:pPr>
            <w:r w:rsidRPr="00712A3E">
              <w:t>5E+7</w:t>
            </w:r>
          </w:p>
        </w:tc>
        <w:tc>
          <w:tcPr>
            <w:tcW w:w="5147" w:type="dxa"/>
          </w:tcPr>
          <w:p w14:paraId="0BB1EB20" w14:textId="620923AD" w:rsidR="00897666" w:rsidRDefault="00897666" w:rsidP="00356B4E">
            <w:pPr>
              <w:jc w:val="center"/>
            </w:pPr>
            <w:r>
              <w:t>Mayo clinic/</w:t>
            </w:r>
            <w:proofErr w:type="spellStart"/>
            <w:r>
              <w:t>Ambys</w:t>
            </w:r>
            <w:proofErr w:type="spellEnd"/>
            <w:r>
              <w:t xml:space="preserve"> produces pig hepatocytes</w:t>
            </w:r>
          </w:p>
        </w:tc>
      </w:tr>
      <w:tr w:rsidR="00897666" w14:paraId="43F9081F" w14:textId="77777777" w:rsidTr="00897666">
        <w:trPr>
          <w:trHeight w:val="241"/>
        </w:trPr>
        <w:tc>
          <w:tcPr>
            <w:tcW w:w="932" w:type="dxa"/>
          </w:tcPr>
          <w:p w14:paraId="489B44B5" w14:textId="43B97197" w:rsidR="00897666" w:rsidRDefault="00897666" w:rsidP="00356B4E">
            <w:pPr>
              <w:jc w:val="center"/>
            </w:pPr>
            <w:r>
              <w:t>E</w:t>
            </w:r>
          </w:p>
        </w:tc>
        <w:tc>
          <w:tcPr>
            <w:tcW w:w="1212" w:type="dxa"/>
          </w:tcPr>
          <w:p w14:paraId="07A7BC95" w14:textId="7D5016F9" w:rsidR="00897666" w:rsidRDefault="00897666" w:rsidP="00356B4E">
            <w:pPr>
              <w:jc w:val="center"/>
            </w:pPr>
            <w:r>
              <w:t>8</w:t>
            </w:r>
          </w:p>
        </w:tc>
        <w:tc>
          <w:tcPr>
            <w:tcW w:w="2465" w:type="dxa"/>
          </w:tcPr>
          <w:p w14:paraId="7ED57916" w14:textId="0AE0A35A" w:rsidR="00897666" w:rsidRDefault="00897666" w:rsidP="00356B4E">
            <w:pPr>
              <w:jc w:val="center"/>
            </w:pPr>
            <w:r w:rsidRPr="00712A3E">
              <w:t>5E+7</w:t>
            </w:r>
          </w:p>
        </w:tc>
        <w:tc>
          <w:tcPr>
            <w:tcW w:w="5147" w:type="dxa"/>
          </w:tcPr>
          <w:p w14:paraId="48FA5806" w14:textId="1384227C" w:rsidR="00897666" w:rsidRDefault="00897666" w:rsidP="00356B4E">
            <w:pPr>
              <w:jc w:val="center"/>
            </w:pPr>
            <w:r>
              <w:t>Hepatocyte media</w:t>
            </w:r>
          </w:p>
        </w:tc>
      </w:tr>
    </w:tbl>
    <w:p w14:paraId="511C9EB0" w14:textId="77777777" w:rsidR="00661428" w:rsidRPr="002C2CC6" w:rsidRDefault="00661428" w:rsidP="00E34333"/>
    <w:p w14:paraId="2D69585F" w14:textId="42D50491" w:rsidR="0067482F" w:rsidRPr="00195C04" w:rsidRDefault="00E34333" w:rsidP="00E34333">
      <w:r w:rsidRPr="00195C04">
        <w:rPr>
          <w:b/>
          <w:u w:val="single"/>
        </w:rPr>
        <w:t>Day -1:</w:t>
      </w:r>
      <w:r w:rsidRPr="00195C04">
        <w:rPr>
          <w:b/>
        </w:rPr>
        <w:t xml:space="preserve"> </w:t>
      </w:r>
      <w:r w:rsidRPr="00195C04">
        <w:t xml:space="preserve">In the AM, ALL rats will be </w:t>
      </w:r>
      <w:r w:rsidR="00A36219">
        <w:t>dosed</w:t>
      </w:r>
      <w:r w:rsidR="00A36219" w:rsidRPr="00195C04">
        <w:t xml:space="preserve"> </w:t>
      </w:r>
      <w:r w:rsidRPr="00195C04">
        <w:t xml:space="preserve">with </w:t>
      </w:r>
      <w:r w:rsidR="009F50FB">
        <w:rPr>
          <w:color w:val="000000" w:themeColor="text1"/>
        </w:rPr>
        <w:t>5E+7</w:t>
      </w:r>
      <w:r w:rsidR="009E141E">
        <w:t xml:space="preserve"> </w:t>
      </w:r>
      <w:r w:rsidR="001C1D75">
        <w:t xml:space="preserve">pfu/gram of body weight </w:t>
      </w:r>
      <w:r w:rsidRPr="00195C04">
        <w:t>Ad-UPA by IV tail injection. Ad-</w:t>
      </w:r>
      <w:proofErr w:type="spellStart"/>
      <w:r w:rsidRPr="00195C04">
        <w:t>uPA</w:t>
      </w:r>
      <w:proofErr w:type="spellEnd"/>
      <w:r w:rsidRPr="00195C04">
        <w:t xml:space="preserve"> will be provided </w:t>
      </w:r>
      <w:r w:rsidR="00F61C87">
        <w:t xml:space="preserve">to the IVS team for </w:t>
      </w:r>
      <w:r w:rsidR="0074664E">
        <w:t xml:space="preserve">tail vein </w:t>
      </w:r>
      <w:r w:rsidR="00F61C87">
        <w:t>dosing</w:t>
      </w:r>
      <w:r w:rsidRPr="00195C04">
        <w:t xml:space="preserve">. </w:t>
      </w:r>
      <w:r w:rsidR="00F61C87">
        <w:t xml:space="preserve">The </w:t>
      </w:r>
      <w:r w:rsidRPr="00195C04">
        <w:t xml:space="preserve">NTBC </w:t>
      </w:r>
      <w:r w:rsidR="00F61C87">
        <w:t xml:space="preserve">drinking water </w:t>
      </w:r>
      <w:r w:rsidRPr="00195C04">
        <w:t xml:space="preserve">will </w:t>
      </w:r>
      <w:r w:rsidR="001D7F80">
        <w:t>be changed as indicated in the above chart</w:t>
      </w:r>
      <w:r w:rsidRPr="00195C04">
        <w:t xml:space="preserve">. </w:t>
      </w:r>
    </w:p>
    <w:p w14:paraId="13669E0C" w14:textId="4073CAA9" w:rsidR="00E34333" w:rsidRPr="00195C04" w:rsidRDefault="00E34333" w:rsidP="00E34333">
      <w:r w:rsidRPr="00292B27">
        <w:rPr>
          <w:b/>
          <w:u w:val="single"/>
        </w:rPr>
        <w:t>Day 0:</w:t>
      </w:r>
      <w:r w:rsidRPr="00292B27">
        <w:t xml:space="preserve"> </w:t>
      </w:r>
      <w:r w:rsidR="00DF1DFB" w:rsidRPr="00292B27">
        <w:t xml:space="preserve">Each FRG rat will be dosed with 5E+6 viable cells/ gram of body weight and volume calculated from a 25E+6 viable cells per milliliter suspension.  </w:t>
      </w:r>
      <w:r w:rsidR="001C1D75" w:rsidRPr="00292B27">
        <w:t>The volume of h</w:t>
      </w:r>
      <w:r w:rsidRPr="00292B27">
        <w:t>epatocytes</w:t>
      </w:r>
      <w:r w:rsidR="001C1D75" w:rsidRPr="00292B27">
        <w:t xml:space="preserve"> suspension determine</w:t>
      </w:r>
      <w:r w:rsidR="00FE3DDE" w:rsidRPr="00292B27">
        <w:t>d</w:t>
      </w:r>
      <w:r w:rsidR="001C1D75" w:rsidRPr="00292B27">
        <w:t xml:space="preserve"> by body weight</w:t>
      </w:r>
      <w:r w:rsidRPr="00292B27">
        <w:t xml:space="preserve"> will be </w:t>
      </w:r>
      <w:r w:rsidR="00DF1DFB" w:rsidRPr="00292B27">
        <w:t xml:space="preserve">dispensed into </w:t>
      </w:r>
      <w:r w:rsidRPr="00292B27">
        <w:t>in</w:t>
      </w:r>
      <w:r w:rsidR="00DF1DFB" w:rsidRPr="00292B27">
        <w:t>dividual sterile</w:t>
      </w:r>
      <w:r w:rsidRPr="00292B27">
        <w:t xml:space="preserve"> 1.5ml Eppendorf tubes and transferred </w:t>
      </w:r>
      <w:r w:rsidR="00DF1DFB" w:rsidRPr="00292B27">
        <w:t>to</w:t>
      </w:r>
      <w:r w:rsidRPr="00292B27">
        <w:t xml:space="preserve"> ice. Hepatocytes will remain on ice until time of injection. At time of injection, hepatocytes will be </w:t>
      </w:r>
      <w:r w:rsidRPr="00292B27">
        <w:rPr>
          <w:u w:val="single"/>
        </w:rPr>
        <w:t>gently</w:t>
      </w:r>
      <w:r w:rsidRPr="00195C04">
        <w:t xml:space="preserve"> </w:t>
      </w:r>
      <w:r w:rsidRPr="00195C04">
        <w:lastRenderedPageBreak/>
        <w:t>pipet</w:t>
      </w:r>
      <w:r w:rsidR="00B326C8">
        <w:t>ted</w:t>
      </w:r>
      <w:r w:rsidRPr="00195C04">
        <w:t xml:space="preserve"> up/down x3 </w:t>
      </w:r>
      <w:r>
        <w:t xml:space="preserve">with P1000 pipet and sterile P1000 tip </w:t>
      </w:r>
      <w:r w:rsidRPr="00195C04">
        <w:t xml:space="preserve">to get the cells in suspension (hepatocytes are large and will quickly pellet to the bottom of the tube). Hepatocytes will be </w:t>
      </w:r>
      <w:r>
        <w:t xml:space="preserve">drawn into a sterile 1cc syringe with a 27G needle and </w:t>
      </w:r>
      <w:r w:rsidRPr="00195C04">
        <w:t xml:space="preserve">injected </w:t>
      </w:r>
      <w:r w:rsidR="00A36219">
        <w:t>into</w:t>
      </w:r>
      <w:r w:rsidR="00A36219" w:rsidRPr="00195C04">
        <w:t xml:space="preserve"> </w:t>
      </w:r>
      <w:r w:rsidRPr="00195C04">
        <w:t>the spleen</w:t>
      </w:r>
      <w:r w:rsidR="00A36219">
        <w:t xml:space="preserve"> via laparotomy method</w:t>
      </w:r>
      <w:r w:rsidRPr="00195C04">
        <w:t xml:space="preserve">. </w:t>
      </w:r>
    </w:p>
    <w:p w14:paraId="473FCB7B" w14:textId="65A5E7CD" w:rsidR="00E34333" w:rsidRDefault="00E34333" w:rsidP="00E34333">
      <w:r w:rsidRPr="00195C04">
        <w:rPr>
          <w:b/>
          <w:u w:val="single"/>
        </w:rPr>
        <w:t>Day 1 onwards:</w:t>
      </w:r>
      <w:r w:rsidRPr="00195C04">
        <w:t xml:space="preserve"> </w:t>
      </w:r>
      <w:r>
        <w:t>Animals will be put on the</w:t>
      </w:r>
      <w:r w:rsidR="00DF1DFB">
        <w:t xml:space="preserve"> drinking water containing the </w:t>
      </w:r>
      <w:proofErr w:type="spellStart"/>
      <w:r w:rsidR="00DF1DFB">
        <w:t>specificed</w:t>
      </w:r>
      <w:proofErr w:type="spellEnd"/>
      <w:r w:rsidR="00DF1DFB">
        <w:t xml:space="preserve"> concentration of NTBC on the </w:t>
      </w:r>
      <w:r>
        <w:t xml:space="preserve">NTBC cycle </w:t>
      </w:r>
      <w:r w:rsidR="00DF1DFB">
        <w:t xml:space="preserve">indicated on the </w:t>
      </w:r>
      <w:r>
        <w:t xml:space="preserve">NTBC water cycle sheet located on the </w:t>
      </w:r>
      <w:proofErr w:type="spellStart"/>
      <w:r>
        <w:t>Ambys</w:t>
      </w:r>
      <w:proofErr w:type="spellEnd"/>
      <w:r w:rsidR="00E41A72">
        <w:t>’</w:t>
      </w:r>
      <w:r>
        <w:t xml:space="preserve"> G drive. </w:t>
      </w:r>
    </w:p>
    <w:p w14:paraId="7F836B61" w14:textId="56B6DD7A" w:rsidR="0053204E" w:rsidRPr="00FA5DA0" w:rsidRDefault="00325BC4" w:rsidP="00C009EF">
      <w:pPr>
        <w:rPr>
          <w:bCs/>
          <w:color w:val="000000" w:themeColor="text1"/>
        </w:rPr>
      </w:pPr>
      <w:r>
        <w:rPr>
          <w:bCs/>
        </w:rPr>
        <w:t xml:space="preserve">All animals post-transplant will </w:t>
      </w:r>
      <w:r w:rsidR="00837078">
        <w:rPr>
          <w:bCs/>
        </w:rPr>
        <w:t xml:space="preserve">be offered </w:t>
      </w:r>
      <w:r>
        <w:rPr>
          <w:bCs/>
        </w:rPr>
        <w:t xml:space="preserve">the nutritionally balanced </w:t>
      </w:r>
      <w:r w:rsidRPr="009E141E">
        <w:rPr>
          <w:b/>
          <w:color w:val="000000" w:themeColor="text1"/>
          <w:u w:val="single"/>
        </w:rPr>
        <w:t>Supreme mini treats</w:t>
      </w:r>
      <w:r w:rsidRPr="00E03965">
        <w:rPr>
          <w:bCs/>
          <w:color w:val="000000" w:themeColor="text1"/>
        </w:rPr>
        <w:t xml:space="preserve"> </w:t>
      </w:r>
      <w:r w:rsidR="00837078" w:rsidRPr="00E03965">
        <w:rPr>
          <w:bCs/>
          <w:color w:val="000000" w:themeColor="text1"/>
        </w:rPr>
        <w:t xml:space="preserve">supplement </w:t>
      </w:r>
      <w:r>
        <w:rPr>
          <w:bCs/>
        </w:rPr>
        <w:t>at the time of body weight collection</w:t>
      </w:r>
      <w:r w:rsidR="00837078">
        <w:rPr>
          <w:bCs/>
        </w:rPr>
        <w:t xml:space="preserve"> </w:t>
      </w:r>
      <w:bookmarkStart w:id="1" w:name="_Hlk75246566"/>
      <w:r w:rsidR="00837078">
        <w:rPr>
          <w:bCs/>
        </w:rPr>
        <w:t>as positive reinforcement (~1-2 pellets) and for supplementation of additional calories and vitamins at a dose of 6-8 pellets per animal</w:t>
      </w:r>
      <w:r>
        <w:rPr>
          <w:bCs/>
        </w:rPr>
        <w:t xml:space="preserve">. </w:t>
      </w:r>
      <w:bookmarkEnd w:id="1"/>
    </w:p>
    <w:p w14:paraId="35136269" w14:textId="62B04C52" w:rsidR="00174DC5" w:rsidRDefault="00D92089" w:rsidP="00F61C87">
      <w:pPr>
        <w:rPr>
          <w:b/>
          <w:u w:val="single"/>
        </w:rPr>
      </w:pPr>
      <w:r w:rsidRPr="00D261BD">
        <w:rPr>
          <w:b/>
          <w:bCs/>
          <w:u w:val="single"/>
        </w:rPr>
        <w:t xml:space="preserve">Day </w:t>
      </w:r>
      <w:r w:rsidR="00B326C8">
        <w:rPr>
          <w:b/>
          <w:bCs/>
          <w:u w:val="single"/>
        </w:rPr>
        <w:t>3</w:t>
      </w:r>
      <w:r w:rsidR="001B731D">
        <w:rPr>
          <w:b/>
          <w:bCs/>
          <w:u w:val="single"/>
        </w:rPr>
        <w:t>0</w:t>
      </w:r>
      <w:r w:rsidRPr="00D261BD">
        <w:rPr>
          <w:b/>
          <w:bCs/>
          <w:u w:val="single"/>
        </w:rPr>
        <w:t xml:space="preserve"> – </w:t>
      </w:r>
      <w:r w:rsidR="00B326C8">
        <w:rPr>
          <w:b/>
          <w:bCs/>
          <w:u w:val="single"/>
        </w:rPr>
        <w:t>90</w:t>
      </w:r>
      <w:r>
        <w:t xml:space="preserve">: </w:t>
      </w:r>
      <w:r w:rsidR="00860A4F">
        <w:t xml:space="preserve">All animals, collect </w:t>
      </w:r>
      <w:r w:rsidR="00D261BD">
        <w:t>5µL w</w:t>
      </w:r>
      <w:r>
        <w:t xml:space="preserve">hole blood </w:t>
      </w:r>
      <w:r w:rsidR="00BD7FD9">
        <w:t xml:space="preserve">for human albumin measurements </w:t>
      </w:r>
      <w:r w:rsidR="00860A4F">
        <w:t>via</w:t>
      </w:r>
      <w:r w:rsidR="00D261BD">
        <w:t xml:space="preserve"> tail vein</w:t>
      </w:r>
      <w:r w:rsidR="00A36219">
        <w:t xml:space="preserve">, </w:t>
      </w:r>
      <w:proofErr w:type="gramStart"/>
      <w:r w:rsidR="00A36219">
        <w:t>tail</w:t>
      </w:r>
      <w:proofErr w:type="gramEnd"/>
      <w:r w:rsidR="00A36219">
        <w:t xml:space="preserve"> or saphenous </w:t>
      </w:r>
      <w:r w:rsidR="00F925E5">
        <w:t xml:space="preserve">vein </w:t>
      </w:r>
      <w:r w:rsidR="00A36219">
        <w:t>nick</w:t>
      </w:r>
      <w:r w:rsidR="006B4F9E">
        <w:t xml:space="preserve"> </w:t>
      </w:r>
      <w:r>
        <w:t xml:space="preserve">at </w:t>
      </w:r>
      <w:r w:rsidR="00D261BD">
        <w:t xml:space="preserve">the specified </w:t>
      </w:r>
      <w:r w:rsidR="00F61C87">
        <w:t>dates</w:t>
      </w:r>
      <w:r w:rsidR="00D261BD">
        <w:t xml:space="preserve"> on the </w:t>
      </w:r>
      <w:bookmarkEnd w:id="0"/>
      <w:r w:rsidR="00B326C8">
        <w:t xml:space="preserve">chart above and the </w:t>
      </w:r>
      <w:r w:rsidR="00D261BD">
        <w:t xml:space="preserve">NTBC water cycle sheet located on the </w:t>
      </w:r>
      <w:proofErr w:type="spellStart"/>
      <w:r w:rsidR="00D261BD">
        <w:t>Ambys</w:t>
      </w:r>
      <w:proofErr w:type="spellEnd"/>
      <w:r w:rsidR="00D261BD">
        <w:t>’ G drive.</w:t>
      </w:r>
      <w:r w:rsidR="00D261BD" w:rsidRPr="00195C04">
        <w:rPr>
          <w:b/>
          <w:u w:val="single"/>
        </w:rPr>
        <w:t xml:space="preserve"> </w:t>
      </w:r>
      <w:r w:rsidR="00860A4F">
        <w:rPr>
          <w:b/>
          <w:u w:val="single"/>
        </w:rPr>
        <w:t>PI will communicate:</w:t>
      </w:r>
    </w:p>
    <w:p w14:paraId="4B90ED10" w14:textId="77777777" w:rsidR="00BD7FD9" w:rsidRPr="00F32B0A" w:rsidRDefault="00BD7FD9" w:rsidP="00BD7FD9">
      <w:pPr>
        <w:spacing w:before="120" w:after="0"/>
        <w:ind w:firstLine="720"/>
        <w:rPr>
          <w:b/>
          <w:color w:val="000000" w:themeColor="text1"/>
        </w:rPr>
      </w:pPr>
      <w:r w:rsidRPr="00F32B0A">
        <w:rPr>
          <w:b/>
          <w:color w:val="000000" w:themeColor="text1"/>
          <w:u w:val="single"/>
        </w:rPr>
        <w:t xml:space="preserve">Day 50 </w:t>
      </w:r>
      <w:proofErr w:type="spellStart"/>
      <w:r w:rsidRPr="00F32B0A">
        <w:rPr>
          <w:b/>
          <w:color w:val="000000" w:themeColor="text1"/>
          <w:u w:val="single"/>
        </w:rPr>
        <w:t>huAlb</w:t>
      </w:r>
      <w:proofErr w:type="spellEnd"/>
      <w:r w:rsidRPr="00F32B0A">
        <w:rPr>
          <w:b/>
          <w:color w:val="000000" w:themeColor="text1"/>
          <w:u w:val="single"/>
        </w:rPr>
        <w:t xml:space="preserve"> readout</w:t>
      </w:r>
      <w:r w:rsidRPr="00F32B0A">
        <w:rPr>
          <w:b/>
          <w:color w:val="000000" w:themeColor="text1"/>
        </w:rPr>
        <w:t xml:space="preserve">: </w:t>
      </w:r>
      <w:proofErr w:type="spellStart"/>
      <w:r w:rsidRPr="00F32B0A">
        <w:rPr>
          <w:bCs/>
          <w:color w:val="000000" w:themeColor="text1"/>
        </w:rPr>
        <w:t>hAlbumin</w:t>
      </w:r>
      <w:proofErr w:type="spellEnd"/>
      <w:r w:rsidRPr="00F32B0A">
        <w:rPr>
          <w:bCs/>
          <w:color w:val="000000" w:themeColor="text1"/>
        </w:rPr>
        <w:t xml:space="preserve"> </w:t>
      </w:r>
      <w:r w:rsidRPr="00F32B0A">
        <w:rPr>
          <w:b/>
          <w:color w:val="000000" w:themeColor="text1"/>
        </w:rPr>
        <w:t>≤ 250µg/mL</w:t>
      </w:r>
      <w:r w:rsidRPr="00F32B0A">
        <w:rPr>
          <w:bCs/>
          <w:color w:val="000000" w:themeColor="text1"/>
        </w:rPr>
        <w:t xml:space="preserve"> will be removed from study and euthanized.</w:t>
      </w:r>
    </w:p>
    <w:p w14:paraId="09CF2690" w14:textId="5B989E78" w:rsidR="00A16BA2" w:rsidRDefault="00BD7FD9" w:rsidP="00563F72">
      <w:pPr>
        <w:spacing w:before="120" w:after="0"/>
        <w:ind w:firstLine="720"/>
        <w:rPr>
          <w:bCs/>
          <w:color w:val="000000" w:themeColor="text1"/>
        </w:rPr>
      </w:pPr>
      <w:r w:rsidRPr="00F32B0A">
        <w:rPr>
          <w:b/>
          <w:color w:val="000000" w:themeColor="text1"/>
          <w:u w:val="single"/>
        </w:rPr>
        <w:t xml:space="preserve">Day 70 </w:t>
      </w:r>
      <w:proofErr w:type="spellStart"/>
      <w:r w:rsidRPr="00F32B0A">
        <w:rPr>
          <w:b/>
          <w:color w:val="000000" w:themeColor="text1"/>
          <w:u w:val="single"/>
        </w:rPr>
        <w:t>huAlb</w:t>
      </w:r>
      <w:proofErr w:type="spellEnd"/>
      <w:r w:rsidRPr="00F32B0A">
        <w:rPr>
          <w:b/>
          <w:color w:val="000000" w:themeColor="text1"/>
          <w:u w:val="single"/>
        </w:rPr>
        <w:t xml:space="preserve"> readout</w:t>
      </w:r>
      <w:r w:rsidRPr="00F32B0A">
        <w:rPr>
          <w:b/>
          <w:color w:val="000000" w:themeColor="text1"/>
        </w:rPr>
        <w:t xml:space="preserve">: </w:t>
      </w:r>
      <w:proofErr w:type="spellStart"/>
      <w:r w:rsidRPr="00F32B0A">
        <w:rPr>
          <w:bCs/>
          <w:color w:val="000000" w:themeColor="text1"/>
        </w:rPr>
        <w:t>hAlbumin</w:t>
      </w:r>
      <w:proofErr w:type="spellEnd"/>
      <w:r w:rsidRPr="00F32B0A">
        <w:rPr>
          <w:bCs/>
          <w:color w:val="000000" w:themeColor="text1"/>
        </w:rPr>
        <w:t xml:space="preserve"> </w:t>
      </w:r>
      <w:r w:rsidRPr="00F32B0A">
        <w:rPr>
          <w:b/>
          <w:color w:val="000000" w:themeColor="text1"/>
        </w:rPr>
        <w:t>≤ 750µg/mL</w:t>
      </w:r>
      <w:r w:rsidRPr="00F32B0A">
        <w:rPr>
          <w:bCs/>
          <w:color w:val="000000" w:themeColor="text1"/>
        </w:rPr>
        <w:t xml:space="preserve"> will be removed from study and euthanized.</w:t>
      </w:r>
    </w:p>
    <w:p w14:paraId="0904409B" w14:textId="77777777" w:rsidR="00F93739" w:rsidRDefault="00F93739" w:rsidP="00563F72">
      <w:pPr>
        <w:spacing w:before="120" w:after="0"/>
        <w:ind w:firstLine="720"/>
        <w:rPr>
          <w:bCs/>
          <w:color w:val="000000" w:themeColor="text1"/>
        </w:rPr>
      </w:pPr>
    </w:p>
    <w:p w14:paraId="5898F38C" w14:textId="48A1F399" w:rsidR="00C009EF" w:rsidRDefault="00F93739" w:rsidP="00C009EF">
      <w:pPr>
        <w:spacing w:after="0" w:line="240" w:lineRule="auto"/>
      </w:pPr>
      <w:r w:rsidRPr="00D261BD">
        <w:rPr>
          <w:b/>
          <w:bCs/>
          <w:u w:val="single"/>
        </w:rPr>
        <w:t xml:space="preserve">Day </w:t>
      </w:r>
      <w:r>
        <w:rPr>
          <w:b/>
          <w:bCs/>
          <w:u w:val="single"/>
        </w:rPr>
        <w:t>~ 30, 50, 70 and 90</w:t>
      </w:r>
      <w:r>
        <w:t>:</w:t>
      </w:r>
      <w:r w:rsidR="003B567C" w:rsidRPr="003B567C">
        <w:t xml:space="preserve"> </w:t>
      </w:r>
      <w:r w:rsidR="003B567C">
        <w:t>On the days indicated in the chart below and u</w:t>
      </w:r>
      <w:r w:rsidR="003B567C" w:rsidRPr="00563F72">
        <w:t xml:space="preserve">sing the standard urine collection method as much urine as possible will be collected from each animal and dispensed into 50µL aliquots before storing at -20C.  The animals will be </w:t>
      </w:r>
      <w:r w:rsidR="003B567C">
        <w:t>induced to a surgical plane of anesthesia</w:t>
      </w:r>
      <w:r w:rsidR="003B567C" w:rsidRPr="00563F72">
        <w:t xml:space="preserve"> with 3-5% isoflurane and ~500µL of whole blood collected</w:t>
      </w:r>
      <w:r w:rsidR="003B567C">
        <w:t xml:space="preserve"> via the retro-orbital vein</w:t>
      </w:r>
      <w:r w:rsidR="003B567C" w:rsidRPr="00563F72">
        <w:t>.  Serum will be isolated and 210µL dispensed sterile 1.5mL microfuge tube</w:t>
      </w:r>
      <w:r w:rsidR="003B567C">
        <w:t>s</w:t>
      </w:r>
      <w:r w:rsidR="003B567C" w:rsidRPr="00563F72">
        <w:t xml:space="preserve"> before storing at -20C</w:t>
      </w:r>
      <w:r w:rsidR="003B567C">
        <w:t xml:space="preserve">. </w:t>
      </w:r>
    </w:p>
    <w:p w14:paraId="080B04E9" w14:textId="77777777" w:rsidR="00635909" w:rsidRDefault="00635909" w:rsidP="00C009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588"/>
        <w:gridCol w:w="2588"/>
      </w:tblGrid>
      <w:tr w:rsidR="00635909" w:rsidRPr="00563F72" w14:paraId="6583C1CA" w14:textId="77777777" w:rsidTr="009E55F6">
        <w:trPr>
          <w:trHeight w:val="280"/>
        </w:trPr>
        <w:tc>
          <w:tcPr>
            <w:tcW w:w="2321" w:type="dxa"/>
          </w:tcPr>
          <w:p w14:paraId="72607BA0" w14:textId="77777777" w:rsidR="00635909" w:rsidRPr="00563F72" w:rsidRDefault="00635909" w:rsidP="00F32F5A">
            <w:pPr>
              <w:jc w:val="center"/>
            </w:pPr>
            <w:r w:rsidRPr="00563F72">
              <w:t>Phase</w:t>
            </w:r>
          </w:p>
        </w:tc>
        <w:tc>
          <w:tcPr>
            <w:tcW w:w="2588" w:type="dxa"/>
          </w:tcPr>
          <w:p w14:paraId="3E4EF12D" w14:textId="4406332B" w:rsidR="00635909" w:rsidRPr="00563F72" w:rsidRDefault="00635909" w:rsidP="00F32F5A">
            <w:pPr>
              <w:jc w:val="center"/>
            </w:pPr>
            <w:r>
              <w:t>Days post-transplant</w:t>
            </w:r>
          </w:p>
        </w:tc>
        <w:tc>
          <w:tcPr>
            <w:tcW w:w="2588" w:type="dxa"/>
          </w:tcPr>
          <w:p w14:paraId="7A73AE6B" w14:textId="77096404" w:rsidR="00635909" w:rsidRPr="00563F72" w:rsidRDefault="00635909" w:rsidP="00F32F5A">
            <w:pPr>
              <w:jc w:val="center"/>
            </w:pPr>
            <w:r w:rsidRPr="00563F72">
              <w:t>Day of collection ± 1 days</w:t>
            </w:r>
          </w:p>
        </w:tc>
      </w:tr>
      <w:tr w:rsidR="00635909" w:rsidRPr="00563F72" w14:paraId="50AC9995" w14:textId="77777777" w:rsidTr="009E55F6">
        <w:trPr>
          <w:trHeight w:val="260"/>
        </w:trPr>
        <w:tc>
          <w:tcPr>
            <w:tcW w:w="2321" w:type="dxa"/>
          </w:tcPr>
          <w:p w14:paraId="0AAE4777" w14:textId="71D119F5" w:rsidR="00635909" w:rsidRPr="00563F72" w:rsidRDefault="00635909" w:rsidP="00F32F5A">
            <w:pPr>
              <w:jc w:val="center"/>
            </w:pPr>
            <w:r w:rsidRPr="00563F72">
              <w:t>1</w:t>
            </w:r>
            <w:r>
              <w:t xml:space="preserve"> </w:t>
            </w:r>
          </w:p>
        </w:tc>
        <w:tc>
          <w:tcPr>
            <w:tcW w:w="2588" w:type="dxa"/>
          </w:tcPr>
          <w:p w14:paraId="5E8D5E62" w14:textId="4E82CEF4" w:rsidR="00635909" w:rsidRPr="00563F72" w:rsidRDefault="000A16E6" w:rsidP="00F32F5A">
            <w:pPr>
              <w:jc w:val="center"/>
            </w:pPr>
            <w:r>
              <w:t>~30</w:t>
            </w:r>
          </w:p>
        </w:tc>
        <w:tc>
          <w:tcPr>
            <w:tcW w:w="2588" w:type="dxa"/>
          </w:tcPr>
          <w:p w14:paraId="5AF854FB" w14:textId="5EA94984" w:rsidR="00635909" w:rsidRPr="00563F72" w:rsidRDefault="000A16E6" w:rsidP="00F32F5A">
            <w:pPr>
              <w:jc w:val="center"/>
            </w:pPr>
            <w:r>
              <w:t>September 8, 2021</w:t>
            </w:r>
          </w:p>
        </w:tc>
      </w:tr>
      <w:tr w:rsidR="00635909" w:rsidRPr="00563F72" w14:paraId="4DF063D2" w14:textId="77777777" w:rsidTr="009E55F6">
        <w:trPr>
          <w:trHeight w:val="260"/>
        </w:trPr>
        <w:tc>
          <w:tcPr>
            <w:tcW w:w="2321" w:type="dxa"/>
          </w:tcPr>
          <w:p w14:paraId="088CC5BE" w14:textId="77777777" w:rsidR="00635909" w:rsidRPr="00563F72" w:rsidRDefault="00635909" w:rsidP="00F32F5A">
            <w:pPr>
              <w:jc w:val="center"/>
            </w:pPr>
            <w:r w:rsidRPr="00563F72">
              <w:t>2</w:t>
            </w:r>
          </w:p>
        </w:tc>
        <w:tc>
          <w:tcPr>
            <w:tcW w:w="2588" w:type="dxa"/>
          </w:tcPr>
          <w:p w14:paraId="4788D758" w14:textId="0B4A559D" w:rsidR="00635909" w:rsidRPr="00563F72" w:rsidRDefault="000A16E6" w:rsidP="00F32F5A">
            <w:pPr>
              <w:jc w:val="center"/>
            </w:pPr>
            <w:r>
              <w:t>~50</w:t>
            </w:r>
          </w:p>
        </w:tc>
        <w:tc>
          <w:tcPr>
            <w:tcW w:w="2588" w:type="dxa"/>
          </w:tcPr>
          <w:p w14:paraId="1B8AD0FC" w14:textId="1C293F65" w:rsidR="00635909" w:rsidRPr="00563F72" w:rsidRDefault="000A16E6" w:rsidP="00F32F5A">
            <w:pPr>
              <w:jc w:val="center"/>
            </w:pPr>
            <w:r>
              <w:t>September 29, 2021</w:t>
            </w:r>
          </w:p>
        </w:tc>
      </w:tr>
      <w:tr w:rsidR="00635909" w:rsidRPr="00563F72" w14:paraId="7009555B" w14:textId="77777777" w:rsidTr="009E55F6">
        <w:trPr>
          <w:trHeight w:val="260"/>
        </w:trPr>
        <w:tc>
          <w:tcPr>
            <w:tcW w:w="2321" w:type="dxa"/>
          </w:tcPr>
          <w:p w14:paraId="1A324024" w14:textId="77777777" w:rsidR="00635909" w:rsidRPr="00563F72" w:rsidRDefault="00635909" w:rsidP="00F32F5A">
            <w:pPr>
              <w:jc w:val="center"/>
            </w:pPr>
            <w:r w:rsidRPr="00563F72">
              <w:t>3</w:t>
            </w:r>
          </w:p>
        </w:tc>
        <w:tc>
          <w:tcPr>
            <w:tcW w:w="2588" w:type="dxa"/>
          </w:tcPr>
          <w:p w14:paraId="6B22EADE" w14:textId="1C71EF2F" w:rsidR="00635909" w:rsidRPr="00563F72" w:rsidRDefault="000A16E6" w:rsidP="00F32F5A">
            <w:pPr>
              <w:jc w:val="center"/>
            </w:pPr>
            <w:r>
              <w:t>~70</w:t>
            </w:r>
          </w:p>
        </w:tc>
        <w:tc>
          <w:tcPr>
            <w:tcW w:w="2588" w:type="dxa"/>
          </w:tcPr>
          <w:p w14:paraId="14D3582F" w14:textId="126CD290" w:rsidR="00635909" w:rsidRPr="00563F72" w:rsidRDefault="000A16E6" w:rsidP="00F32F5A">
            <w:pPr>
              <w:jc w:val="center"/>
            </w:pPr>
            <w:r>
              <w:t>October 20, 2021</w:t>
            </w:r>
          </w:p>
        </w:tc>
      </w:tr>
      <w:tr w:rsidR="00635909" w:rsidRPr="00563F72" w14:paraId="61D36925" w14:textId="77777777" w:rsidTr="009E55F6">
        <w:trPr>
          <w:trHeight w:val="260"/>
        </w:trPr>
        <w:tc>
          <w:tcPr>
            <w:tcW w:w="2321" w:type="dxa"/>
          </w:tcPr>
          <w:p w14:paraId="311C87C9" w14:textId="77777777" w:rsidR="00635909" w:rsidRPr="00563F72" w:rsidRDefault="00635909" w:rsidP="00F32F5A">
            <w:pPr>
              <w:jc w:val="center"/>
            </w:pPr>
            <w:r w:rsidRPr="00563F72">
              <w:t>4</w:t>
            </w:r>
          </w:p>
        </w:tc>
        <w:tc>
          <w:tcPr>
            <w:tcW w:w="2588" w:type="dxa"/>
          </w:tcPr>
          <w:p w14:paraId="542EABB8" w14:textId="34F32BED" w:rsidR="00635909" w:rsidRPr="00563F72" w:rsidRDefault="000A16E6" w:rsidP="00F32F5A">
            <w:pPr>
              <w:jc w:val="center"/>
            </w:pPr>
            <w:r>
              <w:t>~90</w:t>
            </w:r>
          </w:p>
        </w:tc>
        <w:tc>
          <w:tcPr>
            <w:tcW w:w="2588" w:type="dxa"/>
          </w:tcPr>
          <w:p w14:paraId="2E91EA16" w14:textId="303758FA" w:rsidR="00635909" w:rsidRPr="00563F72" w:rsidRDefault="00BB0BE1" w:rsidP="00F32F5A">
            <w:pPr>
              <w:jc w:val="center"/>
            </w:pPr>
            <w:r>
              <w:t>November 10, 2021</w:t>
            </w:r>
          </w:p>
        </w:tc>
      </w:tr>
    </w:tbl>
    <w:p w14:paraId="3F8A05B4" w14:textId="2D09A5F4" w:rsidR="003B567C" w:rsidRDefault="003B567C" w:rsidP="00C009EF">
      <w:pPr>
        <w:spacing w:after="0" w:line="240" w:lineRule="auto"/>
      </w:pPr>
    </w:p>
    <w:p w14:paraId="45D3B47B" w14:textId="69C78F04" w:rsidR="00F93739" w:rsidRPr="003B567C" w:rsidRDefault="003B567C" w:rsidP="003B567C">
      <w:r>
        <w:t xml:space="preserve">As stated above in the study design, if the body condition is ≤ 3 and body weight loss &gt; 30% or a clinical score of ≥ 3.0, animals will be euthanized and blood, urine, kidney, </w:t>
      </w:r>
      <w:proofErr w:type="gramStart"/>
      <w:r>
        <w:t>liver</w:t>
      </w:r>
      <w:proofErr w:type="gramEnd"/>
      <w:r>
        <w:t xml:space="preserve"> and spleen collected as stated in Appendix A.</w:t>
      </w:r>
    </w:p>
    <w:p w14:paraId="66AAE7F3" w14:textId="5F5B9CBD" w:rsidR="00D261BD" w:rsidRPr="00F61C87" w:rsidRDefault="00D92089" w:rsidP="00F61C87">
      <w:r w:rsidRPr="00195C04">
        <w:rPr>
          <w:b/>
          <w:u w:val="single"/>
        </w:rPr>
        <w:t>Day 0</w:t>
      </w:r>
      <w:r>
        <w:rPr>
          <w:b/>
          <w:u w:val="single"/>
        </w:rPr>
        <w:t>-125</w:t>
      </w:r>
      <w:r w:rsidRPr="00195C04">
        <w:rPr>
          <w:b/>
          <w:u w:val="single"/>
        </w:rPr>
        <w:t>:</w:t>
      </w:r>
      <w:r w:rsidRPr="00195C04">
        <w:t xml:space="preserve"> </w:t>
      </w:r>
      <w:r>
        <w:t>Body weights and clinical scoring will be measured and documented up to three times each week.</w:t>
      </w:r>
      <w:r w:rsidRPr="00195C04">
        <w:t xml:space="preserve"> </w:t>
      </w:r>
    </w:p>
    <w:p w14:paraId="748E3C45" w14:textId="4243C62C" w:rsidR="0067482F" w:rsidRPr="00A63DEF" w:rsidRDefault="00BD7FD9" w:rsidP="00A63DEF">
      <w:pPr>
        <w:spacing w:before="240" w:after="0"/>
        <w:rPr>
          <w:bCs/>
          <w:color w:val="000000" w:themeColor="text1"/>
        </w:rPr>
      </w:pPr>
      <w:r w:rsidRPr="00910E15">
        <w:rPr>
          <w:b/>
          <w:color w:val="000000" w:themeColor="text1"/>
          <w:u w:val="single"/>
        </w:rPr>
        <w:t>Day &gt;125</w:t>
      </w:r>
      <w:r w:rsidRPr="00F32B0A">
        <w:rPr>
          <w:b/>
          <w:color w:val="000000" w:themeColor="text1"/>
        </w:rPr>
        <w:t xml:space="preserve">: </w:t>
      </w:r>
      <w:r w:rsidRPr="00F32B0A">
        <w:rPr>
          <w:bCs/>
          <w:color w:val="000000" w:themeColor="text1"/>
        </w:rPr>
        <w:t>IVS to notify PI and Perfusion Team of any remaining animals.</w:t>
      </w:r>
    </w:p>
    <w:p w14:paraId="3F328F50" w14:textId="5A01079F" w:rsidR="00D92089" w:rsidRDefault="00D92089" w:rsidP="00E71671">
      <w:pPr>
        <w:spacing w:before="240" w:after="120"/>
        <w:rPr>
          <w:b/>
        </w:rPr>
      </w:pPr>
      <w:r>
        <w:rPr>
          <w:b/>
        </w:rPr>
        <w:t>Animal care and welfare</w:t>
      </w:r>
      <w:r w:rsidR="00E71671">
        <w:rPr>
          <w:b/>
        </w:rPr>
        <w:t>:</w:t>
      </w:r>
      <w:r>
        <w:rPr>
          <w:b/>
        </w:rPr>
        <w:t xml:space="preserve"> </w:t>
      </w:r>
    </w:p>
    <w:p w14:paraId="2E355002" w14:textId="4AE2013A" w:rsidR="00D92089" w:rsidRPr="0030704E" w:rsidRDefault="00D92089" w:rsidP="00AF0F3B">
      <w:pPr>
        <w:pStyle w:val="Default"/>
        <w:rPr>
          <w:sz w:val="22"/>
          <w:szCs w:val="22"/>
        </w:rPr>
      </w:pPr>
      <w:r w:rsidRPr="0030704E">
        <w:rPr>
          <w:bCs/>
          <w:sz w:val="22"/>
          <w:szCs w:val="22"/>
        </w:rPr>
        <w:t xml:space="preserve">Refer to </w:t>
      </w:r>
      <w:r w:rsidRPr="008E5264">
        <w:rPr>
          <w:sz w:val="22"/>
          <w:szCs w:val="22"/>
        </w:rPr>
        <w:t>the document titled</w:t>
      </w:r>
      <w:r w:rsidRPr="0030704E">
        <w:rPr>
          <w:b/>
          <w:bCs/>
          <w:sz w:val="22"/>
          <w:szCs w:val="22"/>
        </w:rPr>
        <w:t xml:space="preserve"> “</w:t>
      </w:r>
      <w:r w:rsidR="00860A4F" w:rsidRPr="0030704E">
        <w:rPr>
          <w:b/>
          <w:bCs/>
          <w:sz w:val="22"/>
          <w:szCs w:val="22"/>
        </w:rPr>
        <w:t xml:space="preserve">VETERINARY CLINICAL CARE AND REPORTING FOR FRG RATS” </w:t>
      </w:r>
      <w:r w:rsidRPr="0030704E">
        <w:rPr>
          <w:sz w:val="22"/>
          <w:szCs w:val="22"/>
        </w:rPr>
        <w:t xml:space="preserve">for the evaluation and documentation of </w:t>
      </w:r>
      <w:r w:rsidR="004F5222" w:rsidRPr="0030704E">
        <w:rPr>
          <w:sz w:val="22"/>
          <w:szCs w:val="22"/>
        </w:rPr>
        <w:t>clinical status and palliative treatments</w:t>
      </w:r>
      <w:r w:rsidRPr="0030704E">
        <w:rPr>
          <w:b/>
          <w:bCs/>
          <w:sz w:val="22"/>
          <w:szCs w:val="22"/>
        </w:rPr>
        <w:t>.</w:t>
      </w:r>
      <w:r w:rsidRPr="0030704E" w:rsidDel="003E17D3">
        <w:rPr>
          <w:bCs/>
          <w:sz w:val="22"/>
          <w:szCs w:val="22"/>
        </w:rPr>
        <w:t xml:space="preserve"> </w:t>
      </w:r>
      <w:r w:rsidR="00C716C9" w:rsidRPr="0030704E">
        <w:rPr>
          <w:bCs/>
          <w:sz w:val="22"/>
          <w:szCs w:val="22"/>
        </w:rPr>
        <w:t>In reference to the group A and B assignments above, animals will be supplemented based on their group assignments.</w:t>
      </w:r>
    </w:p>
    <w:p w14:paraId="6034A6E3" w14:textId="18E8B2C2" w:rsidR="0038757A" w:rsidRDefault="0038757A" w:rsidP="00E71671">
      <w:pPr>
        <w:spacing w:before="240" w:after="120"/>
        <w:rPr>
          <w:b/>
        </w:rPr>
      </w:pPr>
      <w:r>
        <w:rPr>
          <w:b/>
        </w:rPr>
        <w:t xml:space="preserve">Additional </w:t>
      </w:r>
      <w:r w:rsidR="004F5222">
        <w:rPr>
          <w:b/>
        </w:rPr>
        <w:t xml:space="preserve">Veterinary </w:t>
      </w:r>
      <w:r>
        <w:rPr>
          <w:b/>
        </w:rPr>
        <w:t>Testing:</w:t>
      </w:r>
    </w:p>
    <w:p w14:paraId="18EB22EB" w14:textId="181A3B62" w:rsidR="0038757A" w:rsidRDefault="0038757A" w:rsidP="0038757A">
      <w:pPr>
        <w:rPr>
          <w:bCs/>
        </w:rPr>
      </w:pPr>
      <w:r>
        <w:rPr>
          <w:bCs/>
        </w:rPr>
        <w:t>For veterinary health and surveillance screening, the Attending Veterinarian may request aseptic sample collection of tissues in lieu of</w:t>
      </w:r>
      <w:r w:rsidR="0030704E">
        <w:rPr>
          <w:bCs/>
        </w:rPr>
        <w:t>, prior to or following</w:t>
      </w:r>
      <w:r>
        <w:rPr>
          <w:bCs/>
        </w:rPr>
        <w:t xml:space="preserve"> perfusion</w:t>
      </w:r>
      <w:r w:rsidR="0030704E">
        <w:rPr>
          <w:bCs/>
        </w:rPr>
        <w:t xml:space="preserve"> without interference to primary study objectives</w:t>
      </w:r>
      <w:r>
        <w:rPr>
          <w:bCs/>
        </w:rPr>
        <w:t xml:space="preserve">, under general anesthesia. Once all samples have been collected, the animal will be euthanized via exsanguination/vital organ removal.  </w:t>
      </w:r>
    </w:p>
    <w:p w14:paraId="4164E7F5" w14:textId="5723752C" w:rsidR="00BC47FE" w:rsidRDefault="00BC47FE" w:rsidP="0038757A">
      <w:pPr>
        <w:rPr>
          <w:bCs/>
        </w:rPr>
      </w:pPr>
    </w:p>
    <w:p w14:paraId="06530AA8" w14:textId="77777777" w:rsidR="00BC47FE" w:rsidRPr="0038757A" w:rsidRDefault="00BC47FE" w:rsidP="0038757A">
      <w:pPr>
        <w:rPr>
          <w:bCs/>
        </w:rPr>
      </w:pPr>
    </w:p>
    <w:p w14:paraId="4E4B20C3" w14:textId="73D8D372" w:rsidR="00D92089" w:rsidRDefault="00D92089" w:rsidP="00E71671">
      <w:pPr>
        <w:spacing w:before="240" w:after="120"/>
        <w:rPr>
          <w:b/>
        </w:rPr>
      </w:pPr>
      <w:r>
        <w:rPr>
          <w:b/>
        </w:rPr>
        <w:t>Humanized FRG rats for perfusion, hepatocyte isolation and human hepatocyte purification:</w:t>
      </w:r>
    </w:p>
    <w:p w14:paraId="43B0D105" w14:textId="7B91AE7D" w:rsidR="004F5222" w:rsidRDefault="004F5222">
      <w:pPr>
        <w:rPr>
          <w:bCs/>
        </w:rPr>
      </w:pPr>
      <w:r>
        <w:rPr>
          <w:bCs/>
        </w:rPr>
        <w:t>At</w:t>
      </w:r>
      <w:r w:rsidR="00D92089">
        <w:rPr>
          <w:bCs/>
        </w:rPr>
        <w:t xml:space="preserve"> ≥ 71 days post-transplant with human albumin concentrations of ≥ </w:t>
      </w:r>
      <w:r>
        <w:rPr>
          <w:bCs/>
        </w:rPr>
        <w:t>2,500µg</w:t>
      </w:r>
      <w:r w:rsidR="00D92089">
        <w:rPr>
          <w:bCs/>
        </w:rPr>
        <w:t>/mL</w:t>
      </w:r>
      <w:r>
        <w:rPr>
          <w:bCs/>
        </w:rPr>
        <w:t>, animals</w:t>
      </w:r>
      <w:r w:rsidR="00D92089">
        <w:rPr>
          <w:bCs/>
        </w:rPr>
        <w:t xml:space="preserve"> </w:t>
      </w:r>
      <w:r w:rsidR="001E0B06">
        <w:rPr>
          <w:bCs/>
        </w:rPr>
        <w:t xml:space="preserve">may </w:t>
      </w:r>
      <w:r w:rsidR="00D92089">
        <w:rPr>
          <w:bCs/>
        </w:rPr>
        <w:t xml:space="preserve">be offered to the Product Development team for optimization of processes involving </w:t>
      </w:r>
      <w:r>
        <w:rPr>
          <w:bCs/>
        </w:rPr>
        <w:t xml:space="preserve">liver </w:t>
      </w:r>
      <w:r w:rsidR="00D92089">
        <w:rPr>
          <w:bCs/>
        </w:rPr>
        <w:t>perfusion</w:t>
      </w:r>
      <w:r w:rsidR="00FA3EBD">
        <w:rPr>
          <w:bCs/>
        </w:rPr>
        <w:t xml:space="preserve"> (refer to the document titled “</w:t>
      </w:r>
      <w:r w:rsidR="00FA3EBD" w:rsidRPr="00FA3EBD">
        <w:rPr>
          <w:bCs/>
        </w:rPr>
        <w:t>Perfusion Procedure Guideline: Portal Vein and Inferior Vena Cava Approaches</w:t>
      </w:r>
      <w:r w:rsidR="00FA3EBD">
        <w:rPr>
          <w:bCs/>
        </w:rPr>
        <w:t>)</w:t>
      </w:r>
      <w:r w:rsidR="00D92089">
        <w:rPr>
          <w:bCs/>
        </w:rPr>
        <w:t xml:space="preserve">, hepatocyte isolation, human hepatocyte purification and in vitro characterization.  </w:t>
      </w:r>
    </w:p>
    <w:p w14:paraId="1403C4EA" w14:textId="3ACC7133" w:rsidR="00C009EF" w:rsidRDefault="00D92089" w:rsidP="00E434BA">
      <w:pPr>
        <w:rPr>
          <w:bCs/>
        </w:rPr>
      </w:pPr>
      <w:r>
        <w:rPr>
          <w:bCs/>
        </w:rPr>
        <w:t>Once the cannula has been inserted into the caudal vena cava or portal vein, secured and blood starts to fill the head, ≥ 500µL whole blood will be collected for sera isolation.  Alternatively, the blood may be collected from the tail vein based on</w:t>
      </w:r>
      <w:r w:rsidR="000F25F4">
        <w:rPr>
          <w:bCs/>
        </w:rPr>
        <w:t xml:space="preserve"> a</w:t>
      </w:r>
      <w:r>
        <w:rPr>
          <w:bCs/>
        </w:rPr>
        <w:t xml:space="preserve"> 50µL aliquot of sera will be dispensed into a pre-labeled sterile 1.5 mL tube for Tyrosine and </w:t>
      </w:r>
      <w:proofErr w:type="spellStart"/>
      <w:r>
        <w:rPr>
          <w:bCs/>
        </w:rPr>
        <w:t>Succinylacetone</w:t>
      </w:r>
      <w:proofErr w:type="spellEnd"/>
      <w:r>
        <w:rPr>
          <w:bCs/>
        </w:rPr>
        <w:t xml:space="preserve"> quantitation.  Remaining sera will be transferred to a second pre-labeled sterile 1.5mL tube.  Both aliquots should be stored at -20C until shipped for analysis</w:t>
      </w:r>
      <w:r w:rsidR="0038757A">
        <w:rPr>
          <w:bCs/>
        </w:rPr>
        <w:t>.</w:t>
      </w:r>
    </w:p>
    <w:p w14:paraId="501F84C6" w14:textId="64357233" w:rsidR="00BC47FE" w:rsidRDefault="00BC47FE" w:rsidP="00E434BA">
      <w:pPr>
        <w:rPr>
          <w:bCs/>
        </w:rPr>
      </w:pPr>
    </w:p>
    <w:p w14:paraId="716AF94C" w14:textId="77777777" w:rsidR="00BC47FE" w:rsidRPr="009F50FB" w:rsidRDefault="00BC47FE" w:rsidP="00E434BA">
      <w:pPr>
        <w:rPr>
          <w:bCs/>
        </w:rPr>
      </w:pPr>
    </w:p>
    <w:p w14:paraId="1BA6D29B" w14:textId="3D9B9083" w:rsidR="00E434BA" w:rsidRDefault="00E434BA" w:rsidP="00E434BA">
      <w:r>
        <w:t>Principal Investigator: _________________________________________</w:t>
      </w:r>
      <w:proofErr w:type="gramStart"/>
      <w:r>
        <w:t>Date:_</w:t>
      </w:r>
      <w:proofErr w:type="gramEnd"/>
      <w:r>
        <w:t>______________</w:t>
      </w:r>
    </w:p>
    <w:p w14:paraId="71B2FC56" w14:textId="5BAD6D68" w:rsidR="00837078" w:rsidRPr="00076959" w:rsidRDefault="00E434BA">
      <w:pPr>
        <w:rPr>
          <w:rFonts w:cstheme="minorHAnsi"/>
          <w:sz w:val="28"/>
          <w:szCs w:val="28"/>
        </w:rPr>
      </w:pPr>
      <w:r>
        <w:t>Head of Pharmacology (or alternate): _____________________________</w:t>
      </w:r>
      <w:proofErr w:type="gramStart"/>
      <w:r>
        <w:t>Date:_</w:t>
      </w:r>
      <w:proofErr w:type="gramEnd"/>
      <w:r>
        <w:t>_____________</w:t>
      </w:r>
      <w:r w:rsidR="00E107B7">
        <w:rPr>
          <w:rFonts w:cstheme="minorHAnsi"/>
          <w:sz w:val="28"/>
          <w:szCs w:val="28"/>
        </w:rPr>
        <w:t xml:space="preserve"> </w:t>
      </w:r>
      <w:r w:rsidR="00837078">
        <w:rPr>
          <w:rFonts w:cstheme="minorHAnsi"/>
          <w:b/>
          <w:bCs/>
        </w:rPr>
        <w:br w:type="page"/>
      </w:r>
    </w:p>
    <w:p w14:paraId="2E2FFDD5" w14:textId="14ADFC41" w:rsidR="009430B1" w:rsidRPr="009430B1" w:rsidRDefault="009430B1" w:rsidP="009430B1">
      <w:pPr>
        <w:pStyle w:val="Bodytext1"/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 w:rsidRPr="009430B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Appendix A:  Processing blood, </w:t>
      </w:r>
      <w:proofErr w:type="gramStart"/>
      <w:r w:rsidRPr="009430B1">
        <w:rPr>
          <w:rFonts w:asciiTheme="minorHAnsi" w:hAnsiTheme="minorHAnsi" w:cstheme="minorHAnsi"/>
          <w:b/>
          <w:bCs/>
          <w:sz w:val="22"/>
          <w:szCs w:val="22"/>
        </w:rPr>
        <w:t>urine</w:t>
      </w:r>
      <w:proofErr w:type="gramEnd"/>
      <w:r w:rsidRPr="009430B1">
        <w:rPr>
          <w:rFonts w:asciiTheme="minorHAnsi" w:hAnsiTheme="minorHAnsi" w:cstheme="minorHAnsi"/>
          <w:b/>
          <w:bCs/>
          <w:sz w:val="22"/>
          <w:szCs w:val="22"/>
        </w:rPr>
        <w:t xml:space="preserve"> and tissue samples</w:t>
      </w:r>
    </w:p>
    <w:p w14:paraId="0229A1EF" w14:textId="77777777" w:rsidR="009430B1" w:rsidRPr="009430B1" w:rsidRDefault="009430B1" w:rsidP="009430B1">
      <w:pPr>
        <w:pStyle w:val="Bodytext1"/>
        <w:spacing w:before="120"/>
        <w:rPr>
          <w:rFonts w:asciiTheme="minorHAnsi" w:hAnsiTheme="minorHAnsi" w:cstheme="minorHAnsi"/>
          <w:sz w:val="20"/>
          <w:szCs w:val="20"/>
          <w:u w:val="single"/>
        </w:rPr>
      </w:pPr>
      <w:r w:rsidRPr="009430B1">
        <w:rPr>
          <w:rFonts w:asciiTheme="minorHAnsi" w:hAnsiTheme="minorHAnsi" w:cstheme="minorHAnsi"/>
          <w:sz w:val="20"/>
          <w:szCs w:val="20"/>
          <w:u w:val="single"/>
        </w:rPr>
        <w:t>Blood collection</w:t>
      </w:r>
    </w:p>
    <w:p w14:paraId="1236013A" w14:textId="77777777" w:rsidR="009430B1" w:rsidRPr="009430B1" w:rsidRDefault="009430B1" w:rsidP="0095467A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Using Isoflurane, anesthetize the animal to a surgical plane of anesthesia (Induction 4-5%, maintenance 2-3%). Confirm with a firm toe pinch on both hind feet. </w:t>
      </w:r>
    </w:p>
    <w:p w14:paraId="3CD9D8C7" w14:textId="77777777" w:rsidR="009430B1" w:rsidRPr="009430B1" w:rsidRDefault="009430B1" w:rsidP="0095467A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Using operating scissors or other appropriately sized scissors, cut through the skin and muscle to open the peritoneal cavity. </w:t>
      </w:r>
    </w:p>
    <w:p w14:paraId="0C5E1872" w14:textId="77777777" w:rsidR="009430B1" w:rsidRPr="009430B1" w:rsidRDefault="009430B1" w:rsidP="0095467A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Using gauze, sweep the intestines out of the body cavity to expose the inferior vena cava. </w:t>
      </w:r>
    </w:p>
    <w:p w14:paraId="10DC9234" w14:textId="77777777" w:rsidR="009430B1" w:rsidRPr="009430B1" w:rsidRDefault="009430B1" w:rsidP="0095467A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Using 5 mL (rat) syringe and 25 G needle puncture the inferior vena cava and slowly withdraw 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9430B1">
        <w:rPr>
          <w:rFonts w:asciiTheme="minorHAnsi" w:hAnsiTheme="minorHAnsi" w:cstheme="minorHAnsi"/>
          <w:sz w:val="20"/>
          <w:szCs w:val="20"/>
        </w:rPr>
        <w:t xml:space="preserve">mL of blood from rat. Be careful to not collapse the vein by creating too much vacuum pressure. </w:t>
      </w:r>
    </w:p>
    <w:p w14:paraId="78E17E9F" w14:textId="77777777" w:rsidR="009430B1" w:rsidRPr="009430B1" w:rsidRDefault="009430B1" w:rsidP="0095467A">
      <w:pPr>
        <w:pStyle w:val="Bodytext1"/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  <w:u w:val="single"/>
        </w:rPr>
        <w:t>Serum</w:t>
      </w:r>
      <w:r w:rsidRPr="009430B1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7DC3A0A1" w14:textId="77777777" w:rsidR="009430B1" w:rsidRPr="009430B1" w:rsidRDefault="009430B1" w:rsidP="0095467A">
      <w:pPr>
        <w:pStyle w:val="Bodytext1"/>
        <w:numPr>
          <w:ilvl w:val="0"/>
          <w:numId w:val="1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Dispense ≤ 2mL whole blood volume into 4mL serum separator tube and allow to clot for at least 1 hour at room temperature. </w:t>
      </w:r>
    </w:p>
    <w:p w14:paraId="54F63EE4" w14:textId="77777777" w:rsidR="009430B1" w:rsidRPr="009430B1" w:rsidRDefault="009430B1" w:rsidP="0095467A">
      <w:pPr>
        <w:pStyle w:val="Bodytext1"/>
        <w:numPr>
          <w:ilvl w:val="0"/>
          <w:numId w:val="1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Centrifuge at 10,000 rpm for 5 minutes. </w:t>
      </w:r>
    </w:p>
    <w:p w14:paraId="05D79B28" w14:textId="77777777" w:rsidR="009430B1" w:rsidRPr="009430B1" w:rsidRDefault="009430B1" w:rsidP="0095467A">
      <w:pPr>
        <w:pStyle w:val="Bodytext1"/>
        <w:numPr>
          <w:ilvl w:val="0"/>
          <w:numId w:val="1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>Dispense 220µL into 4 X 1.5 sterile mL tube, store at -80C</w:t>
      </w:r>
    </w:p>
    <w:p w14:paraId="3B67F758" w14:textId="77777777" w:rsidR="009430B1" w:rsidRPr="009430B1" w:rsidRDefault="009430B1" w:rsidP="0095467A">
      <w:pPr>
        <w:pStyle w:val="Bodytext1"/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  <w:u w:val="single"/>
        </w:rPr>
        <w:t>Plasma</w:t>
      </w:r>
      <w:r w:rsidRPr="009430B1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E88AC15" w14:textId="77777777" w:rsidR="009430B1" w:rsidRPr="009430B1" w:rsidRDefault="009430B1" w:rsidP="0095467A">
      <w:pPr>
        <w:pStyle w:val="Bodytext1"/>
        <w:numPr>
          <w:ilvl w:val="0"/>
          <w:numId w:val="1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Dispense ≥ 1mL of whole blood in a 4mLK2EDTA anticoagulation micro tube (do not overfill or blood will clot). </w:t>
      </w:r>
    </w:p>
    <w:p w14:paraId="7C3E758C" w14:textId="77777777" w:rsidR="009430B1" w:rsidRPr="009430B1" w:rsidRDefault="009430B1" w:rsidP="0095467A">
      <w:pPr>
        <w:pStyle w:val="Bodytext1"/>
        <w:numPr>
          <w:ilvl w:val="0"/>
          <w:numId w:val="1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>Gently invert 3 times (do not shake) to facilitate complete mixing with anticoagulant.</w:t>
      </w:r>
    </w:p>
    <w:p w14:paraId="0330667D" w14:textId="77777777" w:rsidR="009430B1" w:rsidRPr="009430B1" w:rsidRDefault="009430B1" w:rsidP="0095467A">
      <w:pPr>
        <w:pStyle w:val="Bodytext1"/>
        <w:numPr>
          <w:ilvl w:val="0"/>
          <w:numId w:val="1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Centrifuge at 10,000 rpm for 5 minutes. </w:t>
      </w:r>
    </w:p>
    <w:p w14:paraId="72D868CD" w14:textId="29A3C064" w:rsidR="009430B1" w:rsidRDefault="009430B1" w:rsidP="0095467A">
      <w:pPr>
        <w:pStyle w:val="Bodytext1"/>
        <w:numPr>
          <w:ilvl w:val="0"/>
          <w:numId w:val="1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Dispense 80µL into 4 X 1.5 sterile mL tube, store at -80C </w:t>
      </w:r>
    </w:p>
    <w:p w14:paraId="0A187654" w14:textId="5FEB6C19" w:rsidR="009430B1" w:rsidRPr="009430B1" w:rsidRDefault="009430B1" w:rsidP="009430B1">
      <w:pPr>
        <w:pStyle w:val="Bodytext1"/>
        <w:rPr>
          <w:rFonts w:asciiTheme="minorHAnsi" w:hAnsiTheme="minorHAnsi" w:cstheme="minorHAnsi"/>
          <w:sz w:val="20"/>
          <w:szCs w:val="20"/>
          <w:u w:val="single"/>
        </w:rPr>
      </w:pPr>
      <w:r w:rsidRPr="009430B1">
        <w:rPr>
          <w:rFonts w:asciiTheme="minorHAnsi" w:hAnsiTheme="minorHAnsi" w:cstheme="minorHAnsi"/>
          <w:sz w:val="20"/>
          <w:szCs w:val="20"/>
          <w:u w:val="single"/>
        </w:rPr>
        <w:t>Urine</w:t>
      </w:r>
      <w:r w:rsidR="0095467A">
        <w:rPr>
          <w:rFonts w:asciiTheme="minorHAnsi" w:hAnsiTheme="minorHAnsi" w:cstheme="minorHAnsi"/>
          <w:sz w:val="20"/>
          <w:szCs w:val="20"/>
          <w:u w:val="single"/>
        </w:rPr>
        <w:t xml:space="preserve"> during Necropsy</w:t>
      </w:r>
    </w:p>
    <w:p w14:paraId="27213505" w14:textId="243434B6" w:rsidR="009430B1" w:rsidRPr="009430B1" w:rsidRDefault="009430B1" w:rsidP="009430B1">
      <w:pPr>
        <w:pStyle w:val="Bodytext1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9430B1">
        <w:rPr>
          <w:rFonts w:asciiTheme="minorHAnsi" w:hAnsiTheme="minorHAnsi" w:cstheme="minorHAnsi"/>
          <w:sz w:val="20"/>
          <w:szCs w:val="20"/>
        </w:rPr>
        <w:t xml:space="preserve">Following collection of blood, collect urine (if present) via cystocentesis. Urine to be placed in labeled freezer compatible tube and store at </w:t>
      </w:r>
      <w:r w:rsidRPr="009430B1">
        <w:rPr>
          <w:rFonts w:asciiTheme="minorHAnsi" w:hAnsiTheme="minorHAnsi" w:cstheme="minorHAnsi"/>
          <w:sz w:val="20"/>
          <w:szCs w:val="20"/>
          <w:vertAlign w:val="superscript"/>
        </w:rPr>
        <w:t>-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9430B1">
        <w:rPr>
          <w:rFonts w:asciiTheme="minorHAnsi" w:hAnsiTheme="minorHAnsi" w:cstheme="minorHAnsi"/>
          <w:sz w:val="20"/>
          <w:szCs w:val="20"/>
        </w:rPr>
        <w:t>0</w:t>
      </w:r>
      <w:r w:rsidRPr="009430B1">
        <w:rPr>
          <w:rFonts w:asciiTheme="minorHAnsi" w:hAnsiTheme="minorHAnsi" w:cstheme="minorHAnsi"/>
          <w:sz w:val="20"/>
          <w:szCs w:val="20"/>
          <w:vertAlign w:val="superscript"/>
        </w:rPr>
        <w:t>o</w:t>
      </w:r>
      <w:r w:rsidRPr="009430B1">
        <w:rPr>
          <w:rFonts w:asciiTheme="minorHAnsi" w:hAnsiTheme="minorHAnsi" w:cstheme="minorHAnsi"/>
          <w:sz w:val="20"/>
          <w:szCs w:val="20"/>
        </w:rPr>
        <w:t xml:space="preserve">C </w:t>
      </w:r>
    </w:p>
    <w:p w14:paraId="733984CC" w14:textId="77777777" w:rsidR="009430B1" w:rsidRPr="009430B1" w:rsidRDefault="009430B1" w:rsidP="009430B1">
      <w:pPr>
        <w:spacing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 w:rsidRPr="009430B1">
        <w:rPr>
          <w:color w:val="000000"/>
          <w:sz w:val="20"/>
          <w:szCs w:val="20"/>
          <w:u w:val="single"/>
        </w:rPr>
        <w:t>Collection of Liver </w:t>
      </w:r>
    </w:p>
    <w:p w14:paraId="00A86E7D" w14:textId="77777777" w:rsidR="009430B1" w:rsidRPr="009430B1" w:rsidRDefault="009430B1" w:rsidP="009430B1">
      <w:pPr>
        <w:pStyle w:val="ListParagraph"/>
        <w:numPr>
          <w:ilvl w:val="0"/>
          <w:numId w:val="27"/>
        </w:numPr>
        <w:spacing w:line="240" w:lineRule="auto"/>
        <w:rPr>
          <w:color w:val="000000"/>
          <w:sz w:val="20"/>
          <w:szCs w:val="20"/>
        </w:rPr>
      </w:pPr>
      <w:r w:rsidRPr="009430B1">
        <w:rPr>
          <w:color w:val="000000"/>
          <w:sz w:val="20"/>
          <w:szCs w:val="20"/>
        </w:rPr>
        <w:t>Using blunt tipped scissors (curved if possible) separate the liver from the diaphragm, blood vessels and connective tissue and remove the liver from the body cavity.</w:t>
      </w:r>
    </w:p>
    <w:p w14:paraId="58A365EF" w14:textId="77777777" w:rsidR="009430B1" w:rsidRPr="009430B1" w:rsidRDefault="009430B1" w:rsidP="009430B1">
      <w:pPr>
        <w:pStyle w:val="ListParagraph"/>
        <w:numPr>
          <w:ilvl w:val="0"/>
          <w:numId w:val="27"/>
        </w:numPr>
        <w:spacing w:line="240" w:lineRule="auto"/>
        <w:rPr>
          <w:color w:val="000000"/>
          <w:sz w:val="20"/>
          <w:szCs w:val="20"/>
          <w:highlight w:val="white"/>
        </w:rPr>
      </w:pPr>
      <w:r w:rsidRPr="009430B1">
        <w:rPr>
          <w:sz w:val="20"/>
          <w:szCs w:val="20"/>
          <w:highlight w:val="white"/>
        </w:rPr>
        <w:t>Make 4-5, 1cm nicks across the liver to facilitate fixation.</w:t>
      </w:r>
    </w:p>
    <w:p w14:paraId="0F8A6855" w14:textId="77777777" w:rsidR="009430B1" w:rsidRPr="009430B1" w:rsidRDefault="009430B1" w:rsidP="009430B1">
      <w:pPr>
        <w:pStyle w:val="ListParagraph"/>
        <w:numPr>
          <w:ilvl w:val="0"/>
          <w:numId w:val="27"/>
        </w:numPr>
        <w:spacing w:line="240" w:lineRule="auto"/>
        <w:rPr>
          <w:color w:val="000000"/>
          <w:sz w:val="20"/>
          <w:szCs w:val="20"/>
          <w:highlight w:val="white"/>
        </w:rPr>
      </w:pPr>
      <w:r w:rsidRPr="009430B1">
        <w:rPr>
          <w:sz w:val="20"/>
          <w:szCs w:val="20"/>
          <w:highlight w:val="white"/>
        </w:rPr>
        <w:t>Place whole liver in bottle of 10% NBF.</w:t>
      </w:r>
    </w:p>
    <w:p w14:paraId="4BD1300A" w14:textId="77777777" w:rsidR="009430B1" w:rsidRPr="009430B1" w:rsidRDefault="009430B1" w:rsidP="009430B1">
      <w:pPr>
        <w:spacing w:line="240" w:lineRule="auto"/>
        <w:rPr>
          <w:color w:val="000000"/>
          <w:sz w:val="20"/>
          <w:szCs w:val="20"/>
          <w:u w:val="single"/>
        </w:rPr>
      </w:pPr>
      <w:r w:rsidRPr="009430B1">
        <w:rPr>
          <w:color w:val="000000"/>
          <w:sz w:val="20"/>
          <w:szCs w:val="20"/>
          <w:u w:val="single"/>
        </w:rPr>
        <w:t xml:space="preserve">Collection of the Kidney </w:t>
      </w:r>
    </w:p>
    <w:p w14:paraId="332CBB16" w14:textId="77777777" w:rsidR="009430B1" w:rsidRPr="009430B1" w:rsidRDefault="009430B1" w:rsidP="009430B1">
      <w:pPr>
        <w:pStyle w:val="ListParagraph"/>
        <w:numPr>
          <w:ilvl w:val="0"/>
          <w:numId w:val="28"/>
        </w:numPr>
        <w:spacing w:line="240" w:lineRule="auto"/>
        <w:rPr>
          <w:color w:val="000000"/>
          <w:sz w:val="20"/>
          <w:szCs w:val="20"/>
        </w:rPr>
      </w:pPr>
      <w:r w:rsidRPr="009430B1">
        <w:rPr>
          <w:color w:val="000000"/>
          <w:sz w:val="20"/>
          <w:szCs w:val="20"/>
        </w:rPr>
        <w:t>Remove the</w:t>
      </w:r>
      <w:r w:rsidRPr="009430B1">
        <w:rPr>
          <w:color w:val="FF0000"/>
          <w:sz w:val="20"/>
          <w:szCs w:val="20"/>
          <w:highlight w:val="white"/>
        </w:rPr>
        <w:t xml:space="preserve"> </w:t>
      </w:r>
      <w:r w:rsidRPr="009430B1">
        <w:rPr>
          <w:color w:val="000000" w:themeColor="text1"/>
          <w:sz w:val="20"/>
          <w:szCs w:val="20"/>
          <w:highlight w:val="white"/>
        </w:rPr>
        <w:t>adrenal glands</w:t>
      </w:r>
      <w:r w:rsidRPr="009430B1">
        <w:rPr>
          <w:color w:val="000000"/>
          <w:sz w:val="20"/>
          <w:szCs w:val="20"/>
        </w:rPr>
        <w:t>, located in the fat cranial to the kidneys.</w:t>
      </w:r>
    </w:p>
    <w:p w14:paraId="56121175" w14:textId="77777777" w:rsidR="009430B1" w:rsidRPr="009430B1" w:rsidRDefault="009430B1" w:rsidP="009430B1">
      <w:pPr>
        <w:pStyle w:val="ListParagraph"/>
        <w:numPr>
          <w:ilvl w:val="0"/>
          <w:numId w:val="28"/>
        </w:numPr>
        <w:spacing w:line="240" w:lineRule="auto"/>
        <w:rPr>
          <w:color w:val="000000"/>
          <w:sz w:val="20"/>
          <w:szCs w:val="20"/>
        </w:rPr>
      </w:pPr>
      <w:r w:rsidRPr="009430B1">
        <w:rPr>
          <w:color w:val="000000"/>
          <w:sz w:val="20"/>
          <w:szCs w:val="20"/>
        </w:rPr>
        <w:t>Dissect the kidneys away from the fat and cut at the juncture of the kidney with the renal artery and vein.  </w:t>
      </w:r>
    </w:p>
    <w:p w14:paraId="0E34A6E0" w14:textId="77777777" w:rsidR="009430B1" w:rsidRPr="009430B1" w:rsidRDefault="009430B1" w:rsidP="009430B1">
      <w:pPr>
        <w:pStyle w:val="ListParagraph"/>
        <w:numPr>
          <w:ilvl w:val="0"/>
          <w:numId w:val="28"/>
        </w:numPr>
        <w:spacing w:line="240" w:lineRule="auto"/>
        <w:rPr>
          <w:color w:val="000000"/>
          <w:sz w:val="20"/>
          <w:szCs w:val="20"/>
        </w:rPr>
      </w:pPr>
      <w:r w:rsidRPr="009430B1">
        <w:rPr>
          <w:color w:val="000000"/>
          <w:sz w:val="20"/>
          <w:szCs w:val="20"/>
        </w:rPr>
        <w:t>Transect the left kidney (transverse section) with a scalpel blade or straight razor</w:t>
      </w:r>
      <w:r w:rsidRPr="009430B1">
        <w:rPr>
          <w:sz w:val="20"/>
          <w:szCs w:val="20"/>
        </w:rPr>
        <w:t>.</w:t>
      </w:r>
    </w:p>
    <w:p w14:paraId="14F28C09" w14:textId="77777777" w:rsidR="009430B1" w:rsidRPr="009430B1" w:rsidRDefault="009430B1" w:rsidP="009430B1">
      <w:pPr>
        <w:pStyle w:val="ListParagraph"/>
        <w:numPr>
          <w:ilvl w:val="0"/>
          <w:numId w:val="28"/>
        </w:numPr>
        <w:spacing w:line="240" w:lineRule="auto"/>
        <w:rPr>
          <w:color w:val="000000"/>
          <w:sz w:val="20"/>
          <w:szCs w:val="20"/>
        </w:rPr>
      </w:pPr>
      <w:r w:rsidRPr="009430B1">
        <w:rPr>
          <w:color w:val="000000"/>
          <w:sz w:val="20"/>
          <w:szCs w:val="20"/>
        </w:rPr>
        <w:t>Longitudinally bisect the right kidney at the midline</w:t>
      </w:r>
      <w:r w:rsidRPr="009430B1">
        <w:rPr>
          <w:sz w:val="20"/>
          <w:szCs w:val="20"/>
        </w:rPr>
        <w:t>.</w:t>
      </w:r>
    </w:p>
    <w:p w14:paraId="37F2F2A3" w14:textId="416817BB" w:rsidR="009430B1" w:rsidRPr="0095467A" w:rsidRDefault="009430B1" w:rsidP="009430B1">
      <w:pPr>
        <w:pStyle w:val="ListParagraph"/>
        <w:numPr>
          <w:ilvl w:val="0"/>
          <w:numId w:val="28"/>
        </w:numPr>
        <w:spacing w:line="240" w:lineRule="auto"/>
        <w:rPr>
          <w:color w:val="000000"/>
          <w:sz w:val="20"/>
          <w:szCs w:val="20"/>
        </w:rPr>
      </w:pPr>
      <w:r w:rsidRPr="009430B1">
        <w:rPr>
          <w:sz w:val="20"/>
          <w:szCs w:val="20"/>
        </w:rPr>
        <w:t>Place into a bottle with 10% NBF</w:t>
      </w:r>
    </w:p>
    <w:p w14:paraId="51633D3F" w14:textId="77777777" w:rsidR="0095467A" w:rsidRPr="0095467A" w:rsidRDefault="0095467A" w:rsidP="0095467A">
      <w:pPr>
        <w:spacing w:line="240" w:lineRule="auto"/>
        <w:ind w:left="360"/>
        <w:rPr>
          <w:color w:val="000000"/>
          <w:sz w:val="20"/>
          <w:szCs w:val="20"/>
        </w:rPr>
      </w:pPr>
    </w:p>
    <w:p w14:paraId="7E5327FC" w14:textId="77777777" w:rsidR="009430B1" w:rsidRPr="009430B1" w:rsidRDefault="009430B1" w:rsidP="009430B1">
      <w:pPr>
        <w:pStyle w:val="Bodytext1"/>
        <w:ind w:left="720"/>
        <w:rPr>
          <w:rFonts w:asciiTheme="minorHAnsi" w:hAnsiTheme="minorHAnsi" w:cstheme="minorHAnsi"/>
          <w:sz w:val="20"/>
          <w:szCs w:val="20"/>
        </w:rPr>
      </w:pPr>
    </w:p>
    <w:p w14:paraId="14EEF4BF" w14:textId="77777777" w:rsidR="009430B1" w:rsidRPr="00E107B7" w:rsidRDefault="009430B1" w:rsidP="00E107B7"/>
    <w:sectPr w:rsidR="009430B1" w:rsidRPr="00E107B7" w:rsidSect="00D06221">
      <w:headerReference w:type="default" r:id="rId8"/>
      <w:pgSz w:w="12240" w:h="15840"/>
      <w:pgMar w:top="835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0898" w14:textId="77777777" w:rsidR="00714574" w:rsidRDefault="00714574" w:rsidP="004443C0">
      <w:pPr>
        <w:spacing w:after="0" w:line="240" w:lineRule="auto"/>
      </w:pPr>
      <w:r>
        <w:separator/>
      </w:r>
    </w:p>
  </w:endnote>
  <w:endnote w:type="continuationSeparator" w:id="0">
    <w:p w14:paraId="28EDD2E8" w14:textId="77777777" w:rsidR="00714574" w:rsidRDefault="00714574" w:rsidP="0044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23AD" w14:textId="77777777" w:rsidR="00714574" w:rsidRDefault="00714574" w:rsidP="004443C0">
      <w:pPr>
        <w:spacing w:after="0" w:line="240" w:lineRule="auto"/>
      </w:pPr>
      <w:r>
        <w:separator/>
      </w:r>
    </w:p>
  </w:footnote>
  <w:footnote w:type="continuationSeparator" w:id="0">
    <w:p w14:paraId="4C2C097B" w14:textId="77777777" w:rsidR="00714574" w:rsidRDefault="00714574" w:rsidP="00444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404E" w14:textId="266902B6" w:rsidR="004443C0" w:rsidRPr="004443C0" w:rsidRDefault="004443C0" w:rsidP="004443C0">
    <w:pPr>
      <w:pStyle w:val="Header"/>
      <w:pBdr>
        <w:bottom w:val="single" w:sz="4" w:space="1" w:color="auto"/>
      </w:pBdr>
      <w:rPr>
        <w:b/>
        <w:bCs/>
      </w:rPr>
    </w:pPr>
    <w:r>
      <w:rPr>
        <w:b/>
        <w:bCs/>
        <w:noProof/>
      </w:rPr>
      <w:drawing>
        <wp:inline distT="0" distB="0" distL="0" distR="0" wp14:anchorId="7AF1394E" wp14:editId="6951876B">
          <wp:extent cx="1441241" cy="411783"/>
          <wp:effectExtent l="0" t="0" r="0" b="0"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2624" cy="420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</w:rPr>
      <w:tab/>
    </w:r>
    <w:r>
      <w:rPr>
        <w:b/>
        <w:bCs/>
      </w:rPr>
      <w:tab/>
    </w:r>
    <w:r w:rsidRPr="004443C0">
      <w:rPr>
        <w:b/>
        <w:bCs/>
      </w:rPr>
      <w:t>Study ID:</w:t>
    </w:r>
    <w:r>
      <w:rPr>
        <w:b/>
        <w:bCs/>
      </w:rPr>
      <w:t xml:space="preserve"> AMI-018-006-</w:t>
    </w:r>
    <w:r w:rsidR="00550463">
      <w:rPr>
        <w:b/>
        <w:bCs/>
      </w:rPr>
      <w:t>1</w:t>
    </w:r>
    <w:r w:rsidR="00ED34D6">
      <w:rPr>
        <w:b/>
        <w:bCs/>
      </w:rPr>
      <w:t>2</w:t>
    </w:r>
    <w:r w:rsidR="00982259">
      <w:rPr>
        <w:b/>
        <w:bCs/>
      </w:rPr>
      <w:t>3</w:t>
    </w:r>
  </w:p>
  <w:p w14:paraId="7E792CC1" w14:textId="56FB3298" w:rsidR="004443C0" w:rsidRPr="004443C0" w:rsidRDefault="004443C0" w:rsidP="004443C0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b/>
        <w:bCs/>
      </w:rPr>
      <w:tab/>
      <w:t xml:space="preserve">                                                                                                                      PI:   Lisa Wilson</w:t>
    </w: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15601E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ascii="Arial" w:hAnsi="Arial" w:hint="default"/>
        <w:b/>
        <w:bCs/>
        <w:i w:val="0"/>
        <w:iCs w:val="0"/>
        <w:caps/>
        <w:smallCaps w:val="0"/>
        <w:strike w:val="0"/>
        <w:dstrike w:val="0"/>
        <w:color w:val="auto"/>
        <w:spacing w:val="0"/>
        <w:w w:val="100"/>
        <w:kern w:val="28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184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904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624" w:hanging="720"/>
      </w:pPr>
      <w:rPr>
        <w:rFonts w:hint="default"/>
      </w:rPr>
    </w:lvl>
  </w:abstractNum>
  <w:abstractNum w:abstractNumId="1" w15:restartNumberingAfterBreak="0">
    <w:nsid w:val="005E4E14"/>
    <w:multiLevelType w:val="hybridMultilevel"/>
    <w:tmpl w:val="3EBA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C571D"/>
    <w:multiLevelType w:val="multilevel"/>
    <w:tmpl w:val="E95AC880"/>
    <w:lvl w:ilvl="0">
      <w:start w:val="6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0D5102FC"/>
    <w:multiLevelType w:val="hybridMultilevel"/>
    <w:tmpl w:val="3D34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0901"/>
    <w:multiLevelType w:val="hybridMultilevel"/>
    <w:tmpl w:val="0D9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75CCD"/>
    <w:multiLevelType w:val="hybridMultilevel"/>
    <w:tmpl w:val="A89C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31F"/>
    <w:multiLevelType w:val="hybridMultilevel"/>
    <w:tmpl w:val="2734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4A5F"/>
    <w:multiLevelType w:val="hybridMultilevel"/>
    <w:tmpl w:val="C4EC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57044"/>
    <w:multiLevelType w:val="hybridMultilevel"/>
    <w:tmpl w:val="4754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6724F"/>
    <w:multiLevelType w:val="hybridMultilevel"/>
    <w:tmpl w:val="0E7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823B6"/>
    <w:multiLevelType w:val="hybridMultilevel"/>
    <w:tmpl w:val="15E6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9096C"/>
    <w:multiLevelType w:val="hybridMultilevel"/>
    <w:tmpl w:val="DB70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47CFC"/>
    <w:multiLevelType w:val="hybridMultilevel"/>
    <w:tmpl w:val="7468516E"/>
    <w:lvl w:ilvl="0" w:tplc="A392C33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D72F8"/>
    <w:multiLevelType w:val="hybridMultilevel"/>
    <w:tmpl w:val="A59C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6DA"/>
    <w:multiLevelType w:val="hybridMultilevel"/>
    <w:tmpl w:val="E036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40B81"/>
    <w:multiLevelType w:val="hybridMultilevel"/>
    <w:tmpl w:val="C5E8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3125A"/>
    <w:multiLevelType w:val="hybridMultilevel"/>
    <w:tmpl w:val="7998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E3BF0"/>
    <w:multiLevelType w:val="hybridMultilevel"/>
    <w:tmpl w:val="721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7685D"/>
    <w:multiLevelType w:val="hybridMultilevel"/>
    <w:tmpl w:val="7DAA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33AEF"/>
    <w:multiLevelType w:val="hybridMultilevel"/>
    <w:tmpl w:val="2322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B7B8B"/>
    <w:multiLevelType w:val="multilevel"/>
    <w:tmpl w:val="8790FF3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50C4BCA"/>
    <w:multiLevelType w:val="hybridMultilevel"/>
    <w:tmpl w:val="1D047F02"/>
    <w:lvl w:ilvl="0" w:tplc="0E7E4E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52257C"/>
    <w:multiLevelType w:val="hybridMultilevel"/>
    <w:tmpl w:val="6BEE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132EE"/>
    <w:multiLevelType w:val="hybridMultilevel"/>
    <w:tmpl w:val="4378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B3685"/>
    <w:multiLevelType w:val="hybridMultilevel"/>
    <w:tmpl w:val="8694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02129"/>
    <w:multiLevelType w:val="hybridMultilevel"/>
    <w:tmpl w:val="1CB6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E3063"/>
    <w:multiLevelType w:val="hybridMultilevel"/>
    <w:tmpl w:val="EC90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20B38"/>
    <w:multiLevelType w:val="hybridMultilevel"/>
    <w:tmpl w:val="423E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66522"/>
    <w:multiLevelType w:val="hybridMultilevel"/>
    <w:tmpl w:val="2D4C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F20AA"/>
    <w:multiLevelType w:val="hybridMultilevel"/>
    <w:tmpl w:val="D8863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FB18E1"/>
    <w:multiLevelType w:val="hybridMultilevel"/>
    <w:tmpl w:val="2FCC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11"/>
  </w:num>
  <w:num w:numId="5">
    <w:abstractNumId w:val="25"/>
  </w:num>
  <w:num w:numId="6">
    <w:abstractNumId w:val="1"/>
  </w:num>
  <w:num w:numId="7">
    <w:abstractNumId w:val="7"/>
  </w:num>
  <w:num w:numId="8">
    <w:abstractNumId w:val="15"/>
  </w:num>
  <w:num w:numId="9">
    <w:abstractNumId w:val="5"/>
  </w:num>
  <w:num w:numId="10">
    <w:abstractNumId w:val="28"/>
  </w:num>
  <w:num w:numId="11">
    <w:abstractNumId w:val="21"/>
  </w:num>
  <w:num w:numId="12">
    <w:abstractNumId w:val="14"/>
  </w:num>
  <w:num w:numId="13">
    <w:abstractNumId w:val="23"/>
  </w:num>
  <w:num w:numId="14">
    <w:abstractNumId w:val="24"/>
  </w:num>
  <w:num w:numId="15">
    <w:abstractNumId w:val="8"/>
  </w:num>
  <w:num w:numId="16">
    <w:abstractNumId w:val="27"/>
  </w:num>
  <w:num w:numId="17">
    <w:abstractNumId w:val="18"/>
  </w:num>
  <w:num w:numId="18">
    <w:abstractNumId w:val="26"/>
  </w:num>
  <w:num w:numId="19">
    <w:abstractNumId w:val="3"/>
  </w:num>
  <w:num w:numId="20">
    <w:abstractNumId w:val="17"/>
  </w:num>
  <w:num w:numId="21">
    <w:abstractNumId w:val="0"/>
  </w:num>
  <w:num w:numId="22">
    <w:abstractNumId w:val="9"/>
  </w:num>
  <w:num w:numId="23">
    <w:abstractNumId w:val="29"/>
  </w:num>
  <w:num w:numId="24">
    <w:abstractNumId w:val="16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9"/>
  </w:num>
  <w:num w:numId="28">
    <w:abstractNumId w:val="6"/>
  </w:num>
  <w:num w:numId="29">
    <w:abstractNumId w:val="30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8D"/>
    <w:rsid w:val="00012E68"/>
    <w:rsid w:val="00012FAB"/>
    <w:rsid w:val="0001736D"/>
    <w:rsid w:val="00024B3F"/>
    <w:rsid w:val="00026F43"/>
    <w:rsid w:val="0005344B"/>
    <w:rsid w:val="00054BC3"/>
    <w:rsid w:val="00062D12"/>
    <w:rsid w:val="0006506D"/>
    <w:rsid w:val="00075500"/>
    <w:rsid w:val="00076959"/>
    <w:rsid w:val="00082898"/>
    <w:rsid w:val="00083800"/>
    <w:rsid w:val="00083FD7"/>
    <w:rsid w:val="00085A5D"/>
    <w:rsid w:val="00087703"/>
    <w:rsid w:val="00087895"/>
    <w:rsid w:val="000A16E6"/>
    <w:rsid w:val="000A7314"/>
    <w:rsid w:val="000B613F"/>
    <w:rsid w:val="000B6CA2"/>
    <w:rsid w:val="000C498E"/>
    <w:rsid w:val="000C50FE"/>
    <w:rsid w:val="000C5C83"/>
    <w:rsid w:val="000D0282"/>
    <w:rsid w:val="000D0F4F"/>
    <w:rsid w:val="000D323B"/>
    <w:rsid w:val="000D53C4"/>
    <w:rsid w:val="000E0E6F"/>
    <w:rsid w:val="000E399D"/>
    <w:rsid w:val="000E4F7E"/>
    <w:rsid w:val="000F25F4"/>
    <w:rsid w:val="000F4983"/>
    <w:rsid w:val="00101669"/>
    <w:rsid w:val="00112150"/>
    <w:rsid w:val="001138BA"/>
    <w:rsid w:val="0012714F"/>
    <w:rsid w:val="00127B90"/>
    <w:rsid w:val="00127DB1"/>
    <w:rsid w:val="0013502F"/>
    <w:rsid w:val="001413F5"/>
    <w:rsid w:val="001420B6"/>
    <w:rsid w:val="001440FB"/>
    <w:rsid w:val="00150A5B"/>
    <w:rsid w:val="00151C6E"/>
    <w:rsid w:val="00165250"/>
    <w:rsid w:val="001738C4"/>
    <w:rsid w:val="00174DC5"/>
    <w:rsid w:val="00182A5C"/>
    <w:rsid w:val="00193CE9"/>
    <w:rsid w:val="00195C04"/>
    <w:rsid w:val="001A2B78"/>
    <w:rsid w:val="001A6819"/>
    <w:rsid w:val="001B01BE"/>
    <w:rsid w:val="001B3A6F"/>
    <w:rsid w:val="001B731D"/>
    <w:rsid w:val="001B7AEA"/>
    <w:rsid w:val="001C1D75"/>
    <w:rsid w:val="001C7E40"/>
    <w:rsid w:val="001D179D"/>
    <w:rsid w:val="001D4FB1"/>
    <w:rsid w:val="001D6216"/>
    <w:rsid w:val="001D798E"/>
    <w:rsid w:val="001D7F80"/>
    <w:rsid w:val="001E0B06"/>
    <w:rsid w:val="001E118A"/>
    <w:rsid w:val="001E1D5B"/>
    <w:rsid w:val="001E419F"/>
    <w:rsid w:val="001E5159"/>
    <w:rsid w:val="001F53DB"/>
    <w:rsid w:val="00206A20"/>
    <w:rsid w:val="00206B2F"/>
    <w:rsid w:val="00206F53"/>
    <w:rsid w:val="00206F78"/>
    <w:rsid w:val="00211B84"/>
    <w:rsid w:val="00215F6B"/>
    <w:rsid w:val="00224D8B"/>
    <w:rsid w:val="002355AF"/>
    <w:rsid w:val="002440BE"/>
    <w:rsid w:val="00250486"/>
    <w:rsid w:val="00256F17"/>
    <w:rsid w:val="00267046"/>
    <w:rsid w:val="002745FE"/>
    <w:rsid w:val="00274D54"/>
    <w:rsid w:val="002815F5"/>
    <w:rsid w:val="0028263F"/>
    <w:rsid w:val="00283E06"/>
    <w:rsid w:val="0029087D"/>
    <w:rsid w:val="00292B27"/>
    <w:rsid w:val="0029328D"/>
    <w:rsid w:val="00294C1E"/>
    <w:rsid w:val="0029645E"/>
    <w:rsid w:val="00296744"/>
    <w:rsid w:val="002A1BD5"/>
    <w:rsid w:val="002A2627"/>
    <w:rsid w:val="002A6AF4"/>
    <w:rsid w:val="002A77E6"/>
    <w:rsid w:val="002B0563"/>
    <w:rsid w:val="002C2CC6"/>
    <w:rsid w:val="002C7397"/>
    <w:rsid w:val="002D65F3"/>
    <w:rsid w:val="002E2855"/>
    <w:rsid w:val="002E37F9"/>
    <w:rsid w:val="002E603C"/>
    <w:rsid w:val="002F2D56"/>
    <w:rsid w:val="00302063"/>
    <w:rsid w:val="003063D5"/>
    <w:rsid w:val="0030704E"/>
    <w:rsid w:val="00311AEA"/>
    <w:rsid w:val="003129AD"/>
    <w:rsid w:val="00315C2F"/>
    <w:rsid w:val="0032523C"/>
    <w:rsid w:val="00325BC4"/>
    <w:rsid w:val="00326EA7"/>
    <w:rsid w:val="003305D6"/>
    <w:rsid w:val="003334A5"/>
    <w:rsid w:val="00336331"/>
    <w:rsid w:val="00336CCE"/>
    <w:rsid w:val="003375CD"/>
    <w:rsid w:val="00356B4E"/>
    <w:rsid w:val="00361710"/>
    <w:rsid w:val="00362143"/>
    <w:rsid w:val="00362640"/>
    <w:rsid w:val="00363B7F"/>
    <w:rsid w:val="003829C6"/>
    <w:rsid w:val="00383D61"/>
    <w:rsid w:val="0038757A"/>
    <w:rsid w:val="00387771"/>
    <w:rsid w:val="00390FB9"/>
    <w:rsid w:val="0039393C"/>
    <w:rsid w:val="003B567C"/>
    <w:rsid w:val="003B56AC"/>
    <w:rsid w:val="003B7F80"/>
    <w:rsid w:val="003C1089"/>
    <w:rsid w:val="003C2EED"/>
    <w:rsid w:val="003D48DD"/>
    <w:rsid w:val="003E06B1"/>
    <w:rsid w:val="003E17D3"/>
    <w:rsid w:val="003F1370"/>
    <w:rsid w:val="004032C1"/>
    <w:rsid w:val="0040444E"/>
    <w:rsid w:val="00405B00"/>
    <w:rsid w:val="004111A0"/>
    <w:rsid w:val="00414B33"/>
    <w:rsid w:val="004177FF"/>
    <w:rsid w:val="004211CD"/>
    <w:rsid w:val="00421E31"/>
    <w:rsid w:val="00422489"/>
    <w:rsid w:val="00430D42"/>
    <w:rsid w:val="00431B23"/>
    <w:rsid w:val="00432924"/>
    <w:rsid w:val="00432A63"/>
    <w:rsid w:val="0043421D"/>
    <w:rsid w:val="004351ED"/>
    <w:rsid w:val="0044014E"/>
    <w:rsid w:val="0044020C"/>
    <w:rsid w:val="004405E1"/>
    <w:rsid w:val="00440A88"/>
    <w:rsid w:val="004427DF"/>
    <w:rsid w:val="00443BB9"/>
    <w:rsid w:val="004443C0"/>
    <w:rsid w:val="0045294E"/>
    <w:rsid w:val="004557F0"/>
    <w:rsid w:val="00462365"/>
    <w:rsid w:val="00462F6B"/>
    <w:rsid w:val="00466AD0"/>
    <w:rsid w:val="00473C46"/>
    <w:rsid w:val="00476A20"/>
    <w:rsid w:val="00476F0B"/>
    <w:rsid w:val="004829B8"/>
    <w:rsid w:val="00483613"/>
    <w:rsid w:val="004959D6"/>
    <w:rsid w:val="004A2763"/>
    <w:rsid w:val="004B0E1F"/>
    <w:rsid w:val="004B7C16"/>
    <w:rsid w:val="004C2BFD"/>
    <w:rsid w:val="004C438A"/>
    <w:rsid w:val="004D2A90"/>
    <w:rsid w:val="004D2DC8"/>
    <w:rsid w:val="004E30A0"/>
    <w:rsid w:val="004E6A18"/>
    <w:rsid w:val="004F1931"/>
    <w:rsid w:val="004F5222"/>
    <w:rsid w:val="00501E0B"/>
    <w:rsid w:val="00504750"/>
    <w:rsid w:val="005130AB"/>
    <w:rsid w:val="005204AC"/>
    <w:rsid w:val="00521D6D"/>
    <w:rsid w:val="00527F11"/>
    <w:rsid w:val="005311AD"/>
    <w:rsid w:val="00531F06"/>
    <w:rsid w:val="0053204E"/>
    <w:rsid w:val="00536B6E"/>
    <w:rsid w:val="00541795"/>
    <w:rsid w:val="00550463"/>
    <w:rsid w:val="00554CBD"/>
    <w:rsid w:val="00556748"/>
    <w:rsid w:val="00563F72"/>
    <w:rsid w:val="00564E40"/>
    <w:rsid w:val="0058311E"/>
    <w:rsid w:val="00584756"/>
    <w:rsid w:val="00587231"/>
    <w:rsid w:val="00593A51"/>
    <w:rsid w:val="005A26F2"/>
    <w:rsid w:val="005A2A98"/>
    <w:rsid w:val="005A4B30"/>
    <w:rsid w:val="005B0EFE"/>
    <w:rsid w:val="005B2981"/>
    <w:rsid w:val="005B4595"/>
    <w:rsid w:val="005C0321"/>
    <w:rsid w:val="005C3A5B"/>
    <w:rsid w:val="005C4212"/>
    <w:rsid w:val="005C5A21"/>
    <w:rsid w:val="005C6F02"/>
    <w:rsid w:val="005D5428"/>
    <w:rsid w:val="005E123A"/>
    <w:rsid w:val="005E32F9"/>
    <w:rsid w:val="005E5F23"/>
    <w:rsid w:val="005E7DC1"/>
    <w:rsid w:val="005F38B6"/>
    <w:rsid w:val="00606DDF"/>
    <w:rsid w:val="00610226"/>
    <w:rsid w:val="00610E2D"/>
    <w:rsid w:val="00611C3D"/>
    <w:rsid w:val="0061289C"/>
    <w:rsid w:val="00613587"/>
    <w:rsid w:val="00613C68"/>
    <w:rsid w:val="0061615B"/>
    <w:rsid w:val="00616850"/>
    <w:rsid w:val="00622796"/>
    <w:rsid w:val="00631232"/>
    <w:rsid w:val="0063288F"/>
    <w:rsid w:val="00635909"/>
    <w:rsid w:val="006438B9"/>
    <w:rsid w:val="006443C5"/>
    <w:rsid w:val="006508F0"/>
    <w:rsid w:val="006509F2"/>
    <w:rsid w:val="0065398D"/>
    <w:rsid w:val="006549DC"/>
    <w:rsid w:val="00661428"/>
    <w:rsid w:val="00662211"/>
    <w:rsid w:val="0067482F"/>
    <w:rsid w:val="00676831"/>
    <w:rsid w:val="006926AA"/>
    <w:rsid w:val="0069309F"/>
    <w:rsid w:val="0069514E"/>
    <w:rsid w:val="006A7C6E"/>
    <w:rsid w:val="006B4F9E"/>
    <w:rsid w:val="006B59FF"/>
    <w:rsid w:val="006C75CB"/>
    <w:rsid w:val="006D2A7D"/>
    <w:rsid w:val="006E696E"/>
    <w:rsid w:val="006F46C3"/>
    <w:rsid w:val="006F71B1"/>
    <w:rsid w:val="006F7C6F"/>
    <w:rsid w:val="0070140A"/>
    <w:rsid w:val="00701B7F"/>
    <w:rsid w:val="00710891"/>
    <w:rsid w:val="0071138E"/>
    <w:rsid w:val="00713AC0"/>
    <w:rsid w:val="00714574"/>
    <w:rsid w:val="00730C8B"/>
    <w:rsid w:val="007324C2"/>
    <w:rsid w:val="00732C7B"/>
    <w:rsid w:val="0073562D"/>
    <w:rsid w:val="0073623D"/>
    <w:rsid w:val="00736C48"/>
    <w:rsid w:val="00737CCE"/>
    <w:rsid w:val="0074029F"/>
    <w:rsid w:val="0074074D"/>
    <w:rsid w:val="0074664E"/>
    <w:rsid w:val="00754609"/>
    <w:rsid w:val="00760D8E"/>
    <w:rsid w:val="007701FA"/>
    <w:rsid w:val="007745E1"/>
    <w:rsid w:val="00781CBB"/>
    <w:rsid w:val="0079197C"/>
    <w:rsid w:val="0079799D"/>
    <w:rsid w:val="007A21BC"/>
    <w:rsid w:val="007B2FB8"/>
    <w:rsid w:val="007B52A4"/>
    <w:rsid w:val="007B5A16"/>
    <w:rsid w:val="007B7C90"/>
    <w:rsid w:val="007C1567"/>
    <w:rsid w:val="007D3DBA"/>
    <w:rsid w:val="007D4C2B"/>
    <w:rsid w:val="007F2767"/>
    <w:rsid w:val="007F3D15"/>
    <w:rsid w:val="007F538B"/>
    <w:rsid w:val="00837078"/>
    <w:rsid w:val="008400C5"/>
    <w:rsid w:val="0084490D"/>
    <w:rsid w:val="0084612B"/>
    <w:rsid w:val="008531EE"/>
    <w:rsid w:val="00860A4F"/>
    <w:rsid w:val="00861158"/>
    <w:rsid w:val="00865A0C"/>
    <w:rsid w:val="00874023"/>
    <w:rsid w:val="00877BFF"/>
    <w:rsid w:val="00884FB0"/>
    <w:rsid w:val="008850B8"/>
    <w:rsid w:val="00890C67"/>
    <w:rsid w:val="00895C35"/>
    <w:rsid w:val="00897666"/>
    <w:rsid w:val="008A0254"/>
    <w:rsid w:val="008A6F11"/>
    <w:rsid w:val="008C3819"/>
    <w:rsid w:val="008C60EA"/>
    <w:rsid w:val="008D186B"/>
    <w:rsid w:val="008D2215"/>
    <w:rsid w:val="008D3237"/>
    <w:rsid w:val="008D358B"/>
    <w:rsid w:val="008D4587"/>
    <w:rsid w:val="008E5264"/>
    <w:rsid w:val="008E55AB"/>
    <w:rsid w:val="008E5C2F"/>
    <w:rsid w:val="008F752F"/>
    <w:rsid w:val="0090052F"/>
    <w:rsid w:val="009228B6"/>
    <w:rsid w:val="009325FE"/>
    <w:rsid w:val="00935F07"/>
    <w:rsid w:val="00936788"/>
    <w:rsid w:val="009430B1"/>
    <w:rsid w:val="009439F1"/>
    <w:rsid w:val="00945569"/>
    <w:rsid w:val="0095467A"/>
    <w:rsid w:val="00954BB4"/>
    <w:rsid w:val="009559F0"/>
    <w:rsid w:val="00963FC2"/>
    <w:rsid w:val="009644E6"/>
    <w:rsid w:val="00973AF5"/>
    <w:rsid w:val="00976E48"/>
    <w:rsid w:val="00981923"/>
    <w:rsid w:val="00982259"/>
    <w:rsid w:val="009B47E9"/>
    <w:rsid w:val="009C0521"/>
    <w:rsid w:val="009C2C73"/>
    <w:rsid w:val="009C2FC8"/>
    <w:rsid w:val="009C38EC"/>
    <w:rsid w:val="009C412C"/>
    <w:rsid w:val="009D6FA9"/>
    <w:rsid w:val="009D73BB"/>
    <w:rsid w:val="009E141E"/>
    <w:rsid w:val="009E2C3F"/>
    <w:rsid w:val="009E686F"/>
    <w:rsid w:val="009F50FB"/>
    <w:rsid w:val="00A02368"/>
    <w:rsid w:val="00A10C51"/>
    <w:rsid w:val="00A16BA2"/>
    <w:rsid w:val="00A207C2"/>
    <w:rsid w:val="00A270C7"/>
    <w:rsid w:val="00A30859"/>
    <w:rsid w:val="00A318D8"/>
    <w:rsid w:val="00A3589D"/>
    <w:rsid w:val="00A36219"/>
    <w:rsid w:val="00A402E4"/>
    <w:rsid w:val="00A41AF5"/>
    <w:rsid w:val="00A42014"/>
    <w:rsid w:val="00A505AA"/>
    <w:rsid w:val="00A60E7A"/>
    <w:rsid w:val="00A63DEF"/>
    <w:rsid w:val="00A70096"/>
    <w:rsid w:val="00A710D5"/>
    <w:rsid w:val="00A81B93"/>
    <w:rsid w:val="00A82B3E"/>
    <w:rsid w:val="00A837B8"/>
    <w:rsid w:val="00A844BE"/>
    <w:rsid w:val="00A86576"/>
    <w:rsid w:val="00A87CAA"/>
    <w:rsid w:val="00A900D5"/>
    <w:rsid w:val="00A94F3E"/>
    <w:rsid w:val="00AA0622"/>
    <w:rsid w:val="00AA111F"/>
    <w:rsid w:val="00AB525C"/>
    <w:rsid w:val="00AB593D"/>
    <w:rsid w:val="00AC0AE6"/>
    <w:rsid w:val="00AD26A4"/>
    <w:rsid w:val="00AD419C"/>
    <w:rsid w:val="00AE10B5"/>
    <w:rsid w:val="00AE27A2"/>
    <w:rsid w:val="00AE2D3E"/>
    <w:rsid w:val="00AE6199"/>
    <w:rsid w:val="00AF0F3B"/>
    <w:rsid w:val="00AF4CA4"/>
    <w:rsid w:val="00AF4DD4"/>
    <w:rsid w:val="00B007CC"/>
    <w:rsid w:val="00B00826"/>
    <w:rsid w:val="00B01028"/>
    <w:rsid w:val="00B01BB6"/>
    <w:rsid w:val="00B01CAB"/>
    <w:rsid w:val="00B02B0D"/>
    <w:rsid w:val="00B04685"/>
    <w:rsid w:val="00B067B4"/>
    <w:rsid w:val="00B07121"/>
    <w:rsid w:val="00B07D26"/>
    <w:rsid w:val="00B12556"/>
    <w:rsid w:val="00B15A59"/>
    <w:rsid w:val="00B241DD"/>
    <w:rsid w:val="00B326C8"/>
    <w:rsid w:val="00B33064"/>
    <w:rsid w:val="00B41B2F"/>
    <w:rsid w:val="00B4776D"/>
    <w:rsid w:val="00B47C09"/>
    <w:rsid w:val="00B51087"/>
    <w:rsid w:val="00B556A4"/>
    <w:rsid w:val="00B605F6"/>
    <w:rsid w:val="00B62469"/>
    <w:rsid w:val="00B62F11"/>
    <w:rsid w:val="00B65AC4"/>
    <w:rsid w:val="00B672C3"/>
    <w:rsid w:val="00B7077B"/>
    <w:rsid w:val="00B77075"/>
    <w:rsid w:val="00B858E4"/>
    <w:rsid w:val="00B969E1"/>
    <w:rsid w:val="00BA15A7"/>
    <w:rsid w:val="00BA38C0"/>
    <w:rsid w:val="00BA5909"/>
    <w:rsid w:val="00BB0BE1"/>
    <w:rsid w:val="00BB5A39"/>
    <w:rsid w:val="00BC0034"/>
    <w:rsid w:val="00BC47FE"/>
    <w:rsid w:val="00BC7694"/>
    <w:rsid w:val="00BD7332"/>
    <w:rsid w:val="00BD7FD9"/>
    <w:rsid w:val="00BE118F"/>
    <w:rsid w:val="00BE4607"/>
    <w:rsid w:val="00BE6FD9"/>
    <w:rsid w:val="00C009EF"/>
    <w:rsid w:val="00C046EC"/>
    <w:rsid w:val="00C06AD1"/>
    <w:rsid w:val="00C366C2"/>
    <w:rsid w:val="00C37968"/>
    <w:rsid w:val="00C42A92"/>
    <w:rsid w:val="00C52DD6"/>
    <w:rsid w:val="00C53A19"/>
    <w:rsid w:val="00C63F84"/>
    <w:rsid w:val="00C640CE"/>
    <w:rsid w:val="00C643DD"/>
    <w:rsid w:val="00C67958"/>
    <w:rsid w:val="00C70630"/>
    <w:rsid w:val="00C716C9"/>
    <w:rsid w:val="00C76951"/>
    <w:rsid w:val="00C80D27"/>
    <w:rsid w:val="00C83988"/>
    <w:rsid w:val="00C83CE1"/>
    <w:rsid w:val="00C8593F"/>
    <w:rsid w:val="00C86677"/>
    <w:rsid w:val="00C8795C"/>
    <w:rsid w:val="00C92982"/>
    <w:rsid w:val="00CB0839"/>
    <w:rsid w:val="00CB3349"/>
    <w:rsid w:val="00CB4117"/>
    <w:rsid w:val="00CB5715"/>
    <w:rsid w:val="00CC1CC6"/>
    <w:rsid w:val="00CC6571"/>
    <w:rsid w:val="00CC72B3"/>
    <w:rsid w:val="00CD18AB"/>
    <w:rsid w:val="00CE34FA"/>
    <w:rsid w:val="00CE7D5A"/>
    <w:rsid w:val="00CF15B1"/>
    <w:rsid w:val="00CF1B43"/>
    <w:rsid w:val="00CF374A"/>
    <w:rsid w:val="00D05875"/>
    <w:rsid w:val="00D06221"/>
    <w:rsid w:val="00D06C1B"/>
    <w:rsid w:val="00D134FA"/>
    <w:rsid w:val="00D13B63"/>
    <w:rsid w:val="00D261BD"/>
    <w:rsid w:val="00D3358C"/>
    <w:rsid w:val="00D336E6"/>
    <w:rsid w:val="00D3402C"/>
    <w:rsid w:val="00D41873"/>
    <w:rsid w:val="00D55705"/>
    <w:rsid w:val="00D55955"/>
    <w:rsid w:val="00D56EA2"/>
    <w:rsid w:val="00D62E4A"/>
    <w:rsid w:val="00D71E2E"/>
    <w:rsid w:val="00D74DF1"/>
    <w:rsid w:val="00D86636"/>
    <w:rsid w:val="00D917DB"/>
    <w:rsid w:val="00D9193A"/>
    <w:rsid w:val="00D92089"/>
    <w:rsid w:val="00D972A9"/>
    <w:rsid w:val="00DA1B47"/>
    <w:rsid w:val="00DA2515"/>
    <w:rsid w:val="00DA5032"/>
    <w:rsid w:val="00DB06B7"/>
    <w:rsid w:val="00DB173A"/>
    <w:rsid w:val="00DB24FA"/>
    <w:rsid w:val="00DB69A8"/>
    <w:rsid w:val="00DC4733"/>
    <w:rsid w:val="00DD3091"/>
    <w:rsid w:val="00DD6D07"/>
    <w:rsid w:val="00DE01D9"/>
    <w:rsid w:val="00DE11D3"/>
    <w:rsid w:val="00DF1D12"/>
    <w:rsid w:val="00DF1DFB"/>
    <w:rsid w:val="00DF2456"/>
    <w:rsid w:val="00E01478"/>
    <w:rsid w:val="00E03965"/>
    <w:rsid w:val="00E05570"/>
    <w:rsid w:val="00E05B79"/>
    <w:rsid w:val="00E107B7"/>
    <w:rsid w:val="00E1082C"/>
    <w:rsid w:val="00E11D2A"/>
    <w:rsid w:val="00E14575"/>
    <w:rsid w:val="00E14E08"/>
    <w:rsid w:val="00E2228B"/>
    <w:rsid w:val="00E31B18"/>
    <w:rsid w:val="00E34333"/>
    <w:rsid w:val="00E37D6D"/>
    <w:rsid w:val="00E41A72"/>
    <w:rsid w:val="00E434BA"/>
    <w:rsid w:val="00E53562"/>
    <w:rsid w:val="00E54E2B"/>
    <w:rsid w:val="00E6067E"/>
    <w:rsid w:val="00E62940"/>
    <w:rsid w:val="00E6547B"/>
    <w:rsid w:val="00E67998"/>
    <w:rsid w:val="00E71671"/>
    <w:rsid w:val="00E757F0"/>
    <w:rsid w:val="00E81CE4"/>
    <w:rsid w:val="00E830F0"/>
    <w:rsid w:val="00E916BA"/>
    <w:rsid w:val="00E94FDA"/>
    <w:rsid w:val="00EA2EAC"/>
    <w:rsid w:val="00EC3619"/>
    <w:rsid w:val="00ED172C"/>
    <w:rsid w:val="00ED34D6"/>
    <w:rsid w:val="00ED608D"/>
    <w:rsid w:val="00ED7E05"/>
    <w:rsid w:val="00EE75DE"/>
    <w:rsid w:val="00EF0652"/>
    <w:rsid w:val="00EF4D22"/>
    <w:rsid w:val="00F04D05"/>
    <w:rsid w:val="00F11417"/>
    <w:rsid w:val="00F138F1"/>
    <w:rsid w:val="00F15332"/>
    <w:rsid w:val="00F15781"/>
    <w:rsid w:val="00F23B3F"/>
    <w:rsid w:val="00F26741"/>
    <w:rsid w:val="00F30965"/>
    <w:rsid w:val="00F4532E"/>
    <w:rsid w:val="00F54D67"/>
    <w:rsid w:val="00F5671F"/>
    <w:rsid w:val="00F61C87"/>
    <w:rsid w:val="00F73C28"/>
    <w:rsid w:val="00F755CA"/>
    <w:rsid w:val="00F76CE9"/>
    <w:rsid w:val="00F80D52"/>
    <w:rsid w:val="00F847EF"/>
    <w:rsid w:val="00F86619"/>
    <w:rsid w:val="00F87A07"/>
    <w:rsid w:val="00F925E5"/>
    <w:rsid w:val="00F9295B"/>
    <w:rsid w:val="00F93739"/>
    <w:rsid w:val="00F93FB5"/>
    <w:rsid w:val="00FA0332"/>
    <w:rsid w:val="00FA050E"/>
    <w:rsid w:val="00FA3EBD"/>
    <w:rsid w:val="00FA5DA0"/>
    <w:rsid w:val="00FA64DC"/>
    <w:rsid w:val="00FA751B"/>
    <w:rsid w:val="00FB01A1"/>
    <w:rsid w:val="00FB3A13"/>
    <w:rsid w:val="00FB6574"/>
    <w:rsid w:val="00FC7BE2"/>
    <w:rsid w:val="00FD0EE7"/>
    <w:rsid w:val="00FD399C"/>
    <w:rsid w:val="00FE14EE"/>
    <w:rsid w:val="00FE3DDE"/>
    <w:rsid w:val="00FF3AF8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FA093"/>
  <w15:chartTrackingRefBased/>
  <w15:docId w15:val="{81E24400-1FF8-4A1A-ACA6-D70C4476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DB"/>
  </w:style>
  <w:style w:type="paragraph" w:styleId="Heading1">
    <w:name w:val="heading 1"/>
    <w:basedOn w:val="Normal"/>
    <w:next w:val="Bodytext1"/>
    <w:link w:val="Heading1Char"/>
    <w:qFormat/>
    <w:rsid w:val="00440A88"/>
    <w:pPr>
      <w:keepNext/>
      <w:numPr>
        <w:numId w:val="21"/>
      </w:numPr>
      <w:tabs>
        <w:tab w:val="left" w:pos="1008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caps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0A88"/>
    <w:pPr>
      <w:keepNext/>
      <w:numPr>
        <w:ilvl w:val="1"/>
        <w:numId w:val="21"/>
      </w:numPr>
      <w:tabs>
        <w:tab w:val="clear" w:pos="360"/>
        <w:tab w:val="num" w:pos="0"/>
        <w:tab w:val="left" w:pos="1008"/>
      </w:tabs>
      <w:spacing w:before="240" w:after="120" w:line="240" w:lineRule="auto"/>
      <w:ind w:left="720" w:hanging="720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40A88"/>
    <w:pPr>
      <w:keepNext/>
      <w:numPr>
        <w:ilvl w:val="2"/>
        <w:numId w:val="21"/>
      </w:numPr>
      <w:tabs>
        <w:tab w:val="left" w:pos="1008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Bodytext1"/>
    <w:link w:val="Heading4Char"/>
    <w:qFormat/>
    <w:rsid w:val="00440A88"/>
    <w:pPr>
      <w:keepNext/>
      <w:numPr>
        <w:ilvl w:val="3"/>
        <w:numId w:val="21"/>
      </w:numPr>
      <w:tabs>
        <w:tab w:val="left" w:pos="1008"/>
      </w:tabs>
      <w:spacing w:before="120" w:after="60" w:line="240" w:lineRule="auto"/>
      <w:outlineLvl w:val="3"/>
    </w:pPr>
    <w:rPr>
      <w:rFonts w:ascii="Arial" w:eastAsia="Times New Roman" w:hAnsi="Arial" w:cs="Arial"/>
      <w:b/>
      <w:sz w:val="24"/>
      <w:szCs w:val="24"/>
    </w:rPr>
  </w:style>
  <w:style w:type="paragraph" w:styleId="Heading5">
    <w:name w:val="heading 5"/>
    <w:basedOn w:val="Normal"/>
    <w:next w:val="Bodytext1"/>
    <w:link w:val="Heading5Char"/>
    <w:qFormat/>
    <w:rsid w:val="00440A88"/>
    <w:pPr>
      <w:keepNext/>
      <w:numPr>
        <w:ilvl w:val="4"/>
        <w:numId w:val="21"/>
      </w:numPr>
      <w:spacing w:before="240" w:after="60" w:line="240" w:lineRule="auto"/>
      <w:outlineLvl w:val="4"/>
    </w:pPr>
    <w:rPr>
      <w:rFonts w:ascii="Times New Roman" w:eastAsia="Times New Roman" w:hAnsi="Times New Roman" w:cs="Arial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40A88"/>
    <w:pPr>
      <w:numPr>
        <w:ilvl w:val="5"/>
        <w:numId w:val="21"/>
      </w:numPr>
      <w:spacing w:before="240" w:after="60" w:line="240" w:lineRule="auto"/>
      <w:outlineLvl w:val="5"/>
    </w:pPr>
    <w:rPr>
      <w:rFonts w:ascii="Times New Roman" w:eastAsia="Times New Roman" w:hAnsi="Times New Roman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40A88"/>
    <w:pPr>
      <w:numPr>
        <w:ilvl w:val="6"/>
        <w:numId w:val="21"/>
      </w:numPr>
      <w:spacing w:before="240" w:after="60" w:line="240" w:lineRule="auto"/>
      <w:outlineLvl w:val="6"/>
    </w:pPr>
    <w:rPr>
      <w:rFonts w:ascii="Arial" w:eastAsia="Times New Roman" w:hAnsi="Arial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40A88"/>
    <w:pPr>
      <w:numPr>
        <w:ilvl w:val="7"/>
        <w:numId w:val="21"/>
      </w:numPr>
      <w:spacing w:before="240" w:after="60" w:line="240" w:lineRule="auto"/>
      <w:outlineLvl w:val="7"/>
    </w:pPr>
    <w:rPr>
      <w:rFonts w:ascii="Arial" w:eastAsia="Times New Roman" w:hAnsi="Arial" w:cs="Arial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40A88"/>
    <w:pPr>
      <w:numPr>
        <w:ilvl w:val="8"/>
        <w:numId w:val="21"/>
      </w:numPr>
      <w:spacing w:before="240" w:after="60" w:line="240" w:lineRule="auto"/>
      <w:outlineLvl w:val="8"/>
    </w:pPr>
    <w:rPr>
      <w:rFonts w:ascii="Arial" w:eastAsia="Times New Roman" w:hAnsi="Arial" w:cs="Arial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3617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617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617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7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7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CA4"/>
    <w:pPr>
      <w:ind w:left="720"/>
      <w:contextualSpacing/>
    </w:pPr>
  </w:style>
  <w:style w:type="table" w:styleId="TableGrid">
    <w:name w:val="Table Grid"/>
    <w:basedOn w:val="TableNormal"/>
    <w:rsid w:val="00536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C0"/>
  </w:style>
  <w:style w:type="paragraph" w:styleId="Footer">
    <w:name w:val="footer"/>
    <w:basedOn w:val="Normal"/>
    <w:link w:val="FooterChar"/>
    <w:uiPriority w:val="99"/>
    <w:unhideWhenUsed/>
    <w:rsid w:val="0044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C0"/>
  </w:style>
  <w:style w:type="paragraph" w:customStyle="1" w:styleId="Default">
    <w:name w:val="Default"/>
    <w:rsid w:val="00D920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odytext1">
    <w:name w:val="Body text 1"/>
    <w:basedOn w:val="Normal"/>
    <w:rsid w:val="002A77E6"/>
    <w:pPr>
      <w:spacing w:after="120" w:line="240" w:lineRule="auto"/>
    </w:pPr>
    <w:rPr>
      <w:rFonts w:ascii="Times New Roman" w:eastAsia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40A88"/>
    <w:rPr>
      <w:rFonts w:ascii="Arial" w:eastAsia="Times New Roman" w:hAnsi="Arial" w:cs="Arial"/>
      <w:b/>
      <w:bCs/>
      <w:cap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40A88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40A88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40A88"/>
    <w:rPr>
      <w:rFonts w:ascii="Arial" w:eastAsia="Times New Roman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40A88"/>
    <w:rPr>
      <w:rFonts w:ascii="Times New Roman" w:eastAsia="Times New Roman" w:hAnsi="Times New Roman" w:cs="Arial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40A88"/>
    <w:rPr>
      <w:rFonts w:ascii="Times New Roman" w:eastAsia="Times New Roman" w:hAnsi="Times New Roman" w:cs="Arial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40A88"/>
    <w:rPr>
      <w:rFonts w:ascii="Arial" w:eastAsia="Times New Roman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40A88"/>
    <w:rPr>
      <w:rFonts w:ascii="Arial" w:eastAsia="Times New Roman" w:hAnsi="Arial" w:cs="Arial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40A88"/>
    <w:rPr>
      <w:rFonts w:ascii="Arial" w:eastAsia="Times New Roman" w:hAnsi="Arial" w:cs="Arial"/>
      <w:b/>
      <w:i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4878-B357-4602-8CB8-562B4023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Vijay</dc:creator>
  <cp:keywords/>
  <dc:description/>
  <cp:lastModifiedBy>Lisa Wilson</cp:lastModifiedBy>
  <cp:revision>6</cp:revision>
  <cp:lastPrinted>2021-09-02T17:08:00Z</cp:lastPrinted>
  <dcterms:created xsi:type="dcterms:W3CDTF">2021-08-05T22:51:00Z</dcterms:created>
  <dcterms:modified xsi:type="dcterms:W3CDTF">2021-09-02T17:08:00Z</dcterms:modified>
</cp:coreProperties>
</file>