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Georgia" w:cs="Georgia" w:eastAsia="Georgia" w:hAnsi="Georgia"/>
          <w:b/>
          <w:bCs/>
          <w:color w:val="1B3A5C"/>
          <w:sz w:val="48"/>
          <w:szCs w:val="48"/>
        </w:rPr>
        <w:t xml:space="preserve">What Article 75 Was Afraid to Permit</w:t>
      </w:r>
    </w:p>
    <w:p>
      <w:pPr>
        <w:spacing w:after="400"/>
      </w:pPr>
      <w:r>
        <w:rPr>
          <w:rFonts w:ascii="Georgia" w:cs="Georgia" w:eastAsia="Georgia" w:hAnsi="Georgia"/>
          <w:i/>
          <w:iCs/>
          <w:color w:val="666666"/>
          <w:sz w:val="24"/>
          <w:szCs w:val="24"/>
        </w:rPr>
        <w:t xml:space="preserve">And why Multi-Party Computation makes the restriction irrelevant.</w:t>
      </w:r>
    </w:p>
    <w:p>
      <w:pPr>
        <w:pBdr>
          <w:left w:val="single" w:color="2E75B6" w:sz="14" w:space="14"/>
        </w:pBdr>
        <w:spacing w:after="280" w:before="280" w:line="312"/>
        <w:ind w:left="600" w:right="600"/>
      </w:pPr>
      <w:r>
        <w:rPr>
          <w:rFonts w:ascii="Georgia" w:cs="Georgia" w:eastAsia="Georgia" w:hAnsi="Georgia"/>
          <w:i/>
          <w:iCs/>
          <w:color w:val="333333"/>
          <w:sz w:val="24"/>
          <w:szCs w:val="24"/>
        </w:rPr>
        <w:t xml:space="preserve">“Article 75 doesn’t appear to go as far as many financial crime fighters would have hoped, and focuses essentially on higher risk customers and/or post-suspicion sharing and is less permissive on sharing information on lower risk customers.”</w:t>
      </w:r>
      <w:r>
        <w:rPr>
          <w:rFonts w:ascii="Georgia" w:cs="Georgia" w:eastAsia="Georgia" w:hAnsi="Georgia"/>
          <w:color w:val="888888"/>
          <w:sz w:val="20"/>
          <w:szCs w:val="20"/>
        </w:rPr>
        <w:t xml:space="preserve"> — </w:t>
      </w:r>
      <w:r>
        <w:rPr>
          <w:rFonts w:ascii="Georgia" w:cs="Georgia" w:eastAsia="Georgia" w:hAnsi="Georgia"/>
          <w:color w:val="888888"/>
          <w:sz w:val="20"/>
          <w:szCs w:val="20"/>
        </w:rPr>
        <w:t xml:space="preserve">Financial Crime News, June 2024</w:t>
      </w:r>
    </w:p>
    <w:p>
      <w:pPr>
        <w:spacing w:after="180" w:line="312"/>
      </w:pPr>
      <w:r>
        <w:rPr>
          <w:rFonts w:ascii="Georgia" w:cs="Georgia" w:eastAsia="Georgia" w:hAnsi="Georgia"/>
          <w:sz w:val="23"/>
          <w:szCs w:val="23"/>
        </w:rPr>
        <w:t xml:space="preserve">This is the most important sentence in EU financial crime regulation right now. Read it again.</w:t>
      </w:r>
    </w:p>
    <w:p>
      <w:pPr>
        <w:spacing w:after="180" w:line="312"/>
      </w:pPr>
      <w:r>
        <w:rPr>
          <w:rFonts w:ascii="Georgia" w:cs="Georgia" w:eastAsia="Georgia" w:hAnsi="Georgia"/>
          <w:sz w:val="23"/>
          <w:szCs w:val="23"/>
        </w:rPr>
        <w:t xml:space="preserve">The EU’s new Anti-Money Laundering Regulation, effective July 2027, finally creates a legal framework for banks to share AML information. Article 75 establishes supervised partnerships where obliged entities can exchange customer data, transaction information, and risk factors.</w:t>
      </w:r>
    </w:p>
    <w:p>
      <w:pPr>
        <w:spacing w:after="180" w:line="312"/>
      </w:pPr>
      <w:r>
        <w:rPr>
          <w:rFonts w:ascii="Georgia" w:cs="Georgia" w:eastAsia="Georgia" w:hAnsi="Georgia"/>
          <w:sz w:val="23"/>
          <w:szCs w:val="23"/>
        </w:rPr>
        <w:t xml:space="preserve">But it pulls the punch. Sharing is restricted to higher-risk customers and post-suspicion cases. Low-risk customers are excluded.</w:t>
      </w:r>
    </w:p>
    <w:p>
      <w:pPr>
        <w:spacing w:after="180" w:line="312"/>
      </w:pPr>
      <w:r>
        <w:rPr>
          <w:rFonts w:ascii="Georgia" w:cs="Georgia" w:eastAsia="Georgia" w:hAnsi="Georgia"/>
          <w:b/>
          <w:bCs/>
          <w:sz w:val="23"/>
          <w:szCs w:val="23"/>
        </w:rPr>
        <w:t xml:space="preserve">The criminals who are most dangerous are the ones who maintain a low-risk profile at every bank they touch. Article 75 cannot reach them.</w:t>
      </w:r>
    </w:p>
    <w:p>
      <w:pPr>
        <w:pStyle w:val="Heading2"/>
        <w:spacing w:after="180" w:before="320"/>
      </w:pPr>
      <w:r>
        <w:rPr>
          <w:rFonts w:ascii="Georgia" w:cs="Georgia" w:eastAsia="Georgia" w:hAnsi="Georgia"/>
          <w:b/>
          <w:bCs/>
          <w:color w:val="1B3A5C"/>
          <w:sz w:val="26"/>
          <w:szCs w:val="26"/>
        </w:rPr>
        <w:t xml:space="preserve">Why the restriction exists</w:t>
      </w:r>
    </w:p>
    <w:p>
      <w:pPr>
        <w:spacing w:after="180" w:line="312"/>
      </w:pPr>
      <w:r>
        <w:rPr>
          <w:rFonts w:ascii="Georgia" w:cs="Georgia" w:eastAsia="Georgia" w:hAnsi="Georgia"/>
          <w:sz w:val="23"/>
          <w:szCs w:val="23"/>
        </w:rPr>
        <w:t xml:space="preserve">The answer is GDPR. Sharing customer data across institutions is personal data processing. Under data minimisation principles, blanket-sharing your entire customer base with other banks would be disproportionate. Article 75 draws a line: share data on suspicious customers, not on everyone.</w:t>
      </w:r>
    </w:p>
    <w:p>
      <w:pPr>
        <w:spacing w:after="180" w:line="312"/>
      </w:pPr>
      <w:r>
        <w:rPr>
          <w:rFonts w:ascii="Georgia" w:cs="Georgia" w:eastAsia="Georgia" w:hAnsi="Georgia"/>
          <w:sz w:val="23"/>
          <w:szCs w:val="23"/>
        </w:rPr>
        <w:t xml:space="preserve">This is legally correct. It is also operationally useless against sophisticated criminals.</w:t>
      </w:r>
    </w:p>
    <w:p>
      <w:pPr>
        <w:spacing w:after="180" w:line="312"/>
      </w:pPr>
      <w:r>
        <w:rPr>
          <w:rFonts w:ascii="Georgia" w:cs="Georgia" w:eastAsia="Georgia" w:hAnsi="Georgia"/>
          <w:sz w:val="23"/>
          <w:szCs w:val="23"/>
        </w:rPr>
        <w:t xml:space="preserve">A criminal who spreads €12 million across six banks at €2 million each, with clean KYC, legitimate business fronts, and unremarkable transaction patterns at every institution, will never appear on any bank’s high-risk list. The risk is invisible until you add it up. And Article 75 says you’re not allowed to add it up.</w:t>
      </w:r>
    </w:p>
    <w:p>
      <w:pPr>
        <w:pStyle w:val="Heading2"/>
        <w:spacing w:after="180" w:before="320"/>
      </w:pPr>
      <w:r>
        <w:rPr>
          <w:rFonts w:ascii="Georgia" w:cs="Georgia" w:eastAsia="Georgia" w:hAnsi="Georgia"/>
          <w:b/>
          <w:bCs/>
          <w:color w:val="1B3A5C"/>
          <w:sz w:val="26"/>
          <w:szCs w:val="26"/>
        </w:rPr>
        <w:t xml:space="preserve">What if you could add it up without sharing anything?</w:t>
      </w:r>
    </w:p>
    <w:p>
      <w:pPr>
        <w:spacing w:after="180" w:line="312"/>
      </w:pPr>
      <w:r>
        <w:rPr>
          <w:rFonts w:ascii="Georgia" w:cs="Georgia" w:eastAsia="Georgia" w:hAnsi="Georgia"/>
          <w:sz w:val="23"/>
          <w:szCs w:val="23"/>
        </w:rPr>
        <w:t xml:space="preserve">Multi-Party Computation (MPC) is a cryptographic technique that allows two parties to jointly compute a function over their combined data without either party revealing its input to the other.</w:t>
      </w:r>
    </w:p>
    <w:p>
      <w:pPr>
        <w:spacing w:after="180" w:line="312"/>
      </w:pPr>
      <w:r>
        <w:rPr>
          <w:rFonts w:ascii="Georgia" w:cs="Georgia" w:eastAsia="Georgia" w:hAnsi="Georgia"/>
          <w:sz w:val="23"/>
          <w:szCs w:val="23"/>
        </w:rPr>
        <w:t xml:space="preserve">In practical terms: Bank A and Bank B each have a risk score for the same customer. Using MPC, they can determine whether the combined risk exceeds a threshold. Bank A does not learn Bank B’s score. Bank B does not learn Bank A’s score. Neither bank learns anything about the other’s non-shared customers. The only output is a binary signal: above threshold, or not.</w:t>
      </w:r>
    </w:p>
    <w:p>
      <w:pPr>
        <w:spacing w:after="180" w:line="312"/>
      </w:pPr>
      <w:r>
        <w:rPr>
          <w:rFonts w:ascii="Georgia" w:cs="Georgia" w:eastAsia="Georgia" w:hAnsi="Georgia"/>
          <w:sz w:val="23"/>
          <w:szCs w:val="23"/>
        </w:rPr>
        <w:t xml:space="preserve">What crosses between the banks during this computation? Elliptic curve points. Garbled circuit ciphertexts. Oblivious transfer labels. None of this is personal data. It is cryptographic material, computationally indistinguishable from random bytes.</w:t>
      </w:r>
    </w:p>
    <w:p>
      <w:pPr>
        <w:spacing w:after="180" w:line="312"/>
      </w:pPr>
      <w:r>
        <w:rPr>
          <w:rFonts w:ascii="Georgia" w:cs="Georgia" w:eastAsia="Georgia" w:hAnsi="Georgia"/>
          <w:b/>
          <w:bCs/>
          <w:sz w:val="23"/>
          <w:szCs w:val="23"/>
        </w:rPr>
        <w:t xml:space="preserve">If no personal data is shared, the GDPR restriction that Article 75 was forced to accept has no object. The entire customer base can be federated.</w:t>
      </w:r>
    </w:p>
    <w:p>
      <w:pPr>
        <w:pStyle w:val="Heading2"/>
        <w:spacing w:after="180" w:before="320"/>
      </w:pPr>
      <w:r>
        <w:rPr>
          <w:rFonts w:ascii="Georgia" w:cs="Georgia" w:eastAsia="Georgia" w:hAnsi="Georgia"/>
          <w:b/>
          <w:bCs/>
          <w:color w:val="1B3A5C"/>
          <w:sz w:val="26"/>
          <w:szCs w:val="26"/>
        </w:rPr>
        <w:t xml:space="preserve">This is not theoretical</w:t>
      </w:r>
    </w:p>
    <w:p>
      <w:pPr>
        <w:spacing w:after="180" w:line="312"/>
      </w:pPr>
      <w:r>
        <w:rPr>
          <w:rFonts w:ascii="Georgia" w:cs="Georgia" w:eastAsia="Georgia" w:hAnsi="Georgia"/>
          <w:sz w:val="23"/>
          <w:szCs w:val="23"/>
        </w:rPr>
        <w:t xml:space="preserve">We built it. The ZQUAS platform runs GPU-accelerated MPC federation with 29 real compliance policies (100 rules across 9 regulatory domains, audited line-by-line against a 38-page policy manual grounded in FATF 40, EU AMLD5, Wwft, BSA, and FCA Handbook). Zero critical discrepancies. Every rule matches the spec.</w:t>
      </w:r>
    </w:p>
    <w:p>
      <w:pPr>
        <w:spacing w:after="180" w:line="312"/>
      </w:pPr>
      <w:r>
        <w:rPr>
          <w:rFonts w:ascii="Georgia" w:cs="Georgia" w:eastAsia="Georgia" w:hAnsi="Georgia"/>
          <w:sz w:val="23"/>
          <w:szCs w:val="23"/>
        </w:rPr>
        <w:t xml:space="preserve">Measured results on production hardware, with AES-256-GCM encryption active on every round:</w:t>
      </w:r>
    </w:p>
    <w:p>
      <w:pPr>
        <w:spacing w:after="180" w:line="312"/>
      </w:pPr>
      <w:r>
        <w:rPr>
          <w:rFonts w:ascii="Georgia" w:cs="Georgia" w:eastAsia="Georgia" w:hAnsi="Georgia"/>
          <w:b/>
          <w:bCs/>
          <w:sz w:val="23"/>
          <w:szCs w:val="23"/>
        </w:rPr>
        <w:t xml:space="preserve">5,000 entities per bank, full pipeline: 344 milliseconds.</w:t>
      </w:r>
    </w:p>
    <w:p>
      <w:pPr>
        <w:spacing w:after="180" w:line="312"/>
      </w:pPr>
      <w:r>
        <w:rPr>
          <w:rFonts w:ascii="Georgia" w:cs="Georgia" w:eastAsia="Georgia" w:hAnsi="Georgia"/>
          <w:b/>
          <w:bCs/>
          <w:sz w:val="23"/>
          <w:szCs w:val="23"/>
        </w:rPr>
        <w:t xml:space="preserve">500,000 entities per bank, full pipeline: 7.5 seconds.</w:t>
      </w:r>
    </w:p>
    <w:p>
      <w:pPr>
        <w:spacing w:after="180" w:line="312"/>
      </w:pPr>
      <w:r>
        <w:rPr>
          <w:rFonts w:ascii="Georgia" w:cs="Georgia" w:eastAsia="Georgia" w:hAnsi="Georgia"/>
          <w:b/>
          <w:bCs/>
          <w:sz w:val="23"/>
          <w:szCs w:val="23"/>
        </w:rPr>
        <w:t xml:space="preserve">97 banks federated (entire Dutch banking sector): 72.7 seconds.</w:t>
      </w:r>
    </w:p>
    <w:p>
      <w:pPr>
        <w:spacing w:after="180" w:line="312"/>
      </w:pPr>
      <w:r>
        <w:rPr>
          <w:rFonts w:ascii="Georgia" w:cs="Georgia" w:eastAsia="Georgia" w:hAnsi="Georgia"/>
          <w:sz w:val="23"/>
          <w:szCs w:val="23"/>
        </w:rPr>
        <w:t xml:space="preserve">If you work in AML, you just re-read those numbers. They are not a typo.</w:t>
      </w:r>
    </w:p>
    <w:p>
      <w:pPr>
        <w:spacing w:after="180" w:line="312"/>
      </w:pPr>
      <w:r>
        <w:rPr>
          <w:rFonts w:ascii="Georgia" w:cs="Georgia" w:eastAsia="Georgia" w:hAnsi="Georgia"/>
          <w:sz w:val="23"/>
          <w:szCs w:val="23"/>
        </w:rPr>
        <w:t xml:space="preserve">Traditional cross-bank AML comparison requires overnight batch processing: extract data, pseudonymise, transfer, load, query. That takes 4–24 hours. ZQUAS replaces the entire pipeline with real-time cryptographic computation on GPU. The 5,764× speedup at 1 million daily volume is not because we cut corners on the policies. It’s because we eliminated the architecture that made cross-bank comparison slow: there is no data extraction, no transfer, no central database. Each bank runs a local edge node. The cryptographic protocol handles the rest.</w:t>
      </w:r>
    </w:p>
    <w:p>
      <w:pPr>
        <w:spacing w:after="180" w:line="312"/>
      </w:pPr>
      <w:r>
        <w:rPr>
          <w:rFonts w:ascii="Georgia" w:cs="Georgia" w:eastAsia="Georgia" w:hAnsi="Georgia"/>
          <w:sz w:val="23"/>
          <w:szCs w:val="23"/>
        </w:rPr>
        <w:t xml:space="preserve">The 29 policies are real. Sanctions screening (OFAC, UN, EU, HMT), PEP/EDD with 8-factor composite scoring, transaction monitoring (structuring, layering, TBML, smurfing, round-trip detection, correspondent banking risk), fraud prevention (APP, synthetic ID, account takeover, deepfake detection, insider threat), KYC/KYB, crypto/VASP compliance, and SAR quality gating. Five cross-domain chains. Every policy maps to specific regulatory articles. Every policy was audited against the manual and corrected until the implementation matches the specification exactly.</w:t>
      </w:r>
    </w:p>
    <w:p>
      <w:pPr>
        <w:pStyle w:val="Heading2"/>
        <w:spacing w:after="180" w:before="320"/>
      </w:pPr>
      <w:r>
        <w:rPr>
          <w:rFonts w:ascii="Georgia" w:cs="Georgia" w:eastAsia="Georgia" w:hAnsi="Georgia"/>
          <w:b/>
          <w:bCs/>
          <w:color w:val="1B3A5C"/>
          <w:sz w:val="26"/>
          <w:szCs w:val="26"/>
        </w:rPr>
        <w:t xml:space="preserve">The TMNL lesson</w:t>
      </w:r>
    </w:p>
    <w:p>
      <w:pPr>
        <w:spacing w:after="180" w:line="312"/>
      </w:pPr>
      <w:r>
        <w:rPr>
          <w:rFonts w:ascii="Georgia" w:cs="Georgia" w:eastAsia="Georgia" w:hAnsi="Georgia"/>
          <w:sz w:val="23"/>
          <w:szCs w:val="23"/>
        </w:rPr>
        <w:t xml:space="preserve">The Netherlands learned this the hard way. TMNL (Transaction Monitoring Netherlands) proved that cross-bank detection works. Then the Dutch DPA stopped it, because centralising pseudonymised data is still processing personal data under GDPR.</w:t>
      </w:r>
    </w:p>
    <w:p>
      <w:pPr>
        <w:spacing w:after="180" w:line="312"/>
      </w:pPr>
      <w:r>
        <w:rPr>
          <w:rFonts w:ascii="Georgia" w:cs="Georgia" w:eastAsia="Georgia" w:hAnsi="Georgia"/>
          <w:sz w:val="23"/>
          <w:szCs w:val="23"/>
        </w:rPr>
        <w:t xml:space="preserve">They were right. Pseudonymised data is personal data. That’s settled law.</w:t>
      </w:r>
    </w:p>
    <w:p>
      <w:pPr>
        <w:spacing w:after="180" w:line="312"/>
      </w:pPr>
      <w:r>
        <w:rPr>
          <w:rFonts w:ascii="Georgia" w:cs="Georgia" w:eastAsia="Georgia" w:hAnsi="Georgia"/>
          <w:sz w:val="23"/>
          <w:szCs w:val="23"/>
        </w:rPr>
        <w:t xml:space="preserve">But MPC doesn’t pseudonymise. It computes on secret shares that are mathematically random without the other party’s cooperation. That’s not pseudonymisation. It’s a fundamentally different operation. The distinction matters: pseudonymised data can be re-identified given auxiliary information. MPC secret shares cannot be de-anonymised even with unlimited computational resources.</w:t>
      </w:r>
    </w:p>
    <w:p>
      <w:pPr>
        <w:spacing w:after="180" w:line="312"/>
      </w:pPr>
      <w:r>
        <w:rPr>
          <w:rFonts w:ascii="Georgia" w:cs="Georgia" w:eastAsia="Georgia" w:hAnsi="Georgia"/>
          <w:b/>
          <w:bCs/>
          <w:sz w:val="23"/>
          <w:szCs w:val="23"/>
        </w:rPr>
        <w:t xml:space="preserve">TMNL proved the detection works. Article 75 provides the legal framework. MPC makes it privacy-safe. The three pieces are finally available at the same time.</w:t>
      </w:r>
    </w:p>
    <w:p>
      <w:pPr>
        <w:pStyle w:val="Heading2"/>
        <w:spacing w:after="180" w:before="320"/>
      </w:pPr>
      <w:r>
        <w:rPr>
          <w:rFonts w:ascii="Georgia" w:cs="Georgia" w:eastAsia="Georgia" w:hAnsi="Georgia"/>
          <w:b/>
          <w:bCs/>
          <w:color w:val="1B3A5C"/>
          <w:sz w:val="26"/>
          <w:szCs w:val="26"/>
        </w:rPr>
        <w:t xml:space="preserve">What we’re asking for</w:t>
      </w:r>
    </w:p>
    <w:p>
      <w:pPr>
        <w:spacing w:after="180" w:line="312"/>
      </w:pPr>
      <w:r>
        <w:rPr>
          <w:rFonts w:ascii="Georgia" w:cs="Georgia" w:eastAsia="Georgia" w:hAnsi="Georgia"/>
          <w:sz w:val="23"/>
          <w:szCs w:val="23"/>
        </w:rPr>
        <w:t xml:space="preserve">Not trust. Evidence.</w:t>
      </w:r>
    </w:p>
    <w:p>
      <w:pPr>
        <w:spacing w:after="180" w:line="312"/>
      </w:pPr>
      <w:r>
        <w:rPr>
          <w:rFonts w:ascii="Georgia" w:cs="Georgia" w:eastAsia="Georgia" w:hAnsi="Georgia"/>
          <w:sz w:val="23"/>
          <w:szCs w:val="23"/>
        </w:rPr>
        <w:t xml:space="preserve">We are seeking regulatory sandbox engagement (DNB InnovationHub, FCA Digital Sandbox) to demonstrate, under supervision, that MPC federation detects cross-institutional laundering patterns without any institution accessing any other institution’s customer data. We are also seeking to establish, with the relevant Data Protection Authority, whether MPC protocol messages constitute personal data under GDPR.</w:t>
      </w:r>
    </w:p>
    <w:p>
      <w:pPr>
        <w:spacing w:after="180" w:line="312"/>
      </w:pPr>
      <w:r>
        <w:rPr>
          <w:rFonts w:ascii="Georgia" w:cs="Georgia" w:eastAsia="Georgia" w:hAnsi="Georgia"/>
          <w:sz w:val="23"/>
          <w:szCs w:val="23"/>
        </w:rPr>
        <w:t xml:space="preserve">If they do: Article 75 scope limits apply, and we operate within them. That is still better than the status quo. If they don’t: full customer base federation is legally permissible. The most dangerous criminals, the ones who exploit institutional silos, lose their best hiding place.</w:t>
      </w:r>
    </w:p>
    <w:p>
      <w:pPr>
        <w:pBdr>
          <w:top w:val="single" w:color="CCCCCC" w:sz="4" w:space="8"/>
        </w:pBdr>
        <w:spacing w:before="400"/>
      </w:pPr>
    </w:p>
    <w:p>
      <w:pPr>
        <w:spacing w:after="120" w:before="200"/>
      </w:pPr>
      <w:r>
        <w:rPr>
          <w:rFonts w:ascii="Georgia" w:cs="Georgia" w:eastAsia="Georgia" w:hAnsi="Georgia"/>
          <w:sz w:val="22"/>
          <w:szCs w:val="22"/>
        </w:rPr>
        <w:t xml:space="preserve">The full position paper </w:t>
      </w:r>
      <w:r>
        <w:rPr>
          <w:rFonts w:ascii="Georgia" w:cs="Georgia" w:eastAsia="Georgia" w:hAnsi="Georgia"/>
          <w:i/>
          <w:iCs/>
          <w:color w:val="2E75B6"/>
          <w:sz w:val="22"/>
          <w:szCs w:val="22"/>
        </w:rPr>
        <w:t xml:space="preserve">“What Article 75 Was Afraid to Permit”</w:t>
      </w:r>
      <w:r>
        <w:rPr>
          <w:rFonts w:ascii="Georgia" w:cs="Georgia" w:eastAsia="Georgia" w:hAnsi="Georgia"/>
          <w:sz w:val="22"/>
          <w:szCs w:val="22"/>
        </w:rPr>
        <w:t xml:space="preserve"> (including scaling benchmarks, a detailed legal analysis of MPC under GDPR, and responses to seven anticipated challenges) is available at </w:t>
      </w:r>
      <w:r>
        <w:rPr>
          <w:rFonts w:ascii="Georgia" w:cs="Georgia" w:eastAsia="Georgia" w:hAnsi="Georgia"/>
          <w:b/>
          <w:bCs/>
          <w:color w:val="2E75B6"/>
          <w:sz w:val="22"/>
          <w:szCs w:val="22"/>
        </w:rPr>
        <w:t xml:space="preserve">zquas.ai</w:t>
      </w:r>
      <w:r>
        <w:rPr>
          <w:rFonts w:ascii="Georgia" w:cs="Georgia" w:eastAsia="Georgia" w:hAnsi="Georgia"/>
          <w:sz w:val="22"/>
          <w:szCs w:val="22"/>
        </w:rPr>
        <w:t xml:space="preserve">.</w:t>
      </w:r>
    </w:p>
    <w:p>
      <w:pPr>
        <w:spacing w:after="80" w:before="200"/>
      </w:pPr>
      <w:r>
        <w:rPr>
          <w:rFonts w:ascii="Georgia" w:cs="Georgia" w:eastAsia="Georgia" w:hAnsi="Georgia"/>
          <w:b/>
          <w:bCs/>
          <w:color w:val="2E75B6"/>
          <w:sz w:val="22"/>
          <w:szCs w:val="22"/>
        </w:rPr>
        <w:t xml:space="preserve">ZQUAS</w:t>
      </w:r>
      <w:r>
        <w:rPr>
          <w:rFonts w:ascii="Georgia" w:cs="Georgia" w:eastAsia="Georgia" w:hAnsi="Georgia"/>
          <w:color w:val="1B3A5C"/>
          <w:sz w:val="22"/>
          <w:szCs w:val="22"/>
        </w:rPr>
        <w:t xml:space="preserve"> — Bounded Compliance on an Unbounded Platform</w:t>
      </w:r>
    </w:p>
    <w:p>
      <w:pPr>
        <w:spacing w:after="80"/>
      </w:pPr>
      <w:r>
        <w:rPr>
          <w:rFonts w:ascii="Georgia" w:cs="Georgia" w:eastAsia="Georgia" w:hAnsi="Georgia"/>
          <w:color w:val="2E75B6"/>
          <w:sz w:val="20"/>
          <w:szCs w:val="20"/>
        </w:rPr>
        <w:t xml:space="preserve">info@zquas.ai</w:t>
      </w:r>
    </w:p>
    <w:p>
      <w:pPr>
        <w:spacing w:after="100" w:before="300"/>
      </w:pPr>
      <w:r>
        <w:rPr>
          <w:rFonts w:ascii="Georgia" w:cs="Georgia" w:eastAsia="Georgia" w:hAnsi="Georgia"/>
          <w:i/>
          <w:iCs/>
          <w:color w:val="999999"/>
          <w:sz w:val="17"/>
          <w:szCs w:val="17"/>
        </w:rPr>
        <w:t xml:space="preserve">This article does not constitute legal advice. The legal position regarding MPC and GDPR should be validated through formal engagement with the relevant Data Protection Authority.</w:t>
      </w:r>
    </w:p>
    <w:p>
      <w:r>
        <w:rPr>
          <w:rFonts w:ascii="Georgia" w:cs="Georgia" w:eastAsia="Georgia" w:hAnsi="Georgia"/>
          <w:i/>
          <w:iCs/>
          <w:color w:val="999999"/>
          <w:sz w:val="17"/>
          <w:szCs w:val="17"/>
        </w:rPr>
        <w:t xml:space="preserve">© 2026 ZQUAS. All rights reserved.</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B3A5C"/>
      <w:sz w:val="34"/>
      <w:szCs w:val="34"/>
    </w:rPr>
  </w:style>
  <w:style w:type="paragraph" w:styleId="Heading2">
    <w:name w:val="Heading 2"/>
    <w:basedOn w:val="Normal"/>
    <w:next w:val="Normal"/>
    <w:qFormat/>
    <w:pPr>
      <w:spacing w:after="180" w:before="320"/>
      <w:outlineLvl w:val="1"/>
    </w:pPr>
    <w:rPr>
      <w:rFonts w:ascii="Georgia" w:cs="Georgia" w:eastAsia="Georgia" w:hAnsi="Georgia"/>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2026-03-15T08:20:07.260Z</dcterms:created>
  <dcterms:modified xsi:type="dcterms:W3CDTF">2026-03-15T08:20:07.260Z</dcterms:modified>
</cp:coreProperties>
</file>

<file path=docProps/custom.xml><?xml version="1.0" encoding="utf-8"?>
<Properties xmlns="http://schemas.openxmlformats.org/officeDocument/2006/custom-properties" xmlns:vt="http://schemas.openxmlformats.org/officeDocument/2006/docPropsVTypes"/>
</file>