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Georgia" w:cs="Georgia" w:eastAsia="Georgia" w:hAnsi="Georgia"/>
          <w:i/>
          <w:iCs/>
          <w:color w:val="999999"/>
          <w:sz w:val="16"/>
          <w:szCs w:val="16"/>
        </w:rPr>
        <w:t xml:space="preserve">LinkedIn Post — Founding Partner Programme</w:t>
      </w:r>
    </w:p>
    <w:p>
      <w:pPr>
        <w:spacing w:after="100"/>
      </w:pPr>
      <w:r>
        <w:rPr>
          <w:rFonts w:ascii="Georgia" w:cs="Georgia" w:eastAsia="Georgia" w:hAnsi="Georgia"/>
          <w:i/>
          <w:iCs/>
          <w:color w:val="888888"/>
          <w:sz w:val="19"/>
          <w:szCs w:val="19"/>
        </w:rPr>
        <w:t xml:space="preserve">Post this 2–3 days after the Article 75 piece. Let the first article get traction before announcing the programme.</w:t>
      </w:r>
    </w:p>
    <w:p>
      <w:pPr>
        <w:pBdr>
          <w:top w:val="single" w:color="2E75B6" w:sz="4" w:space="8"/>
        </w:pBdr>
        <w:spacing w:before="200"/>
      </w:pPr>
    </w:p>
    <w:p>
      <w:pPr>
        <w:spacing w:before="200"/>
      </w:pPr>
    </w:p>
    <w:p>
      <w:pPr>
        <w:spacing w:after="180" w:line="312"/>
      </w:pPr>
      <w:r>
        <w:rPr>
          <w:rFonts w:ascii="Georgia" w:cs="Georgia" w:eastAsia="Georgia" w:hAnsi="Georgia"/>
          <w:sz w:val="23"/>
          <w:szCs w:val="23"/>
        </w:rPr>
        <w:t xml:space="preserve">The response to our Article 75 position paper surprised us.</w:t>
      </w:r>
    </w:p>
    <w:p>
      <w:pPr>
        <w:spacing w:after="180" w:line="312"/>
      </w:pPr>
      <w:r>
        <w:rPr>
          <w:rFonts w:ascii="Georgia" w:cs="Georgia" w:eastAsia="Georgia" w:hAnsi="Georgia"/>
          <w:sz w:val="23"/>
          <w:szCs w:val="23"/>
        </w:rPr>
        <w:t xml:space="preserve">Compliance leaders from across Europe reached out. The message was consistent: “We’ve been waiting for someone to say this.”</w:t>
      </w:r>
    </w:p>
    <w:p>
      <w:pPr>
        <w:spacing w:after="180" w:line="312"/>
      </w:pPr>
      <w:r>
        <w:rPr>
          <w:rFonts w:ascii="Georgia" w:cs="Georgia" w:eastAsia="Georgia" w:hAnsi="Georgia"/>
          <w:sz w:val="23"/>
          <w:szCs w:val="23"/>
        </w:rPr>
        <w:t xml:space="preserve">The problem they described is the same everywhere. Their transaction monitoring systems are blind to cross-institutional patterns. They know criminals exploit the gaps between banks. They know Article 75 opens the door to information sharing. They also know that sharing actual customer data, even under Article 75’s supervised framework, creates GDPR risk that their legal teams won’t accept.</w:t>
      </w:r>
    </w:p>
    <w:p>
      <w:pPr>
        <w:spacing w:after="180" w:line="312"/>
      </w:pPr>
      <w:r>
        <w:rPr>
          <w:rFonts w:ascii="Georgia" w:cs="Georgia" w:eastAsia="Georgia" w:hAnsi="Georgia"/>
          <w:b/>
          <w:bCs/>
          <w:sz w:val="23"/>
          <w:szCs w:val="23"/>
        </w:rPr>
        <w:t xml:space="preserve">So we’re opening our Founding Partner Programme.</w:t>
      </w:r>
    </w:p>
    <w:p>
      <w:pPr>
        <w:spacing w:after="180" w:line="312"/>
      </w:pPr>
      <w:r>
        <w:rPr>
          <w:rFonts w:ascii="Georgia" w:cs="Georgia" w:eastAsia="Georgia" w:hAnsi="Georgia"/>
          <w:sz w:val="23"/>
          <w:szCs w:val="23"/>
        </w:rPr>
        <w:t xml:space="preserve">Three institutions. Three pilot slots. Twelve weeks from signature to results.</w:t>
      </w:r>
    </w:p>
    <w:p>
      <w:pPr>
        <w:spacing w:after="180" w:line="312"/>
      </w:pPr>
      <w:r>
        <w:rPr>
          <w:rFonts w:ascii="Georgia" w:cs="Georgia" w:eastAsia="Georgia" w:hAnsi="Georgia"/>
          <w:sz w:val="23"/>
          <w:szCs w:val="23"/>
        </w:rPr>
        <w:t xml:space="preserve">What Founding Partners get:</w:t>
      </w:r>
    </w:p>
    <w:p>
      <w:pPr>
        <w:spacing w:after="180" w:line="312"/>
      </w:pPr>
      <w:r>
        <w:rPr>
          <w:rFonts w:ascii="Georgia" w:cs="Georgia" w:eastAsia="Georgia" w:hAnsi="Georgia"/>
          <w:sz w:val="23"/>
          <w:szCs w:val="23"/>
        </w:rPr>
        <w:t xml:space="preserve">• 24-month preferential licensing (50% of standard rate)</w:t>
      </w:r>
    </w:p>
    <w:p>
      <w:pPr>
        <w:spacing w:after="180" w:line="312"/>
      </w:pPr>
      <w:r>
        <w:rPr>
          <w:rFonts w:ascii="Georgia" w:cs="Georgia" w:eastAsia="Georgia" w:hAnsi="Georgia"/>
          <w:sz w:val="23"/>
          <w:szCs w:val="23"/>
        </w:rPr>
        <w:t xml:space="preserve">• Permanent seat on our Policy Advisory Board</w:t>
      </w:r>
    </w:p>
    <w:p>
      <w:pPr>
        <w:spacing w:after="180" w:line="312"/>
      </w:pPr>
      <w:r>
        <w:rPr>
          <w:rFonts w:ascii="Georgia" w:cs="Georgia" w:eastAsia="Georgia" w:hAnsi="Georgia"/>
          <w:sz w:val="23"/>
          <w:szCs w:val="23"/>
        </w:rPr>
        <w:t xml:space="preserve">• Joint regulatory sandbox engagement (DNB, FCA, or relevant national FSA)</w:t>
      </w:r>
    </w:p>
    <w:p>
      <w:pPr>
        <w:spacing w:after="180" w:line="312"/>
      </w:pPr>
      <w:r>
        <w:rPr>
          <w:rFonts w:ascii="Georgia" w:cs="Georgia" w:eastAsia="Georgia" w:hAnsi="Georgia"/>
          <w:sz w:val="23"/>
          <w:szCs w:val="23"/>
        </w:rPr>
        <w:t xml:space="preserve">• Co-authored case study published at industry conferences</w:t>
      </w:r>
    </w:p>
    <w:p>
      <w:pPr>
        <w:spacing w:after="180" w:line="312"/>
      </w:pPr>
      <w:r>
        <w:rPr>
          <w:rFonts w:ascii="Georgia" w:cs="Georgia" w:eastAsia="Georgia" w:hAnsi="Georgia"/>
          <w:sz w:val="23"/>
          <w:szCs w:val="23"/>
        </w:rPr>
        <w:t xml:space="preserve">• Dedicated integration engineer for the pilot duration</w:t>
      </w:r>
    </w:p>
    <w:p>
      <w:pPr>
        <w:spacing w:after="180" w:line="312"/>
      </w:pPr>
      <w:r>
        <w:rPr>
          <w:rFonts w:ascii="Georgia" w:cs="Georgia" w:eastAsia="Georgia" w:hAnsi="Georgia"/>
          <w:sz w:val="23"/>
          <w:szCs w:val="23"/>
        </w:rPr>
        <w:t xml:space="preserve">• Contractual data sovereignty guarantee. No customer data leaves your infrastructure, ever.</w:t>
      </w:r>
    </w:p>
    <w:p>
      <w:pPr>
        <w:spacing w:after="180" w:line="312"/>
      </w:pPr>
      <w:r>
        <w:rPr>
          <w:rFonts w:ascii="Georgia" w:cs="Georgia" w:eastAsia="Georgia" w:hAnsi="Georgia"/>
          <w:sz w:val="23"/>
          <w:szCs w:val="23"/>
        </w:rPr>
        <w:t xml:space="preserve">What we’ve already proven:</w:t>
      </w:r>
    </w:p>
    <w:p>
      <w:pPr>
        <w:spacing w:after="180" w:line="312"/>
      </w:pPr>
      <w:r>
        <w:rPr>
          <w:rFonts w:ascii="Georgia" w:cs="Georgia" w:eastAsia="Georgia" w:hAnsi="Georgia"/>
          <w:sz w:val="23"/>
          <w:szCs w:val="23"/>
        </w:rPr>
        <w:t xml:space="preserve">• 500,000 entities per bank: 7.5 seconds, full pipeline, AES-256-GCM encrypted</w:t>
      </w:r>
    </w:p>
    <w:p>
      <w:pPr>
        <w:spacing w:after="180" w:line="312"/>
      </w:pPr>
      <w:r>
        <w:rPr>
          <w:rFonts w:ascii="Georgia" w:cs="Georgia" w:eastAsia="Georgia" w:hAnsi="Georgia"/>
          <w:sz w:val="23"/>
          <w:szCs w:val="23"/>
        </w:rPr>
        <w:t xml:space="preserve">• 97 banks federated (entire Dutch banking sector): 72.7 seconds</w:t>
      </w:r>
    </w:p>
    <w:p>
      <w:pPr>
        <w:spacing w:after="180" w:line="312"/>
      </w:pPr>
      <w:r>
        <w:rPr>
          <w:rFonts w:ascii="Georgia" w:cs="Georgia" w:eastAsia="Georgia" w:hAnsi="Georgia"/>
          <w:sz w:val="23"/>
          <w:szCs w:val="23"/>
        </w:rPr>
        <w:t xml:space="preserve">• 29 compliance policies, 100 rules, 9 domains. Audited line-by-line, zero discrepancies.</w:t>
      </w:r>
    </w:p>
    <w:p>
      <w:pPr>
        <w:spacing w:after="180" w:line="312"/>
      </w:pPr>
      <w:r>
        <w:rPr>
          <w:rFonts w:ascii="Georgia" w:cs="Georgia" w:eastAsia="Georgia" w:hAnsi="Georgia"/>
          <w:sz w:val="23"/>
          <w:szCs w:val="23"/>
        </w:rPr>
        <w:t xml:space="preserve">• 4/4 real-world laundering typologies detected, per-entity verified at every scale</w:t>
      </w:r>
    </w:p>
    <w:p>
      <w:pPr>
        <w:spacing w:after="180" w:line="312"/>
      </w:pPr>
      <w:r>
        <w:rPr>
          <w:rFonts w:ascii="Georgia" w:cs="Georgia" w:eastAsia="Georgia" w:hAnsi="Georgia"/>
          <w:sz w:val="23"/>
          <w:szCs w:val="23"/>
        </w:rPr>
        <w:t xml:space="preserve">• 0.00% false positive rate on realistic moderate-risk population</w:t>
      </w:r>
    </w:p>
    <w:p>
      <w:pPr>
        <w:spacing w:after="180" w:line="312"/>
      </w:pPr>
      <w:r>
        <w:rPr>
          <w:rFonts w:ascii="Georgia" w:cs="Georgia" w:eastAsia="Georgia" w:hAnsi="Georgia"/>
          <w:sz w:val="23"/>
          <w:szCs w:val="23"/>
        </w:rPr>
        <w:t xml:space="preserve">• Zero data shared between institutions. Mathematically guaranteed.</w:t>
      </w:r>
    </w:p>
    <w:p>
      <w:pPr>
        <w:spacing w:after="180" w:line="312"/>
      </w:pPr>
      <w:r>
        <w:rPr>
          <w:rFonts w:ascii="Georgia" w:cs="Georgia" w:eastAsia="Georgia" w:hAnsi="Georgia"/>
          <w:sz w:val="23"/>
          <w:szCs w:val="23"/>
        </w:rPr>
        <w:t xml:space="preserve">What you need to provide: entity risk scores (synthetic or representative), one server, one IT contact, one compliance contact, and the willingness to engage your regulator.</w:t>
      </w:r>
    </w:p>
    <w:p>
      <w:pPr>
        <w:spacing w:after="180" w:line="312"/>
      </w:pPr>
      <w:r>
        <w:rPr>
          <w:rFonts w:ascii="Georgia" w:cs="Georgia" w:eastAsia="Georgia" w:hAnsi="Georgia"/>
          <w:sz w:val="23"/>
          <w:szCs w:val="23"/>
        </w:rPr>
        <w:t xml:space="preserve">No 18-month procurement process. No committee of committees. Twelve weeks.</w:t>
      </w:r>
    </w:p>
    <w:p>
      <w:pPr>
        <w:spacing w:after="180" w:line="312"/>
      </w:pPr>
      <w:r>
        <w:rPr>
          <w:rFonts w:ascii="Georgia" w:cs="Georgia" w:eastAsia="Georgia" w:hAnsi="Georgia"/>
          <w:b/>
          <w:bCs/>
          <w:sz w:val="23"/>
          <w:szCs w:val="23"/>
        </w:rPr>
        <w:t xml:space="preserve">Three slots. When they’re committed, the programme closes.</w:t>
      </w:r>
    </w:p>
    <w:p>
      <w:pPr>
        <w:spacing w:after="180" w:line="312"/>
      </w:pPr>
      <w:r>
        <w:rPr>
          <w:rFonts w:ascii="Georgia" w:cs="Georgia" w:eastAsia="Georgia" w:hAnsi="Georgia"/>
          <w:sz w:val="23"/>
          <w:szCs w:val="23"/>
        </w:rPr>
        <w:t xml:space="preserve">If your institution is ready to move from overnight batch monitoring to real-time cross-institutional detection, without sharing a single byte of customer data, let’s talk.</w:t>
      </w:r>
    </w:p>
    <w:p>
      <w:pPr>
        <w:spacing w:after="180" w:line="312"/>
      </w:pPr>
      <w:r>
        <w:rPr>
          <w:rFonts w:ascii="Georgia" w:cs="Georgia" w:eastAsia="Georgia" w:hAnsi="Georgia"/>
          <w:sz w:val="23"/>
          <w:szCs w:val="23"/>
        </w:rPr>
        <w:t xml:space="preserve">info@zquas.ai</w:t>
      </w:r>
    </w:p>
    <w:p>
      <w:pPr>
        <w:spacing w:before="100"/>
      </w:pPr>
    </w:p>
    <w:p>
      <w:pPr>
        <w:spacing w:after="180" w:line="312"/>
      </w:pPr>
      <w:r>
        <w:rPr>
          <w:rFonts w:ascii="Georgia" w:cs="Georgia" w:eastAsia="Georgia" w:hAnsi="Georgia"/>
          <w:sz w:val="23"/>
          <w:szCs w:val="23"/>
        </w:rPr>
        <w:t xml:space="preserve">—</w:t>
      </w:r>
    </w:p>
    <w:p>
      <w:pPr>
        <w:spacing w:after="180" w:line="312"/>
      </w:pPr>
      <w:r>
        <w:rPr>
          <w:rFonts w:ascii="Georgia" w:cs="Georgia" w:eastAsia="Georgia" w:hAnsi="Georgia"/>
          <w:sz w:val="23"/>
          <w:szCs w:val="23"/>
        </w:rPr>
        <w:t xml:space="preserve">Danny de Gier</w:t>
      </w:r>
    </w:p>
    <w:p>
      <w:pPr>
        <w:spacing w:after="180" w:line="312"/>
      </w:pPr>
      <w:r>
        <w:rPr>
          <w:rFonts w:ascii="Georgia" w:cs="Georgia" w:eastAsia="Georgia" w:hAnsi="Georgia"/>
          <w:sz w:val="23"/>
          <w:szCs w:val="23"/>
        </w:rPr>
        <w:t xml:space="preserve">ZQUAS — Bounded Compliance on an Unbounded Platform</w:t>
      </w:r>
    </w:p>
    <w:p>
      <w:pPr>
        <w:spacing w:before="200"/>
      </w:pPr>
    </w:p>
    <w:p>
      <w:pPr>
        <w:pBdr>
          <w:top w:val="single" w:color="2E75B6" w:sz="4" w:space="8"/>
        </w:pBdr>
        <w:spacing w:before="200"/>
      </w:pPr>
    </w:p>
    <w:p>
      <w:pPr>
        <w:spacing w:before="100"/>
      </w:pPr>
    </w:p>
    <w:p>
      <w:r>
        <w:rPr>
          <w:rFonts w:ascii="Georgia" w:cs="Georgia" w:eastAsia="Georgia" w:hAnsi="Georgia"/>
          <w:i/>
          <w:iCs/>
          <w:color w:val="888888"/>
          <w:sz w:val="19"/>
          <w:szCs w:val="19"/>
        </w:rPr>
        <w:t xml:space="preserve">Suggested hashtags: </w:t>
      </w:r>
      <w:r>
        <w:rPr>
          <w:rFonts w:ascii="Georgia" w:cs="Georgia" w:eastAsia="Georgia" w:hAnsi="Georgia"/>
          <w:color w:val="2E75B6"/>
          <w:sz w:val="19"/>
          <w:szCs w:val="19"/>
        </w:rPr>
        <w:t xml:space="preserve">#AML #FinancialCrime #AMLR #Article75 #PrivacyPreservingTechnology #MPC #RegTech #Compliance #GDPR #Banking #FinCrime #TMNL</w:t>
      </w:r>
    </w:p>
    <w:p>
      <w:pPr>
        <w:spacing w:before="100"/>
      </w:pPr>
    </w:p>
    <w:p>
      <w:r>
        <w:rPr>
          <w:rFonts w:ascii="Georgia" w:cs="Georgia" w:eastAsia="Georgia" w:hAnsi="Georgia"/>
          <w:i/>
          <w:iCs/>
          <w:color w:val="888888"/>
          <w:sz w:val="19"/>
          <w:szCs w:val="19"/>
        </w:rPr>
        <w:t xml:space="preserve">Suggested image: </w:t>
      </w:r>
      <w:r>
        <w:rPr>
          <w:rFonts w:ascii="Georgia" w:cs="Georgia" w:eastAsia="Georgia" w:hAnsi="Georgia"/>
          <w:color w:val="666666"/>
          <w:sz w:val="19"/>
          <w:szCs w:val="19"/>
        </w:rPr>
        <w:t xml:space="preserve">A clean graphic showing “3 slots • 3 regulators • 12 weeks” with the ZQUAS logo. Dark background, minimal, not a stock photo.</w:t>
      </w:r>
    </w:p>
    <w:p>
      <w:pPr>
        <w:spacing w:before="100"/>
      </w:pPr>
    </w:p>
    <w:p>
      <w:r>
        <w:rPr>
          <w:rFonts w:ascii="Georgia" w:cs="Georgia" w:eastAsia="Georgia" w:hAnsi="Georgia"/>
          <w:i/>
          <w:iCs/>
          <w:color w:val="888888"/>
          <w:sz w:val="19"/>
          <w:szCs w:val="19"/>
        </w:rPr>
        <w:t xml:space="preserve">Post timing: </w:t>
      </w:r>
      <w:r>
        <w:rPr>
          <w:rFonts w:ascii="Georgia" w:cs="Georgia" w:eastAsia="Georgia" w:hAnsi="Georgia"/>
          <w:color w:val="666666"/>
          <w:sz w:val="19"/>
          <w:szCs w:val="19"/>
        </w:rPr>
        <w:t xml:space="preserve">Tuesday or Wednesday morning, 8:00–9:00 CET. LinkedIn engagement peaks early-week mornings in European financial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2026-03-15T08:20:07.426Z</dcterms:created>
  <dcterms:modified xsi:type="dcterms:W3CDTF">2026-03-15T08:20:07.426Z</dcterms:modified>
</cp:coreProperties>
</file>

<file path=docProps/custom.xml><?xml version="1.0" encoding="utf-8"?>
<Properties xmlns="http://schemas.openxmlformats.org/officeDocument/2006/custom-properties" xmlns:vt="http://schemas.openxmlformats.org/officeDocument/2006/docPropsVTypes"/>
</file>