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Глубокий анализ документации</w:t>
      </w:r>
    </w:p>
    <w:p>
      <w:pPr>
        <w:spacing w:after="60"/>
      </w:pPr>
      <w:r>
        <w:rPr>
          <w:b/>
          <w:bCs/>
          <w:sz w:val="24"/>
          <w:szCs w:val="24"/>
        </w:rPr>
        <w:t xml:space="preserve">Закупка № 0322200005226000001</w:t>
      </w:r>
    </w:p>
    <w:p>
      <w:pPr>
        <w:spacing w:after="200"/>
      </w:pPr>
      <w:r>
        <w:rPr>
          <w:sz w:val="22"/>
          <w:szCs w:val="22"/>
        </w:rPr>
        <w:t xml:space="preserve">Поставка компьютеров (системных блоков) для нужд учреждения</w:t>
      </w:r>
    </w:p>
    <w:tbl>
      <w:tblPr>
        <w:tblW w:type="dxa" w:w="9638"/>
        <w:tblBorders>
          <w:top w:val="single" w:color="D6D3CD" w:sz="4"/>
          <w:left w:val="single" w:color="D6D3CD" w:sz="4"/>
          <w:bottom w:val="single" w:color="D6D3CD" w:sz="4"/>
          <w:right w:val="single" w:color="D6D3CD" w:sz="4"/>
          <w:insideH w:val="single" w:color="D6D3CD" w:sz="4"/>
          <w:insideV w:val="single" w:color="D6D3CD" w:sz="4"/>
        </w:tblBorders>
        <w:tblLayout w:type="fixed"/>
      </w:tblPr>
      <w:tblGrid>
        <w:gridCol w:w="3084"/>
        <w:gridCol w:w="6554"/>
      </w:tblGrid>
      <w:tr>
        <w:trPr>
          <w:cantSplit/>
        </w:trPr>
        <w:tc>
          <w:tcPr>
            <w:tcW w:type="dxa" w:w="3084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Заказчик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ГБУ «Московский центр информационных технологий»</w:t>
            </w:r>
          </w:p>
        </w:tc>
      </w:tr>
      <w:tr>
        <w:trPr>
          <w:cantSplit/>
        </w:trPr>
        <w:tc>
          <w:tcPr>
            <w:tcW w:type="dxa" w:w="3084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НМЦК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2 800 000 ₽</w:t>
            </w:r>
          </w:p>
        </w:tc>
      </w:tr>
      <w:tr>
        <w:trPr>
          <w:cantSplit/>
        </w:trPr>
        <w:tc>
          <w:tcPr>
            <w:tcW w:type="dxa" w:w="3084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Окончание подачи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15.10.2026, 18:00 МСК</w:t>
            </w:r>
          </w:p>
        </w:tc>
      </w:tr>
      <w:tr>
        <w:trPr>
          <w:cantSplit/>
        </w:trPr>
        <w:tc>
          <w:tcPr>
            <w:tcW w:type="dxa" w:w="3084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Обеспечение заявки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1%</w:t>
            </w:r>
          </w:p>
        </w:tc>
      </w:tr>
      <w:tr>
        <w:trPr>
          <w:cantSplit/>
        </w:trPr>
        <w:tc>
          <w:tcPr>
            <w:tcW w:type="dxa" w:w="3084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Обеспечение контракта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5%</w:t>
            </w:r>
          </w:p>
        </w:tc>
      </w:tr>
      <w:tr>
        <w:trPr>
          <w:cantSplit/>
        </w:trPr>
        <w:tc>
          <w:tcPr>
            <w:tcW w:type="dxa" w:w="3084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Аванс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30%</w:t>
            </w:r>
          </w:p>
        </w:tc>
      </w:tr>
      <w:tr>
        <w:trPr>
          <w:cantSplit/>
        </w:trPr>
        <w:tc>
          <w:tcPr>
            <w:tcW w:type="dxa" w:w="3084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Состояние разбора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Разбор завершён</w:t>
            </w:r>
          </w:p>
        </w:tc>
      </w:tr>
      <w:tr>
        <w:trPr>
          <w:cantSplit/>
        </w:trPr>
        <w:tc>
          <w:tcPr>
            <w:tcW w:type="dxa" w:w="3084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Модель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google/gemini-2.5-flash</w:t>
            </w:r>
          </w:p>
        </w:tc>
      </w:tr>
      <w:tr>
        <w:trPr>
          <w:cantSplit/>
        </w:trPr>
        <w:tc>
          <w:tcPr>
            <w:tcW w:type="dxa" w:w="3084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Отчёт сформирован</w:t>
            </w:r>
          </w:p>
        </w:tc>
        <w:tc>
          <w:tcPr>
            <w:tcW w:type="dxa" w:w="65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 октября 2026 г. в 23:27</w:t>
            </w:r>
          </w:p>
        </w:tc>
      </w:tr>
    </w:tbl>
    <w:p>
      <w:pPr>
        <w:pStyle w:val="Heading1"/>
        <w:keepNext/>
        <w:spacing w:after="120" w:before="360"/>
      </w:pPr>
      <w:r>
        <w:t xml:space="preserve">1. Вывод</w:t>
      </w:r>
    </w:p>
    <w:p>
      <w:pPr>
        <w:shd w:fill="FEF3F2" w:color="auto" w:val="clear"/>
        <w:spacing w:after="120"/>
      </w:pPr>
      <w:r>
        <w:rPr>
          <w:b/>
          <w:bCs/>
          <w:color w:val="B42318"/>
        </w:rPr>
        <w:t xml:space="preserve">Не хватает по профилю: 1 из 6 требований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Прочитано файлов: 3 из 4 — выводы построены только на прочитанном, пропущенные перечислены в разделе «Документы закупки»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Требований к участнику: 6 — выполнено 4, не выполнено 1, проверить вручную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Рисков договора: 2, из них высоких: 1</w:t>
      </w:r>
    </w:p>
    <w:p>
      <w:pPr>
        <w:pStyle w:val="Heading1"/>
        <w:keepNext/>
        <w:spacing w:after="120" w:before="360"/>
      </w:pPr>
      <w:r>
        <w:t xml:space="preserve">2. Сверка с профилем компании</w:t>
      </w:r>
    </w:p>
    <w:tbl>
      <w:tblPr>
        <w:tblW w:type="dxa" w:w="9638"/>
        <w:tblBorders>
          <w:top w:val="single" w:color="D6D3CD" w:sz="4"/>
          <w:left w:val="single" w:color="D6D3CD" w:sz="4"/>
          <w:bottom w:val="single" w:color="D6D3CD" w:sz="4"/>
          <w:right w:val="single" w:color="D6D3CD" w:sz="4"/>
          <w:insideH w:val="single" w:color="D6D3CD" w:sz="4"/>
          <w:insideV w:val="single" w:color="D6D3CD" w:sz="4"/>
        </w:tblBorders>
        <w:tblLayout w:type="fixed"/>
      </w:tblPr>
      <w:tblGrid>
        <w:gridCol w:w="578"/>
        <w:gridCol w:w="4433"/>
        <w:gridCol w:w="1928"/>
        <w:gridCol w:w="2699"/>
      </w:tblGrid>
      <w:tr>
        <w:trPr>
          <w:tblHeader/>
        </w:trPr>
        <w:tc>
          <w:tcPr>
            <w:tcW w:type="dxa" w:w="578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433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1928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2699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3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Членство в СРО строителей: СРО в области строительства, уровень ответственности не ниже 2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«Участник закупки должен являться членом саморегулируемой организации в области строительства» — Извещение о закупке, раздел 4</w:t>
            </w:r>
          </w:p>
        </w:tc>
        <w:tc>
          <w:tcPr>
            <w:tcW w:type="dxa" w:w="1928"/>
            <w:shd w:fill="FE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2318"/>
              </w:rPr>
              <w:t xml:space="preserve">Не выполнено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В профиле нет действующего членства в СРО.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43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Наличие автовышки: автовышка с высотой подъёма не менее 22 м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«наличие у участника на праве собственности или аренды автовышки» — Извещение о закупке, раздел 4</w:t>
            </w:r>
          </w:p>
        </w:tc>
        <w:tc>
          <w:tcPr>
            <w:tcW w:type="dxa" w:w="1928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</w:rPr>
              <w:t xml:space="preserve">Проверить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В профиле отмечено наличие оборудования — сверьте с конкретным перечнем из документа.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43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Лицензия МЧС: лицензия на монтаж и обслуживание средств обеспечения пожарной безопасности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«Наличие у участника действующей лицензии МЧС России на деятельность по монтажу, техническому обслуживанию и ремонту средств обеспечения пожарной безопасности» — Извещение о закупке, раздел 4</w:t>
            </w:r>
          </w:p>
        </w:tc>
        <w:tc>
          <w:tcPr>
            <w:tcW w:type="dxa" w:w="1928"/>
            <w:shd w:fill="ECFD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4663D"/>
              </w:rPr>
              <w:t xml:space="preserve">Выполнено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Есть лицензия: Лицензия МЧС на монтаж средств пожарной безопасности № 77-Б/00000.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43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Опыт исполнения контракта: один исполненный контракт не менее 20% НМЦК за 3 года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«наличие опыта исполнения договора… не менее двадцати процентов начальной (максимальной) цены контракта» — Извещение о закупке, раздел 4</w:t>
            </w:r>
          </w:p>
        </w:tc>
        <w:tc>
          <w:tcPr>
            <w:tcW w:type="dxa" w:w="1928"/>
            <w:shd w:fill="ECFD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4663D"/>
              </w:rPr>
              <w:t xml:space="preserve">Выполнено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Опыт по профилю покрывает требование.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43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Отсутствие в РНП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«отсутствие в реестре недобросовестных поставщиков информации об участнике закупки» — Извещение о закупке, раздел 4</w:t>
            </w:r>
          </w:p>
        </w:tc>
        <w:tc>
          <w:tcPr>
            <w:tcW w:type="dxa" w:w="1928"/>
            <w:shd w:fill="ECFD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4663D"/>
              </w:rPr>
              <w:t xml:space="preserve">Выполнено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Типовое условие допуска — подтверждается декларацией в заявке.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43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Обеспечение заявки 1%: 1% от НМЦК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«Размер обеспечения заявки 1,00 %» — Извещение о закупке, раздел 4</w:t>
            </w:r>
          </w:p>
        </w:tc>
        <w:tc>
          <w:tcPr>
            <w:tcW w:type="dxa" w:w="1928"/>
            <w:shd w:fill="ECFD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4663D"/>
              </w:rPr>
              <w:t xml:space="preserve">Выполнено</w:t>
            </w:r>
          </w:p>
        </w:tc>
        <w:tc>
          <w:tcPr>
            <w:tcW w:type="dxa" w:w="26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Специальный счёт для обеспечения открыт.</w:t>
            </w:r>
          </w:p>
        </w:tc>
      </w:tr>
    </w:tbl>
    <w:p>
      <w:pPr>
        <w:pStyle w:val="Heading1"/>
        <w:keepNext/>
        <w:spacing w:after="120" w:before="360"/>
      </w:pPr>
      <w:r>
        <w:t xml:space="preserve">3. Риски договора</w:t>
      </w:r>
    </w:p>
    <w:tbl>
      <w:tblPr>
        <w:tblW w:type="dxa" w:w="9638"/>
        <w:tblBorders>
          <w:top w:val="single" w:color="D6D3CD" w:sz="4"/>
          <w:left w:val="single" w:color="D6D3CD" w:sz="4"/>
          <w:bottom w:val="single" w:color="D6D3CD" w:sz="4"/>
          <w:right w:val="single" w:color="D6D3CD" w:sz="4"/>
          <w:insideH w:val="single" w:color="D6D3CD" w:sz="4"/>
          <w:insideV w:val="single" w:color="D6D3CD" w:sz="4"/>
        </w:tblBorders>
        <w:tblLayout w:type="fixed"/>
      </w:tblPr>
      <w:tblGrid>
        <w:gridCol w:w="578"/>
        <w:gridCol w:w="6168"/>
        <w:gridCol w:w="2891"/>
      </w:tblGrid>
      <w:tr>
        <w:trPr>
          <w:tblHeader/>
        </w:trPr>
        <w:tc>
          <w:tcPr>
            <w:tcW w:type="dxa" w:w="578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6168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2891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Важность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16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Пеня 0,5% за каждый день просрочки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Выше типовой ставки (1/300 ключевой): месяц просрочки — 15% цены контракта. «пеня в размере 0,5% от цены Контракта за каждый день просрочки» — Проект контракта, п. 7.3</w:t>
            </w:r>
          </w:p>
        </w:tc>
        <w:tc>
          <w:tcPr>
            <w:tcW w:type="dxa" w:w="2891"/>
            <w:shd w:fill="FE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2318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616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Оплата через 60 рабочих дней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Длинный цикл оплаты при отсутствии аванса. «оплата в течение 60 рабочих дней с даты подписания акта» — Проект контракта, п. 2.6</w:t>
            </w:r>
          </w:p>
        </w:tc>
        <w:tc>
          <w:tcPr>
            <w:tcW w:type="dxa" w:w="2891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854D0E"/>
              </w:rPr>
              <w:t xml:space="preserve">Средняя</w:t>
            </w:r>
          </w:p>
        </w:tc>
      </w:tr>
    </w:tbl>
    <w:p>
      <w:pPr>
        <w:pStyle w:val="Heading1"/>
        <w:keepNext/>
        <w:spacing w:after="120" w:before="360"/>
      </w:pPr>
      <w:r>
        <w:t xml:space="preserve">4. Что сделать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Закрыть требование «Членство в СРО строителей»: В профиле нет действующего членства в СРО.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Сверить вручную «Наличие автовышки»: В профиле отмечено наличие оборудования — сверьте с конкретным перечнем из документа.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Учесть в цене и решении об участии риск «Пеня 0,5% за каждый день просрочки»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Прочитать вручную 1 пропущенный файл — выводы по ним не делались</w:t>
      </w:r>
    </w:p>
    <w:p>
      <w:pPr>
        <w:pStyle w:val="Heading1"/>
        <w:keepNext/>
        <w:spacing w:after="120" w:before="360"/>
      </w:pPr>
      <w:r>
        <w:t xml:space="preserve">5. Прочая информация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Срок рассмотрения заявок — 3 рабочих дня после окончания подачи.</w:t>
      </w:r>
    </w:p>
    <w:p>
      <w:pPr>
        <w:pStyle w:val="Heading1"/>
        <w:keepNext/>
        <w:spacing w:after="120" w:before="360"/>
      </w:pPr>
      <w:r>
        <w:t xml:space="preserve">6. Документы закупки</w:t>
      </w:r>
    </w:p>
    <w:tbl>
      <w:tblPr>
        <w:tblW w:type="dxa" w:w="9638"/>
        <w:tblBorders>
          <w:top w:val="single" w:color="D6D3CD" w:sz="4"/>
          <w:left w:val="single" w:color="D6D3CD" w:sz="4"/>
          <w:bottom w:val="single" w:color="D6D3CD" w:sz="4"/>
          <w:right w:val="single" w:color="D6D3CD" w:sz="4"/>
          <w:insideH w:val="single" w:color="D6D3CD" w:sz="4"/>
          <w:insideV w:val="single" w:color="D6D3CD" w:sz="4"/>
        </w:tblBorders>
        <w:tblLayout w:type="fixed"/>
      </w:tblPr>
      <w:tblGrid>
        <w:gridCol w:w="578"/>
        <w:gridCol w:w="5205"/>
        <w:gridCol w:w="3855"/>
      </w:tblGrid>
      <w:tr>
        <w:trPr>
          <w:tblHeader/>
        </w:trPr>
        <w:tc>
          <w:tcPr>
            <w:tcW w:type="dxa" w:w="578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5205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Файл</w:t>
            </w:r>
          </w:p>
        </w:tc>
        <w:tc>
          <w:tcPr>
            <w:tcW w:type="dxa" w:w="3855"/>
            <w:shd w:fill="F5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52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Извещение о закупке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notice.html</w:t>
            </w:r>
          </w:p>
        </w:tc>
        <w:tc>
          <w:tcPr>
            <w:tcW w:type="dxa" w:w="3855"/>
            <w:shd w:fill="ECFD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4663D"/>
              </w:rPr>
              <w:t xml:space="preserve">Прочитан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2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Проект контракта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Проект контракта.docx</w:t>
            </w:r>
          </w:p>
        </w:tc>
        <w:tc>
          <w:tcPr>
            <w:tcW w:type="dxa" w:w="3855"/>
            <w:shd w:fill="ECFD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4663D"/>
              </w:rPr>
              <w:t xml:space="preserve">Прочитан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52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Проектная документация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ПСД.rar</w:t>
            </w:r>
          </w:p>
        </w:tc>
        <w:tc>
          <w:tcPr>
            <w:tcW w:type="dxa" w:w="3855"/>
            <w:shd w:fill="ECFD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4663D"/>
              </w:rPr>
              <w:t xml:space="preserve">Прочитан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Внутри архива прочитано 7 из 9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52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Скан ТЗ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Скан ТЗ.pdf</w:t>
            </w:r>
          </w:p>
        </w:tc>
        <w:tc>
          <w:tcPr>
            <w:tcW w:type="dxa" w:w="3855"/>
            <w:shd w:fill="FFFA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854D0E"/>
              </w:rPr>
              <w:t xml:space="preserve">Пропущен</w:t>
            </w:r>
          </w:p>
          <w:p>
            <w:pPr>
              <w:spacing w:before="40"/>
            </w:pPr>
            <w:r>
              <w:rPr>
                <w:i/>
                <w:iCs/>
                <w:color w:val="6C6862"/>
                <w:sz w:val="18"/>
                <w:szCs w:val="18"/>
              </w:rPr>
              <w:t xml:space="preserve">Текстового слоя нет: файл отсканирован.</w:t>
            </w:r>
          </w:p>
        </w:tc>
      </w:tr>
    </w:tbl>
    <w:p>
      <w:pPr>
        <w:pStyle w:val="Heading1"/>
        <w:keepNext/>
        <w:spacing w:after="120" w:before="360"/>
      </w:pPr>
      <w:r>
        <w:t xml:space="preserve">7. Важно</w:t>
      </w:r>
    </w:p>
    <w:p>
      <w:pPr>
        <w:spacing w:after="120"/>
      </w:pPr>
      <w:r>
        <w:t xml:space="preserve">Выводы сделаны по тексту, который удалось прочитать; пропущенные файлы перечислены выше. Сверка с профилем построена на данных, которые компания указала о себе. Отчёт носит информационно-аналитический характер, не заменяет чтение документации и не гарантирует допуск к закупке. Цитаты проверяйте по первоисточнику.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C6862"/>
        <w:sz w:val="16"/>
        <w:szCs w:val="16"/>
      </w:rPr>
      <w:t xml:space="preserve">ТендерФит · закупка № 0322200005226000001 · 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rPr>
      <w:rFonts w:ascii="Arial" w:cs="Arial" w:eastAsia="Arial" w:hAnsi="Arial"/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A181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Глубокий анализ документации — закупка № 0322200005226000001</dc:title>
  <dc:creator>ТендерФит</dc:creator>
  <cp:lastModifiedBy>Un-named</cp:lastModifiedBy>
  <cp:revision>1</cp:revision>
  <dcterms:created xsi:type="dcterms:W3CDTF">2026-10-05T15:27:05.451Z</dcterms:created>
  <dcterms:modified xsi:type="dcterms:W3CDTF">2026-10-05T15:27:05.451Z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