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Глубокий анализ документации</w:t>
      </w:r>
    </w:p>
    <w:p>
      <w:pPr>
        <w:spacing w:after="60"/>
      </w:pPr>
      <w:r>
        <w:rPr>
          <w:b/>
          <w:bCs/>
          <w:sz w:val="24"/>
          <w:szCs w:val="24"/>
        </w:rPr>
        <w:t xml:space="preserve">Закупка № 0134600008526000372</w:t>
      </w:r>
    </w:p>
    <w:p>
      <w:pPr>
        <w:spacing w:after="200"/>
      </w:pPr>
      <w:r>
        <w:rPr>
          <w:sz w:val="22"/>
          <w:szCs w:val="22"/>
        </w:rPr>
        <w:t xml:space="preserve">Выполнение капитального ремонта системы отопления в здании МБУ ДО ДДТ г.Бирюсинска, расположенного по адресу: Тайшетский район ,г.Бирюсинск,ул.Нагорная 60/2</w:t>
      </w:r>
    </w:p>
    <w:tbl>
      <w:tblPr>
        <w:tblW w:type="dxa" w:w="9638"/>
        <w:tblBorders>
          <w:top w:val="single" w:color="D6D3CD" w:sz="4"/>
          <w:left w:val="single" w:color="D6D3CD" w:sz="4"/>
          <w:bottom w:val="single" w:color="D6D3CD" w:sz="4"/>
          <w:right w:val="single" w:color="D6D3CD" w:sz="4"/>
          <w:insideH w:val="single" w:color="D6D3CD" w:sz="4"/>
          <w:insideV w:val="single" w:color="D6D3CD" w:sz="4"/>
        </w:tblBorders>
        <w:tblLayout w:type="fixed"/>
      </w:tblPr>
      <w:tblGrid>
        <w:gridCol w:w="3084"/>
        <w:gridCol w:w="6554"/>
      </w:tblGrid>
      <w:tr>
        <w:trPr>
          <w:cantSplit/>
        </w:trPr>
        <w:tc>
          <w:tcPr>
            <w:tcW w:type="dxa" w:w="3084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Заказчик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МУНИЦИПАЛЬНОЕ КАЗЁННОЕ УЧРЕЖДЕНИЕ "АДМИНИСТРАЦИЯ ТАЙШЕТСКОГО МУНИЦИПАЛЬНОГО ОКРУГА ИРКУТСКОЙ ОБЛАСТИ"</w:t>
            </w:r>
          </w:p>
        </w:tc>
      </w:tr>
      <w:tr>
        <w:trPr>
          <w:cantSplit/>
        </w:trPr>
        <w:tc>
          <w:tcPr>
            <w:tcW w:type="dxa" w:w="3084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Закон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44-ФЗ</w:t>
            </w:r>
          </w:p>
        </w:tc>
      </w:tr>
      <w:tr>
        <w:trPr>
          <w:cantSplit/>
        </w:trPr>
        <w:tc>
          <w:tcPr>
            <w:tcW w:type="dxa" w:w="3084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НМЦК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3 026 675,32 ₽</w:t>
            </w:r>
          </w:p>
        </w:tc>
      </w:tr>
      <w:tr>
        <w:trPr>
          <w:cantSplit/>
        </w:trPr>
        <w:tc>
          <w:tcPr>
            <w:tcW w:type="dxa" w:w="3084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Окончание подачи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16.10.2026, 03:00 МСК (осталось 6 дней)</w:t>
            </w:r>
          </w:p>
        </w:tc>
      </w:tr>
      <w:tr>
        <w:trPr>
          <w:cantSplit/>
        </w:trPr>
        <w:tc>
          <w:tcPr>
            <w:tcW w:type="dxa" w:w="3084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Место работ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Иркутская область, г. Бирюсинск, ул. Нагорная, д. 60/2</w:t>
            </w:r>
          </w:p>
        </w:tc>
      </w:tr>
      <w:tr>
        <w:trPr>
          <w:cantSplit/>
        </w:trPr>
        <w:tc>
          <w:tcPr>
            <w:tcW w:type="dxa" w:w="3084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Отчёт сформирован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 октября 2026 г. в 21:32</w:t>
            </w:r>
          </w:p>
        </w:tc>
      </w:tr>
    </w:tbl>
    <w:p>
      <w:pPr>
        <w:pStyle w:val="Heading1"/>
        <w:keepNext/>
        <w:spacing w:after="120" w:before="360"/>
      </w:pPr>
      <w:r>
        <w:t xml:space="preserve">1. Итог</w:t>
      </w:r>
    </w:p>
    <w:p>
      <w:pPr>
        <w:shd w:fill="FEF3F2" w:color="auto" w:val="clear"/>
        <w:spacing w:after="120"/>
      </w:pPr>
      <w:r>
        <w:rPr>
          <w:b/>
          <w:bCs/>
          <w:color w:val="B42318"/>
        </w:rPr>
        <w:t xml:space="preserve">Нет: не хватает специалистов нужной квалификации.</w:t>
      </w:r>
    </w:p>
    <w:p>
      <w:pPr>
        <w:spacing w:after="120"/>
      </w:pPr>
      <w:r>
        <w:rPr>
          <w:b/>
          <w:bCs/>
        </w:rPr>
        <w:t xml:space="preserve">Главное до подачи: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штат 12 чел., требуется не менее 875. Без специалистов нужной квалификации заявку не примут: найдите или оформите их до подачи.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Вид лицензии в документе не распознан — сверьте с лицензиями профиля: Лицензия МЧС на монтаж средств пожарной безопасности. Откройте документ, найдите, какая именно лицензия нужна, и сверьте со своими.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Прочитайте пункт «Приложение №1. ТЕХНИЧЕСКОЕ ЗАДАНИЕ» документации и убедитесь, что компания это выполнит: Исполнительная документация в 2 экземплярах.</w:t>
      </w:r>
    </w:p>
    <w:p>
      <w:pPr>
        <w:spacing w:after="120"/>
      </w:pPr>
      <w:r>
        <w:t xml:space="preserve">Заморозится на время контракта: до 242 134,03 ₽ (исполнение + гарантия); плюс заявка 30 266,75 ₽ до итогов.</w:t>
      </w:r>
    </w:p>
    <w:p>
      <w:pPr>
        <w:shd w:fill="FFFAE8" w:color="auto" w:val="clear"/>
        <w:spacing w:after="120"/>
      </w:pPr>
      <w:r>
        <w:rPr>
          <w:color w:val="854D0E"/>
        </w:rPr>
        <w:t xml:space="preserve">Прочитано 11 из 12 файлов. Не прочитаны: «Локально сметный расчет.pdf» — в файле нет текста: это скан, чертёж или картинка. Выводы построены только на прочитанном.</w:t>
      </w:r>
    </w:p>
    <w:p>
      <w:pPr>
        <w:spacing w:after="120"/>
      </w:pPr>
      <w:r>
        <w:t xml:space="preserve">Вердикт пересмотрен по итогам разбора: Обнаружены блокирующие факторы: Лицензирование деятельности или членство в СРО</w:t>
      </w:r>
    </w:p>
    <w:p>
      <w:pPr>
        <w:pStyle w:val="Heading1"/>
        <w:keepNext/>
        <w:spacing w:after="120" w:before="360"/>
      </w:pPr>
      <w:r>
        <w:t xml:space="preserve">2. Можем ли участвовать</w:t>
      </w:r>
    </w:p>
    <w:tbl>
      <w:tblPr>
        <w:tblW w:type="dxa" w:w="9638"/>
        <w:tblBorders>
          <w:top w:val="single" w:color="D6D3CD" w:sz="4"/>
          <w:left w:val="single" w:color="D6D3CD" w:sz="4"/>
          <w:bottom w:val="single" w:color="D6D3CD" w:sz="4"/>
          <w:right w:val="single" w:color="D6D3CD" w:sz="4"/>
          <w:insideH w:val="single" w:color="D6D3CD" w:sz="4"/>
          <w:insideV w:val="single" w:color="D6D3CD" w:sz="4"/>
        </w:tblBorders>
        <w:tblLayout w:type="fixed"/>
      </w:tblPr>
      <w:tblGrid>
        <w:gridCol w:w="482"/>
        <w:gridCol w:w="2410"/>
        <w:gridCol w:w="1542"/>
        <w:gridCol w:w="2699"/>
        <w:gridCol w:w="2506"/>
      </w:tblGrid>
      <w:tr>
        <w:trPr>
          <w:tblHeader/>
        </w:trPr>
        <w:tc>
          <w:tcPr>
            <w:tcW w:type="dxa" w:w="482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2410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Требование</w:t>
            </w:r>
          </w:p>
        </w:tc>
        <w:tc>
          <w:tcPr>
            <w:tcW w:type="dxa" w:w="1542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2699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2506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Что делать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Наличие квалифицированного персонала для пусконаладочных работ: Инженер I категории (30.175 чел.-ч), Инженер II категории (15.0875 чел.-ч), Инженер III…</w:t>
            </w:r>
          </w:p>
        </w:tc>
        <w:tc>
          <w:tcPr>
            <w:tcW w:type="dxa" w:w="1542"/>
            <w:shd w:fill="FE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42318"/>
              </w:rPr>
              <w:t xml:space="preserve">Не выполнено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«Инженер I категории, Инженер II категории, Инженер III категории, Рабочий 5 разряда»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Раздел 4. Пусконаладочные работы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штат 12 чел., требуется не менее 875. Без специалистов нужной квалификации заявку не примут: найдите или оформите их до подачи.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Лицензия или членство в СРО, если применимо к виду работ</w:t>
            </w:r>
          </w:p>
        </w:tc>
        <w:tc>
          <w:tcPr>
            <w:tcW w:type="dxa" w:w="1542"/>
            <w:shd w:fill="FFFA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54D0E"/>
              </w:rPr>
              <w:t xml:space="preserve">Проверить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«В случае если законодательством Российской Федерации предусмотрено лицензирование вида деятельности, являющегося предметом Контракта, а также в случае, если законодательством…»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Статья 6. Гарантии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Вид лицензии в документе не распознан — сверьте с лицензиями профиля: Лицензия МЧС на монтаж средств пожарной безопасности. Откройте документ, найдите, какая именно лицензия нужна, и сверьте со своими.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Исполнительная документация в 2 экземплярах</w:t>
            </w:r>
          </w:p>
        </w:tc>
        <w:tc>
          <w:tcPr>
            <w:tcW w:type="dxa" w:w="1542"/>
            <w:shd w:fill="FFFA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54D0E"/>
              </w:rPr>
              <w:t xml:space="preserve">Проверить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«Подрядчик, по завершении строительно-монтажных работ (этапов работ), в сроки, отведенные для выполнения этих работ (этапов работ), сдает Заказчику следующую исполнительную…»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Приложение №1. ТЕХНИЧЕСКОЕ ЗАДАНИЕ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Прочитайте пункт «Приложение №1. ТЕХНИЧЕСКОЕ ЗАДАНИЕ» документации и убедитесь, что компания это выполнит: Исполнительная документация в 2 экземплярах.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Требования к материалам и оборудованию: Трубы напорные из полипропилена, армированные стекловолокном, для систем водоснабжения и отопления, номинальное…</w:t>
            </w:r>
          </w:p>
        </w:tc>
        <w:tc>
          <w:tcPr>
            <w:tcW w:type="dxa" w:w="1542"/>
            <w:shd w:fill="FFFA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54D0E"/>
              </w:rPr>
              <w:t xml:space="preserve">Проверить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«Трубы напорные из полипропилена, армированные стекловолокном, для систем водоснабжения и отопления, номинальное давление 2,5 МПа, SDR6, размеры 50х8,3 мм»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Смета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Прочитайте пункт «Смета» документации и убедитесь, что компания это выполнит: Трубы напорные из полипропилена, армированные стекловолокном, для систем водоснабжения и отопления, номинальное….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Наличие специализированного оборудования: Краны башенные, грузоподъемность 8 т; Установки для гидравлических испытаний трубопроводов, давление нагнетания…</w:t>
            </w:r>
          </w:p>
        </w:tc>
        <w:tc>
          <w:tcPr>
            <w:tcW w:type="dxa" w:w="1542"/>
            <w:shd w:fill="FFFA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54D0E"/>
              </w:rPr>
              <w:t xml:space="preserve">Проверить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«Краны башенные, грузоподъемность 8 т»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Смета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В профиле техника отмечена. Сверьте её с перечнем из документации: хватит ли на весь объём работ. Если нет — договоритесь об аренде заранее.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Требования к радиаторам отопления: Радиатор биметаллический секционный с боковым подключением, количество секций 11-14, межосевое расстояние 500 мм, рабочее…</w:t>
            </w:r>
          </w:p>
        </w:tc>
        <w:tc>
          <w:tcPr>
            <w:tcW w:type="dxa" w:w="1542"/>
            <w:shd w:fill="FFFA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54D0E"/>
              </w:rPr>
              <w:t xml:space="preserve">Проверить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«Радиатор биметаллический секционный с боковым подключением, количество секций 11, межосевое расстояние 500 мм, рабочее давление до 3 МПа, максимальная температура теплоносителя до…»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Смета, строка 59-62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Прочитайте пункт «Смета, строка 59-62» документации и убедитесь, что компания это выполнит: Радиатор биметаллический секционный с боковым подключением, количество секций 11-14, межосевое расстояние 500 мм….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Клапан терморегулятора для двухтрубной системы отопления, проходной/угловой, латунный никелированный, с предварительной настройкой пропускной способности…</w:t>
            </w:r>
          </w:p>
        </w:tc>
        <w:tc>
          <w:tcPr>
            <w:tcW w:type="dxa" w:w="1542"/>
            <w:shd w:fill="FFFA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54D0E"/>
              </w:rPr>
              <w:t xml:space="preserve">Проверить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«Клапан терморегулятора для двухтрубной системы отопления, проходной, латунный никелированный, с предварительной настройкой пропускной способности, номинальное давление 1,0 МПа…»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Смета, строка 64-66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Прочитайте пункт «Смета, строка 64-66» документации и убедитесь, что компания это выполнит: Клапан терморегулятора для двухтрубной системы отопления, проходной/угловой, латунный никелированный, с предварительной….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Требования к воздухоотводчикам: Воздухоотводчик фланцевый, диаметр 50 мм</w:t>
            </w:r>
          </w:p>
        </w:tc>
        <w:tc>
          <w:tcPr>
            <w:tcW w:type="dxa" w:w="1542"/>
            <w:shd w:fill="FFFA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54D0E"/>
              </w:rPr>
              <w:t xml:space="preserve">Проверить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«Воздухоотводчик фланцевый, диаметр 50 мм»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Смета, строка 68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Прочитайте пункт «Смета, строка 68» документации и убедитесь, что компания это выполнит: Воздухоотводчик фланцевый, диаметр 50 мм.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Требования к трубам для гильз: Трубы стальные электросварные прямошовные из стали марок Ст2, 10, наружный диаметр 48 мм, 57 мм, 76 мм, толщина стенки 3,0 мм…</w:t>
            </w:r>
          </w:p>
        </w:tc>
        <w:tc>
          <w:tcPr>
            <w:tcW w:type="dxa" w:w="1542"/>
            <w:shd w:fill="FFFA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54D0E"/>
              </w:rPr>
              <w:t xml:space="preserve">Проверить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«Трубы стальные электросварные прямошовные из стали марок Ст2, 10, наружный диаметр 48 мм, толщина стенки 3,0 мм»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Смета, строка 70, 72, 74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Прочитайте пункт «Смета, строка 70, 72, 74» документации и убедитесь, что компания это выполнит: Трубы стальные электросварные прямошовные из стали марок Ст2, 10, наружный диаметр 48 мм, 57 мм, 76 мм, толщина стенки….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Требования к компенсаторам: Компенсатор сильфонный осевой односекционный в защитном кожухе, компенсирующая способность 25 мм, условное давление 1,0 МПа…</w:t>
            </w:r>
          </w:p>
        </w:tc>
        <w:tc>
          <w:tcPr>
            <w:tcW w:type="dxa" w:w="1542"/>
            <w:shd w:fill="FFFA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54D0E"/>
              </w:rPr>
              <w:t xml:space="preserve">Проверить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«Компенсатор сильфонный осевой односекционный в защитном кожухе, компенсирующая способность 25 мм, условное давление 1,0 МПа, диаметр 50 мм»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Смета, строка 75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Прочитайте пункт «Смета, строка 75» документации и убедитесь, что компания это выполнит: Компенсатор сильфонный осевой односекционный в защитном кожухе, компенсирующая способность 25 мм, условное давление 1,0….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Требования к полипропиленовым трубам: Трубы напорные из полипропилена, армированные стекловолокном, для систем водоснабжения и отопления, номинальное давление…</w:t>
            </w:r>
          </w:p>
        </w:tc>
        <w:tc>
          <w:tcPr>
            <w:tcW w:type="dxa" w:w="1542"/>
            <w:shd w:fill="FFFA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54D0E"/>
              </w:rPr>
              <w:t xml:space="preserve">Проверить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«Трубы напорные из полипропилена, армированные стекловолокном, для систем водоснабжения и отопления, номинальное давление 2,5 МПа, SDR6, размеры 63х10,5 мм»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Смета, строка 76.1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Прочитайте пункт «Смета, строка 76.1» документации и убедитесь, что компания это выполнит: Трубы напорные из полипропилена, армированные стекловолокном, для систем водоснабжения и отопления, номинальное….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12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Требования к полипропиленовым фитингам и кранам: Муфта полипропиленовая соединительная, номинальный наружный диаметр 63 мм; Угольник 90° из сополимера…</w:t>
            </w:r>
          </w:p>
        </w:tc>
        <w:tc>
          <w:tcPr>
            <w:tcW w:type="dxa" w:w="1542"/>
            <w:shd w:fill="FFFA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54D0E"/>
              </w:rPr>
              <w:t xml:space="preserve">Проверить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«Муфта полипропиленовая соединительная, номинальный наружный диаметр 63 мм»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Смета, строка 77-79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Прочитайте пункт «Смета, строка 77-79» документации и убедитесь, что компания это выполнит: Муфта полипропиленовая соединительная, номинальный наружный диаметр 63 мм; Угольник 90° из сополимера полипропилена….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13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Наличие оборудования для сварочных работ: Аппараты для газовой сварки и резки, Аппараты сварочные для ручной дуговой сварки, сварочный ток до 350 А</w:t>
            </w:r>
          </w:p>
        </w:tc>
        <w:tc>
          <w:tcPr>
            <w:tcW w:type="dxa" w:w="1542"/>
            <w:shd w:fill="FFFA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54D0E"/>
              </w:rPr>
              <w:t xml:space="preserve">Проверить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«Аппараты для газовой сварки и резки, Аппараты сварочные для ручной дуговой сварки, сварочный ток до 350 А»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Раздел 4. Пусконаладочные работы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В профиле техника отмечена. Сверьте её с перечнем из документации: хватит ли на весь объём работ. Если нет — договоритесь об аренде заранее.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14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Технические паспорта, сертификаты и другие документы, подтверждающие качество материалов и оборудования.</w:t>
            </w:r>
          </w:p>
        </w:tc>
        <w:tc>
          <w:tcPr>
            <w:tcW w:type="dxa" w:w="1542"/>
            <w:shd w:fill="FFFA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54D0E"/>
              </w:rPr>
              <w:t xml:space="preserve">Проверить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«Используемые материалы должны соответствовать ГОСТам и техническим условиям, обеспечены техническими паспортами, сертификатами и другими документами, подтверждающими их качество.…»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3. Функциональные, технические, качественные, эксплуатационные характеристики объекта закупки.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Прочитайте пункт «3. Функциональные, технические, качественные…» документации и убедитесь, что компания это выполнит: Технические паспорта, сертификаты и другие документы, подтверждающие качество материалов и оборудования..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15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Соответствие ГОСТ, СНиП, СП, СанПиН и другим нормативным документам.</w:t>
            </w:r>
          </w:p>
        </w:tc>
        <w:tc>
          <w:tcPr>
            <w:tcW w:type="dxa" w:w="1542"/>
            <w:shd w:fill="FFFA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54D0E"/>
              </w:rPr>
              <w:t xml:space="preserve">Проверить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«Все выполняемые работы, материалы и оборудование должны соответствовать требованиям нормативной документации (государственным стандартам - ГОСТ, строительным нормам и правилам…»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6. Условия выполнения работ.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Прочитайте пункт «6. Условия выполнения работ.» документации и убедитесь, что компания это выполнит: Соответствие ГОСТ, СНиП, СП, СанПиН и другим нормативным документам..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16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Единая форма одежды (спецодежда) и отличительные знаки.</w:t>
            </w:r>
          </w:p>
        </w:tc>
        <w:tc>
          <w:tcPr>
            <w:tcW w:type="dxa" w:w="1542"/>
            <w:shd w:fill="FFFA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54D0E"/>
              </w:rPr>
              <w:t xml:space="preserve">Проверить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«Все сотрудники Подрядчика должны иметь единую форму одежды (спецодежду) и отличительные знаки принадлежности к подрядной организации.»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6. Условия выполнения работ.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Прочитайте пункт «6. Условия выполнения работ.» документации и убедитесь, что компания это выполнит: Единая форма одежды (спецодежда) и отличительные знаки..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17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Еженедельный фотоотчет о ходе работ.</w:t>
            </w:r>
          </w:p>
        </w:tc>
        <w:tc>
          <w:tcPr>
            <w:tcW w:type="dxa" w:w="1542"/>
            <w:shd w:fill="FFFA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54D0E"/>
              </w:rPr>
              <w:t xml:space="preserve">Проверить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«Подрядчик обязан еженедельно предоставлять Заказчику фотоотчёт о ходе выполнения работ. Данный фотоотчет Подрядчик предоставляет по адресу электронной почты:schurevi4@yandex.ru»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7. Контроль качества работ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Прочитайте пункт «7. Контроль качества работ» документации и убедитесь, что компания это выполнит: Еженедельный фотоотчет о ходе работ..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18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Исполнительная документация в 2 экземплярах: документы по контролю качества материалов, КС-2, КС-3, фотофиксация.</w:t>
            </w:r>
          </w:p>
        </w:tc>
        <w:tc>
          <w:tcPr>
            <w:tcW w:type="dxa" w:w="1542"/>
            <w:shd w:fill="FFFA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54D0E"/>
              </w:rPr>
              <w:t xml:space="preserve">Проверить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«Подрядчик, по завершении строительно-монтажных работ (этапов работ), в сроки, отведенные для выполнения этих работ (этапов работ), сдает Заказчику следующую исполнительную…»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9. Гарантийные обязательства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Прочитайте пункт «9. Гарантийные обязательства» документации и убедитесь, что компания это выполнит: Исполнительная документация в 2 экземплярах: документы по контролю качества материалов, КС-2, КС-3, фотофиксация..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19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Решение об одобрении крупной сделки (при необходимости)</w:t>
            </w:r>
          </w:p>
        </w:tc>
        <w:tc>
          <w:tcPr>
            <w:tcW w:type="dxa" w:w="1542"/>
            <w:shd w:fill="FFFA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54D0E"/>
              </w:rPr>
              <w:t xml:space="preserve">Проверить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«решение о согласии на совершение или о последующем одобрении крупной сделки, если требование о наличии такого решения установлено законодательством Российской Федерации…»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1. Для участия в конкурентном способе заявка на участие в закупке... 1) информация и документы об участнике закупки*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Прочитайте пункт «1. Для участия в конкурентном способе заявка на участие в…» документации и убедитесь, что компания это выполнит: решение об одобрении крупной сделки (при необходимости).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20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Наличие квалифицированного персонала: Средний разряд работы 3,8; Средний разряд работы 4,4; Средний разряд машинистов 4; Средний разряд машинистов 6</w:t>
            </w:r>
          </w:p>
        </w:tc>
        <w:tc>
          <w:tcPr>
            <w:tcW w:type="dxa" w:w="1542"/>
            <w:shd w:fill="ECFD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4663D"/>
              </w:rPr>
              <w:t xml:space="preserve">Выполнено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«Средний разряд работы 3,8»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Смета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Ничего: по профилю нужные специалисты есть. Если документация просит, приложите их дипломы и удостоверения.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21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Квалифицированный персонал: Специалист по организации строительства, представитель по стройконтролю (с ИНН в НРС), ответственный производитель работ…</w:t>
            </w:r>
          </w:p>
        </w:tc>
        <w:tc>
          <w:tcPr>
            <w:tcW w:type="dxa" w:w="1542"/>
            <w:shd w:fill="ECFD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4663D"/>
              </w:rPr>
              <w:t xml:space="preserve">Выполнено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«До начала работ Подрядчик предоставляет Заказчику: - приказы о назначении персонально ответственных должностных лиц: специалиста по организации строительства... представителя…»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6. Условия выполнения работ.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Ничего: по профилю нужные специалисты есть. Если документация просит, приложите их дипломы и удостоверения.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22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Опыт: исполненный договор на ремонт зданий или строительство, сумма от 605 335,06 ₽ (20 % НМЦК)</w:t>
            </w:r>
          </w:p>
        </w:tc>
        <w:tc>
          <w:tcPr>
            <w:tcW w:type="dxa" w:w="1542"/>
            <w:shd w:fill="ECFD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4663D"/>
              </w:rPr>
              <w:t xml:space="preserve">Выполнено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«Наличие у участника закупки одного из следующих видов опыта выполнения работ: 1) опыт исполнения договора, предусматривающего выполнение работ по текущему ремонту зданий…»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5. Дополнительные требования к участникам закупки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Ничего: по профилю опыт есть. Приложите к заявке договор и акт на сумму от 605 335,06 ₽.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23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Опыт: исполненный договор на работы, сопоставимые с предметом закупки, за последние 5 лет</w:t>
            </w:r>
          </w:p>
        </w:tc>
        <w:tc>
          <w:tcPr>
            <w:tcW w:type="dxa" w:w="1542"/>
            <w:shd w:fill="ECFD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4663D"/>
              </w:rPr>
              <w:t xml:space="preserve">Выполнено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«Информация и документы, подтверждающие соответствие участников закупки дополнительным требованиям: - исполненный договор; - акт выполненных работ, подтверждающий цену выполненных…»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5. Дополнительные требования к участникам закупки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Ничего: по профилю опыт есть. Приложите к заявке исполненный договор и акт выполненных работ.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24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Опыт: исполненный договор на работы, сопоставимые с предметом закупки</w:t>
            </w:r>
          </w:p>
        </w:tc>
        <w:tc>
          <w:tcPr>
            <w:tcW w:type="dxa" w:w="1542"/>
            <w:shd w:fill="ECFD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4663D"/>
              </w:rPr>
              <w:t xml:space="preserve">Выполнено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«Договором, предусмотренным подпунктами 1 и 2 настоящего пункта, считается контракт, заключенный и исполненный в соответствии с Федеральным законом № 44-ФЗ, либо договор…»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5. Дополнительные требования к участникам закупки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Ничего: по профилю опыт есть. Приложите к заявке исполненный договор и акт выполненных работ.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25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Опыт: исполненный договор на ремонт зданий и сооружений</w:t>
            </w:r>
          </w:p>
        </w:tc>
        <w:tc>
          <w:tcPr>
            <w:tcW w:type="dxa" w:w="1542"/>
            <w:shd w:fill="ECFD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4663D"/>
              </w:rPr>
              <w:t xml:space="preserve">Выполнено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«Опыт выполнения работ по капитальному ремонту систем отопления»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Не указан раздел, но это типовое требование к участникам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Ничего: по профилю опыт есть. Приложите к заявке исполненный договор и акт выполненных работ.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26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Наличие квалифицированного персонала: Специалисты с соответствующей квалификацией и допусками</w:t>
            </w:r>
          </w:p>
        </w:tc>
        <w:tc>
          <w:tcPr>
            <w:tcW w:type="dxa" w:w="1542"/>
            <w:shd w:fill="ECFD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4663D"/>
              </w:rPr>
              <w:t xml:space="preserve">Выполнено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«Наличие квалифицированного персонала»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Не указан раздел, но это типовое требование к участникам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Ничего: по профилю нужные специалисты есть. Если документация просит, приложите их дипломы и удостоверения.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27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Типовые требования (РНП, ч. 1 ст. 31 44-ФЗ)</w:t>
            </w:r>
          </w:p>
        </w:tc>
        <w:tc>
          <w:tcPr>
            <w:tcW w:type="dxa" w:w="1542"/>
            <w:shd w:fill="ECFD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4663D"/>
              </w:rPr>
              <w:t xml:space="preserve">Выполнено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Требования к участникам; 1. Для участия в конкурентном способе заявка на участие в закупке... 1) информация и документы об участнике закупки*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Подтверждается декларацией в заявке.</w:t>
            </w:r>
          </w:p>
        </w:tc>
      </w:tr>
    </w:tbl>
    <w:p>
      <w:pPr>
        <w:pStyle w:val="Heading1"/>
        <w:keepNext/>
        <w:spacing w:after="120" w:before="360"/>
      </w:pPr>
      <w:r>
        <w:t xml:space="preserve">3. Деньги</w:t>
      </w:r>
    </w:p>
    <w:tbl>
      <w:tblPr>
        <w:tblW w:type="dxa" w:w="9638"/>
        <w:tblBorders>
          <w:top w:val="single" w:color="D6D3CD" w:sz="4"/>
          <w:left w:val="single" w:color="D6D3CD" w:sz="4"/>
          <w:bottom w:val="single" w:color="D6D3CD" w:sz="4"/>
          <w:right w:val="single" w:color="D6D3CD" w:sz="4"/>
          <w:insideH w:val="single" w:color="D6D3CD" w:sz="4"/>
          <w:insideV w:val="single" w:color="D6D3CD" w:sz="4"/>
        </w:tblBorders>
        <w:tblLayout w:type="fixed"/>
      </w:tblPr>
      <w:tblGrid>
        <w:gridCol w:w="2891"/>
        <w:gridCol w:w="2410"/>
        <w:gridCol w:w="4337"/>
      </w:tblGrid>
      <w:tr>
        <w:trPr>
          <w:tblHeader/>
        </w:trPr>
        <w:tc>
          <w:tcPr>
            <w:tcW w:type="dxa" w:w="2891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2410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Сумма</w:t>
            </w:r>
          </w:p>
        </w:tc>
        <w:tc>
          <w:tcPr>
            <w:tcW w:type="dxa" w:w="4337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Пояснение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НМЦК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3 026 675,32 ₽</w:t>
            </w:r>
          </w:p>
        </w:tc>
        <w:tc>
          <w:tcPr>
            <w:tcW w:type="dxa" w:w="4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Начальная (максимальная) цена контракта.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Обеспечение заявки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30 266,75 ₽ (1 % НМЦК)</w:t>
            </w:r>
          </w:p>
        </w:tc>
        <w:tc>
          <w:tcPr>
            <w:tcW w:type="dxa" w:w="4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Блокируется на специальном счёте до подведения итогов закупки.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Обеспечение исполнения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151 333,77 ₽ (5 % НМЦК)</w:t>
            </w:r>
          </w:p>
        </w:tc>
        <w:tc>
          <w:tcPr>
            <w:tcW w:type="dxa" w:w="4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Считается от цены, по которой заключат контракт. Деньги блокируются на счёте заказчика до конца контракта. Если цену снизят на 25 % и более, обеспечение в 1,5 раза больше: 7,5 % НМЦК = 227 000,65 ₽.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Обеспечение гарантийных обязательств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15 133,38 ₽ (0,5 % НМЦК)</w:t>
            </w:r>
          </w:p>
        </w:tc>
        <w:tc>
          <w:tcPr>
            <w:tcW w:type="dxa" w:w="4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Обеспечивает гарантию на выполненные работы — действует весь срок гарантии.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Срок оплаты после приёмки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7 рабочих дн.</w:t>
            </w:r>
          </w:p>
        </w:tc>
        <w:tc>
          <w:tcPr>
            <w:tcW w:type="dxa" w:w="4337"/>
            <w:shd w:fill="ECFD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4663D"/>
              </w:rPr>
              <w:t xml:space="preserve">Деньги придут быстро: ждать оплату долго не придётся.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Казначейское сопровождение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Есть</w:t>
            </w:r>
          </w:p>
        </w:tc>
        <w:tc>
          <w:tcPr>
            <w:tcW w:type="dxa" w:w="4337"/>
            <w:shd w:fill="FFFA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854D0E"/>
              </w:rPr>
              <w:t xml:space="preserve">Оплата идёт через казначейский счёт: изучите порядок расчётов до подачи, деньги могут приходить дольше.</w:t>
            </w:r>
          </w:p>
        </w:tc>
      </w:tr>
    </w:tbl>
    <w:p>
      <w:pPr>
        <w:shd w:fill="FFFAE8" w:color="auto" w:val="clear"/>
        <w:spacing w:after="120"/>
      </w:pPr>
      <w:r>
        <w:rPr>
          <w:b/>
          <w:bCs/>
          <w:color w:val="854D0E"/>
        </w:rPr>
        <w:t xml:space="preserve">Заморозится на время контракта: до 242 134,03 ₽ (исполнение + гарантия); плюс заявка 30 266,75 ₽ до итогов. Если цену не снижать на 25 % и более — 166 467,15 ₽.</w:t>
      </w:r>
    </w:p>
    <w:p>
      <w:pPr>
        <w:pStyle w:val="Heading1"/>
        <w:keepNext/>
        <w:spacing w:after="120" w:before="360"/>
      </w:pPr>
      <w:r>
        <w:t xml:space="preserve">4. Сроки и гарантия</w:t>
      </w:r>
    </w:p>
    <w:tbl>
      <w:tblPr>
        <w:tblW w:type="dxa" w:w="9638"/>
        <w:tblBorders>
          <w:top w:val="single" w:color="D6D3CD" w:sz="4"/>
          <w:left w:val="single" w:color="D6D3CD" w:sz="4"/>
          <w:bottom w:val="single" w:color="D6D3CD" w:sz="4"/>
          <w:right w:val="single" w:color="D6D3CD" w:sz="4"/>
          <w:insideH w:val="single" w:color="D6D3CD" w:sz="4"/>
          <w:insideV w:val="single" w:color="D6D3CD" w:sz="4"/>
        </w:tblBorders>
        <w:tblLayout w:type="fixed"/>
      </w:tblPr>
      <w:tblGrid>
        <w:gridCol w:w="2506"/>
        <w:gridCol w:w="2506"/>
        <w:gridCol w:w="4626"/>
      </w:tblGrid>
      <w:tr>
        <w:trPr>
          <w:tblHeader/>
        </w:trPr>
        <w:tc>
          <w:tcPr>
            <w:tcW w:type="dxa" w:w="2506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Что</w:t>
            </w:r>
          </w:p>
        </w:tc>
        <w:tc>
          <w:tcPr>
            <w:tcW w:type="dxa" w:w="2506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Срок</w:t>
            </w:r>
          </w:p>
        </w:tc>
        <w:tc>
          <w:tcPr>
            <w:tcW w:type="dxa" w:w="4626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Пояснение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Подача заявок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16.10.2026, 03:00 МСК</w:t>
            </w:r>
          </w:p>
        </w:tc>
        <w:tc>
          <w:tcPr>
            <w:tcW w:type="dxa" w:w="4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Осталось 6 дней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Исполнение контракта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до 31 декабря 2026 г.</w:t>
            </w:r>
          </w:p>
        </w:tc>
        <w:tc>
          <w:tcPr>
            <w:tcW w:type="dxa" w:w="4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Контракт действует до этой даты: к ней должны быть закрыты и расчёты.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Гарантия на работы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60 мес.</w:t>
            </w:r>
          </w:p>
        </w:tc>
        <w:tc>
          <w:tcPr>
            <w:tcW w:type="dxa" w:w="4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Дефекты в этот срок устраняете за свой счёт. Заложите это в цену.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Срок выполнения работ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4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Работы должны быть выполнены в течение 20 календарных дней с момента заключения муниципального контракта.</w:t>
            </w:r>
          </w:p>
        </w:tc>
      </w:tr>
    </w:tbl>
    <w:p>
      <w:pPr>
        <w:pStyle w:val="Heading1"/>
        <w:keepNext/>
        <w:spacing w:after="120" w:before="360"/>
      </w:pPr>
      <w:r>
        <w:t xml:space="preserve">5. Смета и цена участия</w:t>
      </w:r>
    </w:p>
    <w:p>
      <w:pPr>
        <w:shd w:fill="FFFAE8" w:color="auto" w:val="clear"/>
        <w:spacing w:after="120"/>
      </w:pPr>
      <w:r>
        <w:rPr>
          <w:color w:val="854D0E"/>
        </w:rPr>
        <w:t xml:space="preserve">Смета не рассчитана. Нажмите «Рассчитать смету» в карточке закупки — посчитаем стоимость по ценам Минстроя, минимальную цену и допустимое снижение.</w:t>
      </w:r>
    </w:p>
    <w:p>
      <w:pPr>
        <w:spacing w:after="120"/>
      </w:pPr>
      <w:r>
        <w:rPr>
          <w:b/>
          <w:bCs/>
        </w:rPr>
        <w:t xml:space="preserve">Из документации заказчика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НМЦК сформирована с учетом инфляции до III квартала 2026 года — Начальная (максимальная) цена контракта рассчитана с учетом прогнозной инфляции до III квартала 2026 года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НДС 22% учтен в НМЦК — В сметном расчете учтен налог на добавленную стоимость в размере 22%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смету заложены непредвиденные затраты в размере 2% от общей стоимости работ, что составляет 48 644,73 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НДС 22% — В НМЦК включен НДС в размере 22%, что составляет 545 793,91 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Метод обоснования НМЦК - проектно-сметный — Начальная (максимальная) цена контракта обоснована проектно-сметным методом, что является стандартной практикой для строительных работ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Сметный расчет выполнен в 'Гранд-Смета' на I квартал 2026 года — Сметный расчет выполнен в программном комплексе 'Гранд-Смета' версии 2025.3 в ценах по состоянию на I квартал 2026 года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Локальный сметный расчет доступен отдельно — Локальный сметный расчет № 280, на основании которого сформирована НМЦК, приложен отдельным файлом на официальном сайте ЕИС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Программный продукт для сметы — Для составления сметы использовался программный продукт «ГРАНД-Смета, версия 2025.3»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Редакция сметных нормативов — Сметные нормативы утверждены приказами Минстроя России, перечисленными в документе, с последними изменениями от 17.02.2026 №91/пр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Индексы изменения сметной стоимости строительства определены письмом Минстроя России от 25.02.2026 № 9859-ИФ/09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Оплата труда рабочего — Среднемесячный размер оплаты труда рабочего первого разряда в строительной отрасли Иркутской области за 2024 год установлен приказом министерства строительства Иркутской области от 05.03.2025 №…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Метод составления сметы — Смета составлена ресурсно-индексным методом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Основание для сметы — Основанием для составления сметы является дефектная ведомость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Уровень цен — Смета составлена в текущем уровне цен на I квартал 2026 года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Общая сметная стоимость составляет 3 026 675,32 рублей, включая строительные работы, оборудование и прочие затраты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Составитель сметы — Смету составил Должок О.В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Проверяющий сметы — Смету проверил Кучкин И.И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Виды работ — Работы включают демонтаж старой системы отопления, прокладку новых трубопроводов различных диаметров, установку радиаторов, клапанов, воздухоотводчиков, изготовление гильз, а также пусконаладочные…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Требования к перевозке грузов — В смету включена перевозка грузов I класса автомобилями-самосвалами грузоподъемностью до 30 т по дорогам с усовершенствованным покрытием на расстояние 15 км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Требования к погрузке/разгрузке — В смету включена погрузка строительного мусора (полипропиленовых труб) вручную в автотранспортное средство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Требования к перевозке — В смету включена перевозка грузов I класса автомобилями-самосвалами грузоподъемностью до 30 т на расстояние 15 км по дорогам с усовершенствованным покрытием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Сметная стоимость в текущем уровне цен составляет 3026.68 тыс. рублей, включая строительно-монтажные работы (2480.88 тыс. рублей) и НДС (545.79 тыс. рублей)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Методика определения стоимости — Сметная документация составлена в соответствии с Методикой определения стоимости строительства, реконструкции, капитального ремонта, сноса объектов капитального строительства, утвержденной Приказом…</w:t>
      </w:r>
    </w:p>
    <w:p>
      <w:pPr>
        <w:pStyle w:val="Heading1"/>
        <w:keepNext/>
        <w:spacing w:after="120" w:before="360"/>
      </w:pPr>
      <w:r>
        <w:t xml:space="preserve">6. Риски договора</w:t>
      </w:r>
    </w:p>
    <w:tbl>
      <w:tblPr>
        <w:tblW w:type="dxa" w:w="9638"/>
        <w:tblBorders>
          <w:top w:val="single" w:color="D6D3CD" w:sz="4"/>
          <w:left w:val="single" w:color="D6D3CD" w:sz="4"/>
          <w:bottom w:val="single" w:color="D6D3CD" w:sz="4"/>
          <w:right w:val="single" w:color="D6D3CD" w:sz="4"/>
          <w:insideH w:val="single" w:color="D6D3CD" w:sz="4"/>
          <w:insideV w:val="single" w:color="D6D3CD" w:sz="4"/>
        </w:tblBorders>
        <w:tblLayout w:type="fixed"/>
      </w:tblPr>
      <w:tblGrid>
        <w:gridCol w:w="482"/>
        <w:gridCol w:w="2410"/>
        <w:gridCol w:w="1542"/>
        <w:gridCol w:w="2699"/>
        <w:gridCol w:w="2506"/>
      </w:tblGrid>
      <w:tr>
        <w:trPr>
          <w:tblHeader/>
        </w:trPr>
        <w:tc>
          <w:tcPr>
            <w:tcW w:type="dxa" w:w="482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2410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1542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Важность</w:t>
            </w:r>
          </w:p>
        </w:tc>
        <w:tc>
          <w:tcPr>
            <w:tcW w:type="dxa" w:w="2699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2506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Что делать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Ответственность за антимонопольные нарушения</w:t>
            </w:r>
          </w:p>
          <w:p>
            <w:pPr>
              <w:spacing w:before="40"/>
            </w:pPr>
            <w:r>
              <w:t xml:space="preserve">За нарушение антимонопольного законодательства предусмотрена административная и уголовная ответственность, что может привести к крупным штрафам или лишению свободы.</w:t>
            </w:r>
          </w:p>
        </w:tc>
        <w:tc>
          <w:tcPr>
            <w:tcW w:type="dxa" w:w="1542"/>
            <w:shd w:fill="FE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42318"/>
              </w:rPr>
              <w:t xml:space="preserve">Высокая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«За нарушение требований антимонопольного законодательства Российской Федерации о запрете участия в ограничивающих конкуренцию соглашениях, осуществления ограничивающих конкуренцию…»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Общая информация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Прочитайте пункт перед подачей и учтите его в цене и графике работ.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Риск случайной гибели или повреждения результата работ</w:t>
            </w:r>
          </w:p>
          <w:p>
            <w:pPr>
              <w:spacing w:before="40"/>
            </w:pPr>
            <w:r>
              <w:t xml:space="preserve">Подрядчик несет риск случайной гибели или повреждения результата выполненных работ, материалов и оборудования до момента передачи работ Заказчику.</w:t>
            </w:r>
          </w:p>
        </w:tc>
        <w:tc>
          <w:tcPr>
            <w:tcW w:type="dxa" w:w="1542"/>
            <w:shd w:fill="FE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42318"/>
              </w:rPr>
              <w:t xml:space="preserve">Высокая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«До передачи Работ Заказчику в установленном порядке, нести риск случайной гибели или случайного повреждения результата выполненных работ, риск случайного повреждения материалов…»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Статья 5. Права и обязанности Сторон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Прочитайте пункт перед подачей и учтите его в цене и графике работ.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Ответственность за повреждение коммуникаций и имущества</w:t>
            </w:r>
          </w:p>
          <w:p>
            <w:pPr>
              <w:spacing w:before="40"/>
            </w:pPr>
            <w:r>
              <w:t xml:space="preserve">В случае повреждения сетей электроснабжения, связи, отопления, водопровода, канализации и другого имущества третьих лиц или Заказчика, подрядчик обязан восстановить их за свой счет.</w:t>
            </w:r>
          </w:p>
        </w:tc>
        <w:tc>
          <w:tcPr>
            <w:tcW w:type="dxa" w:w="1542"/>
            <w:shd w:fill="FE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42318"/>
              </w:rPr>
              <w:t xml:space="preserve">Высокая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«В случае нарушения во время проведения Работ сетей электроснабжения, связи, отопления, охраны, водопровода, канализации, иные коммуникации и сети, имущество третьих лиц…»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Статья 5. Права и обязанности Сторон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Прочитайте пункт перед подачей и учтите его в цене и графике работ.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Ответственность за качество материалов и работ</w:t>
            </w:r>
          </w:p>
          <w:p>
            <w:pPr>
              <w:spacing w:before="40"/>
            </w:pPr>
            <w:r>
              <w:t xml:space="preserve">Подрядчик несет полную ответственность за соответствие используемых материалов ГОСТам и техническим условиям, а также за качество выполненных работ. При несоответствии Заказчик может отказаться от приемки и наложить штрафные санкции.</w:t>
            </w:r>
          </w:p>
        </w:tc>
        <w:tc>
          <w:tcPr>
            <w:tcW w:type="dxa" w:w="1542"/>
            <w:shd w:fill="FE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42318"/>
              </w:rPr>
              <w:t xml:space="preserve">Высокая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«Подрядчик несёт ответственность за соответствие используемых материалов государственным стандартам и техническим условиям, за достоверность сведений о стране происхождения, за…»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3. Функциональные, технические, качественные, эксплуатационные характеристики объекта закупки.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Прочитайте пункт перед подачей и учтите его в цене и графике работ.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Гарантийные обязательства</w:t>
            </w:r>
          </w:p>
          <w:p>
            <w:pPr>
              <w:spacing w:before="40"/>
            </w:pPr>
            <w:r>
              <w:t xml:space="preserve">Подрядчик несет гарантийные обязательства за качество работ, оборудования и материалов. При обнаружении дефектов в гарантийный срок, их устранение производится за счет подрядчика. Гарантия продлевается на срок устранения дефектов.</w:t>
            </w:r>
          </w:p>
        </w:tc>
        <w:tc>
          <w:tcPr>
            <w:tcW w:type="dxa" w:w="1542"/>
            <w:shd w:fill="FE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42318"/>
              </w:rPr>
              <w:t xml:space="preserve">Высокая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«Если в гарантийный срок обнаружатся дефекты выполненных работ, установленного оборудования и применённых материалов, допущенные по вине Подрядчика и препятствующие нормальной…»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9. Гарантийные обязательства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Заложите в цену расходы на устранение дефектов в течение гарантийного срока.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Материальная ответственность за ущерб</w:t>
            </w:r>
          </w:p>
          <w:p>
            <w:pPr>
              <w:spacing w:before="40"/>
            </w:pPr>
            <w:r>
              <w:t xml:space="preserve">Подрядчик несет полную материальную ответственность за любой ущерб, причиненный Заказчику или третьим лицам в процессе выполнения работ, а также за вред здоровью людей.</w:t>
            </w:r>
          </w:p>
        </w:tc>
        <w:tc>
          <w:tcPr>
            <w:tcW w:type="dxa" w:w="1542"/>
            <w:shd w:fill="FE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42318"/>
              </w:rPr>
              <w:t xml:space="preserve">Высокая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«Подрядчик несет материальную ответственность за ущерб, причиненный Заказчику либо третьим лицам в процессе выполнения работ в полном объеме. В случаях нанесения ущерба и…»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6. Условия выполнения работ.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Прочитайте пункт перед подачей и учтите его в цене и графике работ.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Односторонний отказ заказчика</w:t>
            </w:r>
          </w:p>
          <w:p>
            <w:pPr>
              <w:spacing w:before="40"/>
            </w:pPr>
            <w:r>
              <w:t xml:space="preserve">Заказчик может в одностороннем порядке расторгнуть контракт, если посчитает, что подрядчик не выполняет условия. Это может привести к потере контракта и возможным штрафам.</w:t>
            </w:r>
          </w:p>
        </w:tc>
        <w:tc>
          <w:tcPr>
            <w:tcW w:type="dxa" w:w="1542"/>
            <w:shd w:fill="FFFA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54D0E"/>
              </w:rPr>
              <w:t xml:space="preserve">Средняя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«Предусмотрена возможность одностороннего отказа от исполнения контракта в соответствии со ст. 95 Закона № 44-ФЗ»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Место поставки товара, выполнения работы или оказания услуги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Не допускайте просрочек и брака: заказчик вправе расторгнуть контракт без суда. Прочитайте пункт перед подачей.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Отсутствие авансирования</w:t>
            </w:r>
          </w:p>
          <w:p>
            <w:pPr>
              <w:spacing w:before="40"/>
            </w:pPr>
            <w:r>
              <w:t xml:space="preserve">Оплата работ будет производиться только после их фактического выполнения, что требует от подрядчика наличия собственных оборотных средств для закупки материалов и оплаты труда.</w:t>
            </w:r>
          </w:p>
        </w:tc>
        <w:tc>
          <w:tcPr>
            <w:tcW w:type="dxa" w:w="1542"/>
            <w:shd w:fill="FFFA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54D0E"/>
              </w:rPr>
              <w:t xml:space="preserve">Средняя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«Авансирование по Контракту не предусмотрено.»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Статья 2. Цена Контракта, порядок и сроки оплаты Работ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Посчитайте оборотные деньги: оплата приходит после приёмки, аванса может не быть. Закладывайте в цену затраты на этот период.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Штрафы за неисполнение обязательств</w:t>
            </w:r>
          </w:p>
          <w:p>
            <w:pPr>
              <w:spacing w:before="40"/>
            </w:pPr>
            <w:r>
              <w:t xml:space="preserve">За каждый факт неисполнения или ненадлежащего исполнения обязательств, не имеющих стоимостного выражения, предусмотрен штраф от 1000 до 5000 рублей, в зависимости от цены контракта.</w:t>
            </w:r>
          </w:p>
        </w:tc>
        <w:tc>
          <w:tcPr>
            <w:tcW w:type="dxa" w:w="1542"/>
            <w:shd w:fill="FFFA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54D0E"/>
              </w:rPr>
              <w:t xml:space="preserve">Средняя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«За каждый факт неисполнения или ненадлежащего исполнения Подрядчиком обязательства, предусмотренного Контрактом, которое не имеет стоимостного выражения (при наличии в Контракте…»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Статья 7. Ответственность Сторон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Штраф 000 ₽ за каждое нарушение невелик, но нарушений бывает много: следите за мелкими обязательствами.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Пеня за просрочку исполнения обязательств</w:t>
            </w:r>
          </w:p>
          <w:p>
            <w:pPr>
              <w:spacing w:before="40"/>
            </w:pPr>
            <w:r>
              <w:t xml:space="preserve">За каждый день просрочки исполнения обязательств начисляется пеня в размере 1/300 ключевой ставки ЦБ РФ от цены контракта, уменьшенной на сумму фактически исполненных обязательств.</w:t>
            </w:r>
          </w:p>
        </w:tc>
        <w:tc>
          <w:tcPr>
            <w:tcW w:type="dxa" w:w="1542"/>
            <w:shd w:fill="FFFA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54D0E"/>
              </w:rPr>
              <w:t xml:space="preserve">Средняя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«Пеня начисляется за каждый день просрочки исполнения обязательства, предусмотренного Контрактом, начиная со дня, следующего после дня истечения установленного Контрактом срока…»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Статья 7. Ответственность Сторон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Учтите пени 1/300 ключевой ставки в день в резерве цены и не срывайте сроки: пени растут каждый день просрочки.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Удержание неустоек из суммы оплаты</w:t>
            </w:r>
          </w:p>
          <w:p>
            <w:pPr>
              <w:spacing w:before="40"/>
            </w:pPr>
            <w:r>
              <w:t xml:space="preserve">Заказчик вправе удержать суммы неустоек (штрафов, пеней) из суммы, подлежащей оплате подрядчику.</w:t>
            </w:r>
          </w:p>
        </w:tc>
        <w:tc>
          <w:tcPr>
            <w:tcW w:type="dxa" w:w="1542"/>
            <w:shd w:fill="FFFA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54D0E"/>
              </w:rPr>
              <w:t xml:space="preserve">Средняя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«Заказчик вправе удержать сумму неисполненных Подрядчиком требований об уплате неустоек (штрафов, пеней), предъявленных Заказчиком, из суммы, подлежащей оплате Подрядчику.»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Статья 2. Цена Контракта, порядок и сроки оплаты Работ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Посчитайте оборотные деньги: оплата приходит после приёмки, аванса может не быть. Закладывайте в цену затраты на этот период.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12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Ответственность за отходы производства</w:t>
            </w:r>
          </w:p>
          <w:p>
            <w:pPr>
              <w:spacing w:before="40"/>
            </w:pPr>
            <w:r>
              <w:t xml:space="preserve">Подрядчик является собственником и образователем отходов, образующихся при работе на объекте, и несет все риски и платежи, связанные с негативным воздействием на окружающую среду.</w:t>
            </w:r>
          </w:p>
        </w:tc>
        <w:tc>
          <w:tcPr>
            <w:tcW w:type="dxa" w:w="1542"/>
            <w:shd w:fill="FFFA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54D0E"/>
              </w:rPr>
              <w:t xml:space="preserve">Средняя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«В соответствие с требованиями Федерального закона от 24.06.1998 № 89-ФЗ «Об отходах производства и потребления» выполнить весь комплекс работ по обращению с отходами производства…»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Статья 5. Права и обязанности Сторон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Прочитайте пункт перед подачей и учтите его в цене и графике работ.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13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Казначейское сопровождение</w:t>
            </w:r>
          </w:p>
          <w:p>
            <w:pPr>
              <w:spacing w:before="40"/>
            </w:pPr>
            <w:r>
              <w:t xml:space="preserve">Контракт подлежит казначейскому сопровождению, что означает более строгий контроль за расходованием средств и может замедлить процесс получения оплаты за выполненные работы.</w:t>
            </w:r>
          </w:p>
        </w:tc>
        <w:tc>
          <w:tcPr>
            <w:tcW w:type="dxa" w:w="1542"/>
            <w:shd w:fill="FFFA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54D0E"/>
              </w:rPr>
              <w:t xml:space="preserve">Средняя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«Казначейское сопровождение»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Раздел 4. Пусконаладочные работы; Не указан раздел, но это типовое условие контракта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Изучите порядок казначейского сопровождения до подачи: оплата идёт через специальный счёт, и деньги могут приходить дольше.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14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Отсутствие предварительной оплаты</w:t>
            </w:r>
          </w:p>
          <w:p>
            <w:pPr>
              <w:spacing w:before="40"/>
            </w:pPr>
            <w:r>
              <w:t xml:space="preserve">Предварительная оплата по контракту не предусмотрена, что означает необходимость финансирования всех работ и материалов за счет собственных средств подрядчика до момента приемки.</w:t>
            </w:r>
          </w:p>
        </w:tc>
        <w:tc>
          <w:tcPr>
            <w:tcW w:type="dxa" w:w="1542"/>
            <w:shd w:fill="FFFA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54D0E"/>
              </w:rPr>
              <w:t xml:space="preserve">Средняя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«Предварительная оплата по Контракту не предусмотрена.»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5. Оплата работ по контракту.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Посчитайте оборотные деньги: оплата приходит после приёмки, аванса может не быть. Закладывайте в цену затраты на этот период.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15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Штрафы за нарушение сроков</w:t>
            </w:r>
          </w:p>
          <w:p>
            <w:pPr>
              <w:spacing w:before="40"/>
            </w:pPr>
            <w:r>
              <w:t xml:space="preserve">За нарушение сроков выполнения работ предусмотрены имущественные санкции, размер которых будет установлен в контракте. Это требует строгого соблюдения графика работ.</w:t>
            </w:r>
          </w:p>
        </w:tc>
        <w:tc>
          <w:tcPr>
            <w:tcW w:type="dxa" w:w="1542"/>
            <w:shd w:fill="FFFA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54D0E"/>
              </w:rPr>
              <w:t xml:space="preserve">Средняя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«Сроки выполнения работ являются исходными для определения имущественных санкций в случаях нарушения этих сроков в порядке и размерах, установленных Контрактом.»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— 10. Место выполнения работ, сроки выполнения работ; Не указан раздел, но это типовое условие контракта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Учтите штрафы в резерве цены и прочитайте пункт перед подачей.</w:t>
            </w:r>
          </w:p>
        </w:tc>
      </w:tr>
    </w:tbl>
    <w:p>
      <w:pPr>
        <w:pStyle w:val="Heading1"/>
        <w:keepNext/>
        <w:spacing w:after="120" w:before="360"/>
      </w:pPr>
      <w:r>
        <w:t xml:space="preserve">7. Документы закупки</w:t>
      </w:r>
    </w:p>
    <w:p>
      <w:pPr>
        <w:shd w:fill="FFFAE8" w:color="auto" w:val="clear"/>
        <w:spacing w:after="120"/>
      </w:pPr>
      <w:r>
        <w:rPr>
          <w:b/>
          <w:bCs/>
          <w:color w:val="854D0E"/>
        </w:rPr>
        <w:t xml:space="preserve">Прочитано 11 из 12</w:t>
      </w:r>
    </w:p>
    <w:tbl>
      <w:tblPr>
        <w:tblW w:type="dxa" w:w="9638"/>
        <w:tblBorders>
          <w:top w:val="single" w:color="D6D3CD" w:sz="4"/>
          <w:left w:val="single" w:color="D6D3CD" w:sz="4"/>
          <w:bottom w:val="single" w:color="D6D3CD" w:sz="4"/>
          <w:right w:val="single" w:color="D6D3CD" w:sz="4"/>
          <w:insideH w:val="single" w:color="D6D3CD" w:sz="4"/>
          <w:insideV w:val="single" w:color="D6D3CD" w:sz="4"/>
        </w:tblBorders>
        <w:tblLayout w:type="fixed"/>
      </w:tblPr>
      <w:tblGrid>
        <w:gridCol w:w="3855"/>
        <w:gridCol w:w="2891"/>
        <w:gridCol w:w="2891"/>
      </w:tblGrid>
      <w:tr>
        <w:trPr>
          <w:tblHeader/>
        </w:trPr>
        <w:tc>
          <w:tcPr>
            <w:tcW w:type="dxa" w:w="3855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Файл</w:t>
            </w:r>
          </w:p>
        </w:tc>
        <w:tc>
          <w:tcPr>
            <w:tcW w:type="dxa" w:w="2891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Почему не прочитан</w:t>
            </w:r>
          </w:p>
        </w:tc>
        <w:tc>
          <w:tcPr>
            <w:tcW w:type="dxa" w:w="2891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Что делать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Локально сметный расчет.pdf</w:t>
            </w:r>
          </w:p>
        </w:tc>
        <w:tc>
          <w:tcPr>
            <w:tcW w:type="dxa" w:w="2891"/>
            <w:shd w:fill="FFFA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854D0E"/>
              </w:rPr>
              <w:t xml:space="preserve">В файле нет текста: это скан, чертёж или картинка.</w:t>
            </w:r>
          </w:p>
        </w:tc>
        <w:tc>
          <w:tcPr>
            <w:tcW w:type="dxa" w:w="289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Откройте файл вручную: в сканах и чертежах бывают объёмы работ и требования.</w:t>
            </w:r>
          </w:p>
        </w:tc>
      </w:tr>
    </w:tbl>
    <w:p>
      <w:pPr>
        <w:spacing w:after="120"/>
      </w:pPr>
      <w:r>
        <w:rPr>
          <w:color w:val="6C6862"/>
          <w:sz w:val="18"/>
          <w:szCs w:val="18"/>
        </w:rPr>
        <w:t xml:space="preserve">Прочитаны: Извещение о закупке (печатная форма); Приложение №4 Проект контракта.docx; Приложение №5- Обоснование НМЦК.docx; Локально сметный расчет .xlsx; Техническое задание .docx; Приложение №6 Требования к содержанию, составу заявки текущий.docx; Ведомость объемов работ.pdf; Ведомость объемов.xlsx; Расчет потребнотей материалов.pdf; Расчет потребнотей материалов.xlsx; Положительное заключение.pdf.</w:t>
      </w:r>
    </w:p>
    <w:p>
      <w:pPr>
        <w:pStyle w:val="Heading1"/>
        <w:keepNext/>
        <w:spacing w:after="120" w:before="360"/>
      </w:pPr>
      <w:r>
        <w:t xml:space="preserve">8. Важно</w:t>
      </w:r>
    </w:p>
    <w:p>
      <w:pPr>
        <w:spacing w:after="120"/>
      </w:pPr>
      <w:r>
        <w:t xml:space="preserve">Выводы сделаны по тексту, который удалось прочитать. Сверка с профилем построена на данных, которые компания указала о себе. Отчёт не заменяет чтение документации и не гарантирует допуск к закупке: цитаты проверяйте по первоисточнику.</w:t>
      </w:r>
    </w:p>
    <w:p>
      <w:pPr>
        <w:spacing w:after="120"/>
      </w:pPr>
      <w:r>
        <w:rPr>
          <w:color w:val="6C6862"/>
          <w:sz w:val="18"/>
          <w:szCs w:val="18"/>
        </w:rPr>
        <w:t xml:space="preserve">Разбор выполнен моделью google/gemini-2.5-flash.</w:t>
      </w:r>
    </w:p>
    <w:p>
      <w:pPr>
        <w:pStyle w:val="Heading1"/>
        <w:keepNext/>
        <w:spacing w:after="120" w:before="360"/>
      </w:pPr>
      <w:r>
        <w:t xml:space="preserve">9. Прочие сведения из документации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Источник финансирования — Закупка финансируется за счет внебюджетных средств организации.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Местоположение объекта — Объект капитального ремонта находится в Иркутской области, 2-я зона.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Заказчик — МУНИЦИПАЛЬНОЕ КАЗЁННОЕ УЧРЕЖДЕНИЕ 'АДМИНИСТРАЦИЯ ТАЙШЕТСКОГО МУНИЦИПАЛЬНОГО ОКРУГА ИРКУТСКОЙ ОБЛАСТИ'.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Место выполнения работ — Работы будут проводиться по адресу: Иркутская область, г. Бирюсинск, ул. Нагорная, д. 60/2.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Заявка состоит из двух частей — Заявка на участие в закупке подается в электронном виде и состоит из второй и третьей частей, которые содержат информацию об участнике и ценовое предложение соответственно.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Информация об участнике автоматически передается площадкой — Основные сведения о вашей компании (наименование, ИНН, адрес, контакты) будут автоматически переданы заказчику оператором электронной площадки из ЕИС, их не нужно прикладывать к…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Перечень материалов — В документе представлен подробный перечень материалов, необходимых для выполнения работ, включая прокладки, газы, масла, электроэнергию, ленты, проволоку, электроды, болты, дюбели, шпильки, круги отрезные, буры…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Перечень оборудования — В документе указано необходимое оборудование: клапаны балансировочные ручные и термометры биметаллические.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C6862"/>
        <w:sz w:val="16"/>
        <w:szCs w:val="16"/>
      </w:rPr>
      <w:t xml:space="preserve">ТендерФит · закупка № 0134600008526000372 · 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Arial" w:cs="Arial" w:eastAsia="Arial" w:hAnsi="Arial"/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A181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Глубокий анализ документации — закупка № 0134600008526000372</dc:title>
  <dc:creator>ТендерФит</dc:creator>
  <cp:lastModifiedBy>Un-named</cp:lastModifiedBy>
  <cp:revision>1</cp:revision>
  <dcterms:created xsi:type="dcterms:W3CDTF">2026-10-09T13:32:35.367Z</dcterms:created>
  <dcterms:modified xsi:type="dcterms:W3CDTF">2026-10-09T13:32:35.367Z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