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Identificação do formando: </w:t>
      </w:r>
      <w:sdt>
        <w:sdtPr>
          <w:id w:val="1681416786"/>
          <w:placeholder>
            <w:docPart w:val="DefaultPlaceholder_-1854013440"/>
          </w:placeholder>
          <w:text/>
        </w:sdtPr>
        <w:sdtContent>
          <w:r>
            <w:rPr/>
            <w:t>João Rodrigo Mota da Costa</w:t>
          </w:r>
        </w:sdtContent>
      </w:sdt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Sessao_5 – Ficha de trabalho</w:t>
      </w:r>
    </w:p>
    <w:p>
      <w:pPr>
        <w:pStyle w:val="Normal"/>
        <w:rPr/>
      </w:pPr>
      <w:r>
        <w:rPr/>
        <w:t>Q1 - Definir as camadas chave no eTOM</w:t>
      </w:r>
    </w:p>
    <w:p>
      <w:pPr>
        <w:pStyle w:val="Normal"/>
        <w:rPr/>
      </w:pPr>
      <w:sdt>
        <w:sdtPr>
          <w:id w:val="862655363"/>
          <w:placeholder>
            <w:docPart w:val="DefaultPlaceholder_-1854013440"/>
          </w:placeholder>
          <w:text/>
        </w:sdtPr>
        <w:sdtContent>
          <w:r>
            <w:rPr/>
            <w:t>Camada de negócios, camada de operações e camada de tecnologia.</w:t>
          </w:r>
        </w:sdtContent>
      </w:sdt>
    </w:p>
    <w:p>
      <w:pPr>
        <w:pStyle w:val="Normal"/>
        <w:rPr/>
      </w:pPr>
      <w:r>
        <w:rPr/>
        <w:t>Q2 – Definir as camadas chave no ITIL</w:t>
      </w:r>
    </w:p>
    <w:p>
      <w:pPr>
        <w:pStyle w:val="Normal"/>
        <w:rPr/>
      </w:pPr>
      <w:sdt>
        <w:sdtPr>
          <w:id w:val="1950273349"/>
          <w:placeholder>
            <w:docPart w:val="DefaultPlaceholder_-1854013440"/>
          </w:placeholder>
          <w:text/>
        </w:sdtPr>
        <w:sdtContent>
          <w:r>
            <w:rPr/>
            <w:t>Estratégia de serviço, design de serviço, transição de serviço, operação de serviço, melhoria contínua de serviço.</w:t>
          </w:r>
        </w:sdtContent>
      </w:sdt>
    </w:p>
    <w:p>
      <w:pPr>
        <w:pStyle w:val="Normal"/>
        <w:rPr/>
      </w:pPr>
      <w:r>
        <w:rPr/>
        <w:t>Q3 – Vantagem da estrutura em camadas</w:t>
      </w:r>
    </w:p>
    <w:p>
      <w:pPr>
        <w:pStyle w:val="Normal"/>
        <w:rPr/>
      </w:pPr>
      <w:sdt>
        <w:sdtPr>
          <w:id w:val="284046608"/>
          <w:placeholder>
            <w:docPart w:val="DefaultPlaceholder_-1854013440"/>
          </w:placeholder>
          <w:text/>
        </w:sdtPr>
        <w:sdtContent>
          <w:r>
            <w:rPr/>
            <w:t>Ajuda a organizar os processos e funções de uma organização de forma clara e lógica, facilitando a compreensão e a comunicação entre as equipas envolvidas.</w:t>
          </w:r>
        </w:sdtContent>
      </w:sdt>
    </w:p>
    <w:p>
      <w:pPr>
        <w:pStyle w:val="Normal"/>
        <w:rPr/>
      </w:pPr>
      <w:r>
        <w:rPr/>
        <w:t>Q4 – Qual a mais valia da metodologia ITIL na cadeia de valor das telecom</w:t>
      </w:r>
    </w:p>
    <w:p>
      <w:pPr>
        <w:pStyle w:val="Normal"/>
        <w:rPr/>
      </w:pPr>
      <w:sdt>
        <w:sdtPr>
          <w:id w:val="270951804"/>
          <w:placeholder>
            <w:docPart w:val="DefaultPlaceholder_-1854013440"/>
          </w:placeholder>
          <w:text/>
        </w:sdtPr>
        <w:sdtContent>
          <w:r>
            <w:rPr/>
            <w:t>Melhoria da qualidade do serviço prestado ao cliente.</w:t>
          </w:r>
        </w:sdtContent>
      </w:sdt>
    </w:p>
    <w:p>
      <w:pPr>
        <w:pStyle w:val="Normal"/>
        <w:rPr/>
      </w:pPr>
      <w:r>
        <w:rPr/>
        <w:t>Q5 – Quais as diferenças entre frameworks e modelos</w:t>
      </w:r>
    </w:p>
    <w:p>
      <w:pPr>
        <w:pStyle w:val="Normal"/>
        <w:rPr/>
      </w:pPr>
      <w:sdt>
        <w:sdtPr>
          <w:id w:val="1526306657"/>
          <w:placeholder>
            <w:docPart w:val="DefaultPlaceholder_-1854013440"/>
          </w:placeholder>
          <w:text/>
        </w:sdtPr>
        <w:sdtContent>
          <w:r>
            <w:rPr/>
            <w:t>Uma framework é uma estrutura de alto nível para orientar a gestão, enquanto um modelo é uma representação simplificada de um processo ou sistema.</w:t>
          </w:r>
        </w:sdtContent>
      </w:sdt>
    </w:p>
    <w:p>
      <w:pPr>
        <w:pStyle w:val="Normal"/>
        <w:rPr/>
      </w:pPr>
      <w:r>
        <w:rPr/>
        <w:t>Q6 – Exemplos de terminologia equivalente nos modelos</w:t>
      </w:r>
    </w:p>
    <w:p>
      <w:pPr>
        <w:pStyle w:val="Normal"/>
        <w:rPr/>
      </w:pPr>
      <w:sdt>
        <w:sdtPr>
          <w:id w:val="570090279"/>
          <w:placeholder>
            <w:docPart w:val="DefaultPlaceholder_-1854013440"/>
          </w:placeholder>
          <w:text/>
        </w:sdtPr>
        <w:sdtContent>
          <w:r>
            <w:rPr/>
            <w:t>ITIL e COBIT; eTOM e ITIL; Six Sigma e Lean.</w:t>
          </w:r>
        </w:sdtContent>
      </w:sdt>
    </w:p>
    <w:p>
      <w:pPr>
        <w:pStyle w:val="Normal"/>
        <w:rPr/>
      </w:pPr>
      <w:r>
        <w:rPr/>
        <w:t>Q7 – Exemplos de terminologia díspar entre modelos</w:t>
      </w:r>
    </w:p>
    <w:p>
      <w:pPr>
        <w:pStyle w:val="Normal"/>
        <w:rPr/>
      </w:pPr>
      <w:sdt>
        <w:sdtPr>
          <w:id w:val="1350157592"/>
          <w:placeholder>
            <w:docPart w:val="DefaultPlaceholder_-1854013440"/>
          </w:placeholder>
          <w:text/>
        </w:sdtPr>
        <w:sdtContent>
          <w:r>
            <w:rPr/>
            <w:t>Gestão de projetos e Gestão de mudanças; Gestão de incidentes vs Gestão de problemas; eTOM e ITIL</w:t>
          </w:r>
        </w:sdtContent>
      </w:sdt>
    </w:p>
    <w:p>
      <w:pPr>
        <w:pStyle w:val="Normal"/>
        <w:rPr/>
      </w:pPr>
      <w:r>
        <w:rPr/>
        <w:t>Q8 – Situar processos Service support ITIL no processo de operações CRM</w:t>
      </w:r>
    </w:p>
    <w:p>
      <w:pPr>
        <w:pStyle w:val="Normal"/>
        <w:rPr/>
      </w:pPr>
      <w:sdt>
        <w:sdtPr>
          <w:id w:val="846190749"/>
          <w:placeholder>
            <w:docPart w:val="DefaultPlaceholder_-1854013440"/>
          </w:placeholder>
          <w:text/>
        </w:sdtPr>
        <w:sdtContent>
          <w:r>
            <w:rPr/>
            <w:t>O processo de gestão de problemas do ITIL pode ligar com o processo de resolução de problemas do CRM.</w:t>
          </w:r>
        </w:sdtContent>
      </w:sdt>
    </w:p>
    <w:p>
      <w:pPr>
        <w:pStyle w:val="Normal"/>
        <w:rPr/>
      </w:pPr>
      <w:r>
        <w:rPr/>
        <w:t>Q9 – Situar processos ITIL no processo de estratégia, infraestrutura e produto eTOM</w:t>
      </w:r>
    </w:p>
    <w:p>
      <w:pPr>
        <w:pStyle w:val="Normal"/>
        <w:rPr/>
      </w:pPr>
      <w:sdt>
        <w:sdtPr>
          <w:id w:val="1688639683"/>
          <w:placeholder>
            <w:docPart w:val="DefaultPlaceholder_-1854013440"/>
          </w:placeholder>
          <w:text/>
        </w:sdtPr>
        <w:sdtContent>
          <w:r>
            <w:rPr/>
            <w:t>Processo de gestão financeira do serviço do ITIL na camada de estratégia do eTOM; Processo de gestão de incidentes do ITIL na camada de infraestrutura do eTOM; O processo de gestão de mudanças do ITIL na camada de produto do eTOM.</w:t>
          </w:r>
        </w:sdtContent>
      </w:sdt>
    </w:p>
    <w:p>
      <w:pPr>
        <w:pStyle w:val="Normal"/>
        <w:rPr/>
      </w:pPr>
      <w:r>
        <w:rPr/>
        <w:t>Q10 - Situar processos ITIL no processo de gestão de risco empresarial eTOM</w:t>
      </w:r>
    </w:p>
    <w:p>
      <w:pPr>
        <w:pStyle w:val="Normal"/>
        <w:rPr/>
      </w:pPr>
      <w:sdt>
        <w:sdtPr>
          <w:id w:val="2140429208"/>
          <w:placeholder>
            <w:docPart w:val="DefaultPlaceholder_-1854013440"/>
          </w:placeholder>
          <w:text/>
        </w:sdtPr>
        <w:sdtContent>
          <w:r>
            <w:rPr/>
            <w:t>Processo de gestão de incidentes do ITIL pode estar relacionado ao processo de gestão de problemas e ao processo de gestão de mudanças do eTOM.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3F838CDA">
                <wp:simplePos x="0" y="0"/>
                <wp:positionH relativeFrom="column">
                  <wp:posOffset>-704850</wp:posOffset>
                </wp:positionH>
                <wp:positionV relativeFrom="paragraph">
                  <wp:posOffset>2364740</wp:posOffset>
                </wp:positionV>
                <wp:extent cx="7151370" cy="503555"/>
                <wp:effectExtent l="0" t="0" r="0" b="0"/>
                <wp:wrapNone/>
                <wp:docPr id="1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400" cy="503640"/>
                          <a:chOff x="0" y="0"/>
                          <a:chExt cx="7151400" cy="503640"/>
                        </a:xfrm>
                      </wpg:grpSpPr>
                      <wpg:grpSp>
                        <wpg:cNvGrpSpPr/>
                        <wpg:grpSpPr>
                          <a:xfrm>
                            <a:off x="0" y="19080"/>
                            <a:ext cx="7151400" cy="484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151400" cy="48456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102240"/>
                              <a:ext cx="6989400" cy="24588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lineRule="exact" w:line="336" w:beforeAutospacing="0" w:before="0" w:afterAutospacing="0" w:after="0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UFCD5892 - 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16"/>
                                  </w:rPr>
                                  <w:t>Modelos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 de gestão de redes e de suporte a clientes - CET Cibersegurança (8493)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Picture 1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320" y="0"/>
                            <a:ext cx="1244520" cy="41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-55.5pt;margin-top:186.2pt;width:563.1pt;height:39.65pt" coordorigin="-1110,3724" coordsize="11262,793">
                <v:group id="shape_0" style="position:absolute;left:-1110;top:3754;width:11262;height:763">
                  <v:rect id="shape_0" ID="AutoShape 10" path="m0,0l-2147483645,0l-2147483645,-2147483646l0,-2147483646xe" fillcolor="#3ecfdf" stroked="f" o:allowincell="f" style="position:absolute;left:-1110;top:3754;width:11261;height:762;mso-wrap-style:none;v-text-anchor:middle">
                    <v:fill o:detectmouseclick="t" type="solid" color2="#c13020"/>
                    <v:stroke color="#3465a4" joinstyle="round" endcap="flat"/>
                    <w10:wrap type="none"/>
                  </v:rect>
                  <v:rect id="shape_0" ID="TextBox 11" path="m0,0l-2147483645,0l-2147483645,-2147483646l0,-2147483646xe" fillcolor="#3ecfdf" stroked="f" o:allowincell="f" style="position:absolute;left:-945;top:3915;width:11006;height:386;mso-wrap-style:square;v-text-anchor:top">
                    <v:fill o:detectmouseclick="t" type="solid" color2="#c13020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lineRule="exact" w:line="336" w:beforeAutospacing="0" w:before="0" w:afterAutospacing="0" w:after="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UFCD5892 - 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16"/>
                            </w:rPr>
                            <w:t>Modelos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 de gestão de redes e de suporte a clientes - CET Cibersegurança (8493) </w:t>
                          </w:r>
                        </w:p>
                      </w:txbxContent>
                    </v:textbox>
                    <w10:wrap type="none"/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" stroked="f" o:allowincell="f" style="position:absolute;left:-990;top:3724;width:1959;height:65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headerReference w:type="default" r:id="rId4"/>
      <w:type w:val="continuous"/>
      <w:pgSz w:w="11906" w:h="16838"/>
      <w:pgMar w:left="1440" w:right="1440" w:gutter="0" w:header="708" w:top="1440" w:footer="0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Roboto" w:hAnsi="Roboto"/>
        <w:sz w:val="20"/>
        <w:szCs w:val="28"/>
        <w:u w:val="single"/>
      </w:rPr>
    </w:pPr>
    <w:r>
      <w:rPr>
        <w:rFonts w:ascii="Roboto" w:hAnsi="Roboto"/>
        <w:color w:val="1F1F1F"/>
        <w:sz w:val="20"/>
        <w:szCs w:val="28"/>
        <w:u w:val="single"/>
        <w:shd w:fill="FFFFFF" w:val="clear"/>
      </w:rPr>
      <w:t>CET Cibersegurança (8493) - UFCD5892 - Modelos de gestão de redes e de suporte a clientes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3MW4/HJ638GzxjA290KvoRWzT3J7+sQ0cI+bYKxkNY0uLYnlBA8P/bUpLFnZpF3FN95/bejuc2jvvyTfbr8Dfw==" w:salt="sdGXPgQShQvBX1vsRCNXpA==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e97b7e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e97b7e"/>
    <w:rPr/>
  </w:style>
  <w:style w:type="character" w:styleId="PlaceholderText">
    <w:name w:val="Placeholder Text"/>
    <w:basedOn w:val="DefaultParagraphFont"/>
    <w:uiPriority w:val="99"/>
    <w:semiHidden/>
    <w:qFormat/>
    <w:rsid w:val="00e97b7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b79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P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BD4EC-8114-4617-9071-18C19BF9A4AA}"/>
      </w:docPartPr>
      <w:docPartBody>
        <w:p w:rsidR="007A578E" w:rsidRDefault="00026AFE">
          <w:r w:rsidRPr="005E2494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FE"/>
    <w:rsid w:val="00026AFE"/>
    <w:rsid w:val="002A5955"/>
    <w:rsid w:val="00505A6B"/>
    <w:rsid w:val="00606D4F"/>
    <w:rsid w:val="007A578E"/>
    <w:rsid w:val="00C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26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LibreOffice/7.4.5.1$Windows_X86_64 LibreOffice_project/9c0871452b3918c1019dde9bfac75448afc4b57f</Application>
  <AppVersion>15.0000</AppVersion>
  <Pages>1</Pages>
  <Words>354</Words>
  <Characters>1677</Characters>
  <CharactersWithSpaces>1995</CharactersWithSpaces>
  <Paragraphs>24</Paragraphs>
  <Company>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2023-02-16T22:28:00Z</dcterms:created>
  <dc:creator>Joao Esteves Pina</dc:creator>
  <dc:description/>
  <dc:language>en-US</dc:language>
  <cp:lastModifiedBy/>
  <dcterms:modified xsi:type="dcterms:W3CDTF">2023-04-22T22:23:25Z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