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528608613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Sessao_1 – Ficha de trabalho</w:t>
      </w:r>
    </w:p>
    <w:p>
      <w:pPr>
        <w:pStyle w:val="Normal"/>
        <w:rPr/>
      </w:pPr>
      <w:r>
        <w:rPr/>
        <w:t>Q1 - Utilidade dos OSS no setor das telecomunicações</w:t>
      </w:r>
    </w:p>
    <w:p>
      <w:pPr>
        <w:pStyle w:val="Normal"/>
        <w:rPr/>
      </w:pPr>
      <w:sdt>
        <w:sdtPr>
          <w:id w:val="2060502507"/>
          <w:placeholder>
            <w:docPart w:val="DefaultPlaceholder_-1854013440"/>
          </w:placeholder>
          <w:text/>
        </w:sdtPr>
        <w:sdtContent>
          <w:r>
            <w:rPr/>
            <w:t>Os OSS são essenciais para a gestão de redes de telecomunicações, permitindo a automação de processos, redução de custos e melhorias na qualidade do serviço.</w:t>
          </w:r>
        </w:sdtContent>
      </w:sdt>
    </w:p>
    <w:p>
      <w:pPr>
        <w:pStyle w:val="Normal"/>
        <w:rPr/>
      </w:pPr>
      <w:r>
        <w:rPr/>
        <w:t>Q2 – Entidade/organização mundial que procura soluções para setor Telecomunicações</w:t>
      </w:r>
    </w:p>
    <w:p>
      <w:pPr>
        <w:pStyle w:val="Normal"/>
        <w:rPr/>
      </w:pPr>
      <w:sdt>
        <w:sdtPr>
          <w:id w:val="467123678"/>
          <w:placeholder>
            <w:docPart w:val="DefaultPlaceholder_-1854013440"/>
          </w:placeholder>
          <w:text/>
        </w:sdtPr>
        <w:sdtContent>
          <w:r>
            <w:rPr/>
            <w:t>União Internacional de Telecomunicações (ITU)</w:t>
          </w:r>
        </w:sdtContent>
      </w:sdt>
    </w:p>
    <w:p>
      <w:pPr>
        <w:pStyle w:val="Normal"/>
        <w:rPr/>
      </w:pPr>
      <w:r>
        <w:rPr/>
        <w:t>Q3 - Enquadrar o tipo de serviços e as necessidades do setor</w:t>
      </w:r>
    </w:p>
    <w:p>
      <w:pPr>
        <w:pStyle w:val="Normal"/>
        <w:rPr/>
      </w:pPr>
      <w:sdt>
        <w:sdtPr>
          <w:id w:val="813115877"/>
          <w:placeholder>
            <w:docPart w:val="DefaultPlaceholder_-1854013440"/>
          </w:placeholder>
          <w:text/>
        </w:sdtPr>
        <w:sdtContent>
          <w:r>
            <w:rPr/>
            <w:t>As necessidades do setor incluem investimentos em tecnologia, infraestrutura, segurança cibernética e conformidade regulatória para fornecer serviços de telefonia, internet, televisão e comunicação de dados de qualidade aos clientes.</w:t>
          </w:r>
        </w:sdtContent>
      </w:sdt>
    </w:p>
    <w:p>
      <w:pPr>
        <w:pStyle w:val="Normal"/>
        <w:rPr/>
      </w:pPr>
      <w:r>
        <w:rPr/>
        <w:t>Q4 - Algumas ferramentas e modelos conhecidos</w:t>
      </w:r>
    </w:p>
    <w:p>
      <w:pPr>
        <w:pStyle w:val="Normal"/>
        <w:rPr/>
      </w:pPr>
      <w:sdt>
        <w:sdtPr>
          <w:id w:val="949774637"/>
          <w:placeholder>
            <w:docPart w:val="DefaultPlaceholder_-1854013440"/>
          </w:placeholder>
          <w:text/>
        </w:sdtPr>
        <w:sdtContent>
          <w:r>
            <w:rPr/>
            <w:t>OSS e NGOSS.</w:t>
          </w:r>
        </w:sdtContent>
      </w:sdt>
    </w:p>
    <w:p>
      <w:pPr>
        <w:pStyle w:val="Normal"/>
        <w:rPr/>
      </w:pPr>
      <w:r>
        <w:rPr/>
        <w:t>Q5 - Técnicas, e boas práticas conhecidas para suporte a clientes</w:t>
      </w:r>
    </w:p>
    <w:p>
      <w:pPr>
        <w:pStyle w:val="Normal"/>
        <w:rPr/>
      </w:pPr>
      <w:sdt>
        <w:sdtPr>
          <w:id w:val="585282182"/>
          <w:placeholder>
            <w:docPart w:val="DefaultPlaceholder_-1854013440"/>
          </w:placeholder>
          <w:text/>
        </w:sdtPr>
        <w:sdtContent>
          <w:r>
            <w:rPr/>
            <w:t>Abordagem empática, comunicar claramente, documentar problemas e soluções, ser pró-ativo e fornecer feedback regular.</w:t>
          </w:r>
        </w:sdtContent>
      </w:sdt>
    </w:p>
    <w:p>
      <w:pPr>
        <w:pStyle w:val="Normal"/>
        <w:rPr/>
      </w:pPr>
      <w:r>
        <w:rPr/>
        <w:t>Q6 – Definir Relações de negócio</w:t>
      </w:r>
    </w:p>
    <w:p>
      <w:pPr>
        <w:pStyle w:val="Normal"/>
        <w:rPr/>
      </w:pPr>
      <w:sdt>
        <w:sdtPr>
          <w:id w:val="1803815830"/>
          <w:placeholder>
            <w:docPart w:val="DefaultPlaceholder_-1854013440"/>
          </w:placeholder>
          <w:text/>
        </w:sdtPr>
        <w:sdtContent>
          <w:r>
            <w:rPr/>
            <w:t>Acordos estabelecidos entre empresas ou indivíduos para trabalhar em conjunto visando benefício mútuos e alcançar objetivos comuns.</w:t>
          </w:r>
        </w:sdtContent>
      </w:sdt>
    </w:p>
    <w:p>
      <w:pPr>
        <w:pStyle w:val="Normal"/>
        <w:rPr/>
      </w:pPr>
      <w:r>
        <w:rPr/>
        <w:t>Q7 – Definir Processos de negocio</w:t>
      </w:r>
    </w:p>
    <w:p>
      <w:pPr>
        <w:pStyle w:val="Normal"/>
        <w:rPr/>
      </w:pPr>
      <w:sdt>
        <w:sdtPr>
          <w:id w:val="1985549868"/>
          <w:placeholder>
            <w:docPart w:val="DefaultPlaceholder_-1854013440"/>
          </w:placeholder>
          <w:text/>
        </w:sdtPr>
        <w:sdtContent>
          <w:r>
            <w:rPr/>
            <w:t xml:space="preserve">Atividades interligadas que visam alcançar um objetivo empresarial específico. </w:t>
          </w:r>
        </w:sdtContent>
      </w:sdt>
    </w:p>
    <w:p>
      <w:pPr>
        <w:pStyle w:val="Normal"/>
        <w:rPr/>
      </w:pPr>
      <w:r>
        <w:rPr/>
        <w:t>Q8 – Definir conceito E-business e/ou e-commerce</w:t>
      </w:r>
    </w:p>
    <w:p>
      <w:pPr>
        <w:pStyle w:val="Normal"/>
        <w:rPr/>
      </w:pPr>
      <w:sdt>
        <w:sdtPr>
          <w:id w:val="1111599660"/>
          <w:placeholder>
            <w:docPart w:val="DefaultPlaceholder_-1854013440"/>
          </w:placeholder>
          <w:text/>
        </w:sdtPr>
        <w:sdtContent>
          <w:r>
            <w:rPr/>
            <w:t>Qualquer tipo de comércio ou negócio feito de forma digital.</w:t>
          </w:r>
        </w:sdtContent>
      </w:sdt>
    </w:p>
    <w:p>
      <w:pPr>
        <w:pStyle w:val="Normal"/>
        <w:rPr/>
      </w:pPr>
      <w:r>
        <w:rPr/>
        <w:t>Q9 – Influencia dos ambientes distribuídos</w:t>
      </w:r>
    </w:p>
    <w:p>
      <w:pPr>
        <w:pStyle w:val="Normal"/>
        <w:rPr/>
      </w:pPr>
      <w:sdt>
        <w:sdtPr>
          <w:id w:val="2102977732"/>
          <w:placeholder>
            <w:docPart w:val="DefaultPlaceholder_-1854013440"/>
          </w:placeholder>
          <w:text/>
        </w:sdtPr>
        <w:sdtContent>
          <w:r>
            <w:rPr/>
            <w:t>A influência dos ambientes distribuídos inclui o aumento de flexibilidade e escalabilidade, melhoria da eficiência e redução de cusros, maior resiliência e redundância, possibilidade de oferecer serviços inovadores</w:t>
          </w:r>
        </w:sdtContent>
      </w:sdt>
    </w:p>
    <w:p>
      <w:pPr>
        <w:pStyle w:val="Normal"/>
        <w:rPr/>
      </w:pPr>
      <w:r>
        <w:rPr/>
        <w:t>Q10 - Glossário ITU – verificar/descrever itens/recomendações principais</w:t>
      </w:r>
    </w:p>
    <w:p>
      <w:pPr>
        <w:pStyle w:val="Normal"/>
        <w:rPr/>
      </w:pPr>
      <w:sdt>
        <w:sdtPr>
          <w:id w:val="1779897307"/>
          <w:placeholder>
            <w:docPart w:val="DefaultPlaceholder_-1854013440"/>
          </w:placeholder>
          <w:text/>
        </w:sdtPr>
        <w:sdtContent>
          <w:r>
            <w:rPr/>
            <w:t>Adoção de políticas regulatórias e de investimento que permitam a expansão da infraestrutura de telecomunicações, a promoção da inovação e da concorrência, e a inclusão digital de todos os cidadãos; A ITU também enfatiza a importância da segurança cibernética e da proteção de dados pessoais nas redes de telecomunicações.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Nota: Preencher com a resposta correta e "guardar como" na área reservada moodle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DESIGNAÇÃO DA UFCD: Modelos de gestão de redes e de suporte a clientes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CÓDIGO DA UFCD: 5892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CARGA HORÁRIA: 25 horas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PONTOS DE CRÉDITO: 2.25  </w:t>
        <w:tab/>
        <w:tab/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Formador:  João Pina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continuous"/>
      <w:pgSz w:w="11906" w:h="16838"/>
      <w:pgMar w:left="1440" w:right="1440" w:gutter="0" w:header="708" w:top="1440" w:footer="708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@JoãoPina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enforcement="1" w:cryptProviderType="rsaFull" w:cryptAlgorithmClass="hash" w:cryptAlgorithmType="typeAny" w:cryptAlgorithmSid="4" w:cryptSpinCount="100000" w:hash="iWoFEkCYHZ2v/IK8x8wOKTFJ5Cg=" w:salt="2YoTerqeMgTMbNu1Htn5Ew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cter" w:customStyle="1">
    <w:name w:val="Cabeçalho Carácter"/>
    <w:basedOn w:val="DefaultParagraphFont"/>
    <w:link w:val="Header"/>
    <w:uiPriority w:val="99"/>
    <w:qFormat/>
    <w:rsid w:val="00e97b7e"/>
    <w:rPr/>
  </w:style>
  <w:style w:type="character" w:styleId="RodapCarcter" w:customStyle="1">
    <w:name w:val="Rodapé Carác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character" w:styleId="TextodebaloCarcter" w:customStyle="1">
    <w:name w:val="Texto de balão Carácter"/>
    <w:basedOn w:val="DefaultParagraphFont"/>
    <w:link w:val="BalloonText"/>
    <w:uiPriority w:val="99"/>
    <w:semiHidden/>
    <w:qFormat/>
    <w:rsid w:val="0041533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c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4153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C92487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FE"/>
    <w:rsid w:val="00026AFE"/>
    <w:rsid w:val="00135C95"/>
    <w:rsid w:val="00AD015D"/>
    <w:rsid w:val="00C92487"/>
    <w:rsid w:val="00C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LibreOffice/7.4.5.1$Windows_X86_64 LibreOffice_project/9c0871452b3918c1019dde9bfac75448afc4b57f</Application>
  <AppVersion>15.0000</AppVersion>
  <Pages>2</Pages>
  <Words>358</Words>
  <Characters>2029</Characters>
  <CharactersWithSpaces>2350</CharactersWithSpaces>
  <Paragraphs>30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2023-02-16T21:18:00Z</dcterms:created>
  <dc:creator>Joao Esteves Pina</dc:creator>
  <dc:description/>
  <dc:language>en-US</dc:language>
  <cp:lastModifiedBy/>
  <dcterms:modified xsi:type="dcterms:W3CDTF">2023-04-22T18:10:25Z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