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 xml:space="preserve">Identificação do formando: </w:t>
      </w:r>
      <w:sdt>
        <w:sdtPr>
          <w:id w:val="916270039"/>
          <w:placeholder>
            <w:docPart w:val="DefaultPlaceholder_-1854013440"/>
          </w:placeholder>
          <w:text/>
        </w:sdtPr>
        <w:sdtContent>
          <w:r>
            <w:rPr/>
            <w:t>João Rodrigo Mota da Costa</w:t>
          </w:r>
        </w:sdtContent>
      </w:sdt>
    </w:p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Sessao_2 – Ficha de trabalho</w:t>
      </w:r>
    </w:p>
    <w:p>
      <w:pPr>
        <w:pStyle w:val="Normal"/>
        <w:rPr/>
      </w:pPr>
      <w:r>
        <w:rPr/>
        <w:t>Q1 – Identificação do responsável pelo desenvolvimento da framework eTOM</w:t>
      </w:r>
    </w:p>
    <w:p>
      <w:pPr>
        <w:pStyle w:val="Normal"/>
        <w:rPr/>
      </w:pPr>
      <w:sdt>
        <w:sdtPr>
          <w:id w:val="1746776442"/>
          <w:placeholder>
            <w:docPart w:val="DefaultPlaceholder_-1854013440"/>
          </w:placeholder>
          <w:text/>
        </w:sdtPr>
        <w:sdtContent>
          <w:r>
            <w:rPr/>
            <w:t>TeleManagement Forum (TM Forum)</w:t>
          </w:r>
        </w:sdtContent>
      </w:sdt>
    </w:p>
    <w:p>
      <w:pPr>
        <w:pStyle w:val="Normal"/>
        <w:rPr/>
      </w:pPr>
      <w:r>
        <w:rPr/>
        <w:t>Q2 – Enquadrar/localizar CRM na decomposição de níveis da framework</w:t>
      </w:r>
    </w:p>
    <w:p>
      <w:pPr>
        <w:pStyle w:val="Normal"/>
        <w:rPr/>
      </w:pPr>
      <w:sdt>
        <w:sdtPr>
          <w:id w:val="2004599867"/>
          <w:placeholder>
            <w:docPart w:val="DefaultPlaceholder_-1854013440"/>
          </w:placeholder>
          <w:text/>
        </w:sdtPr>
        <w:sdtContent>
          <w:r>
            <w:rPr/>
            <w:t>O CRM faz parte do nível 3 da framework eTOM, no qual são descritos os processos relacionados com os clientes e a sua experiência.</w:t>
          </w:r>
        </w:sdtContent>
      </w:sdt>
    </w:p>
    <w:p>
      <w:pPr>
        <w:pStyle w:val="Normal"/>
        <w:rPr/>
      </w:pPr>
      <w:r>
        <w:rPr/>
        <w:t>Q3 - Enquadrar/localizar Suporte de Operações na decomposição de níveis da framework</w:t>
      </w:r>
    </w:p>
    <w:p>
      <w:pPr>
        <w:pStyle w:val="Normal"/>
        <w:rPr/>
      </w:pPr>
      <w:sdt>
        <w:sdtPr>
          <w:id w:val="699002887"/>
          <w:placeholder>
            <w:docPart w:val="DefaultPlaceholder_-1854013440"/>
          </w:placeholder>
          <w:text/>
        </w:sdtPr>
        <w:sdtContent>
          <w:r>
            <w:rPr/>
            <w:t>O Suporte de Operações faz parte do nível 2 e é responsável por garantir a operação eficientes dos sistemas de telecomunicações e pelos processos de suporte de operação de serviços de telecomunicações.</w:t>
          </w:r>
        </w:sdtContent>
      </w:sdt>
    </w:p>
    <w:p>
      <w:pPr>
        <w:pStyle w:val="Normal"/>
        <w:rPr/>
      </w:pPr>
      <w:r>
        <w:rPr/>
        <w:t>Q4 - Enquadrar/localizar Gestão RH na decomposição de níveis da framework</w:t>
      </w:r>
    </w:p>
    <w:p>
      <w:pPr>
        <w:pStyle w:val="Normal"/>
        <w:rPr/>
      </w:pPr>
      <w:sdt>
        <w:sdtPr>
          <w:id w:val="591989511"/>
          <w:placeholder>
            <w:docPart w:val="DefaultPlaceholder_-1854013440"/>
          </w:placeholder>
          <w:text/>
        </w:sdtPr>
        <w:sdtContent>
          <w:r>
            <w:rPr/>
            <w:t>A Gestão de Recursos Humanos faz parte do nível 4 e está integrado nos processos de gestão corporativa, garantindo que a organização tem a equipa certa e os rescursos necessários para atender às demandas dos clientes e alcançar os seus objetivos.</w:t>
          </w:r>
        </w:sdtContent>
      </w:sdt>
    </w:p>
    <w:p>
      <w:pPr>
        <w:pStyle w:val="Normal"/>
        <w:rPr/>
      </w:pPr>
      <w:r>
        <w:rPr/>
        <w:t>Q5 – Objetivos chave da framework eTOM</w:t>
      </w:r>
    </w:p>
    <w:p>
      <w:pPr>
        <w:pStyle w:val="Normal"/>
        <w:rPr/>
      </w:pPr>
      <w:sdt>
        <w:sdtPr>
          <w:id w:val="798943071"/>
          <w:placeholder>
            <w:docPart w:val="DefaultPlaceholder_-1854013440"/>
          </w:placeholder>
          <w:text/>
        </w:sdtPr>
        <w:sdtContent>
          <w:r>
            <w:rPr/>
            <w:t>Fornecer uma estrutura comum para descrever e entender os processos de negócios numa organização de telecomunicações, promover a colaboração entre as áreas funcionais e de negócios e melhorar a eficiência operacional e qualidade dos serviços de telecomunicações.</w:t>
          </w:r>
        </w:sdtContent>
      </w:sdt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 wp14:anchorId="3F838CDA">
                <wp:simplePos x="0" y="0"/>
                <wp:positionH relativeFrom="column">
                  <wp:posOffset>-704850</wp:posOffset>
                </wp:positionH>
                <wp:positionV relativeFrom="paragraph">
                  <wp:posOffset>5506720</wp:posOffset>
                </wp:positionV>
                <wp:extent cx="7151370" cy="503555"/>
                <wp:effectExtent l="0" t="0" r="0" b="0"/>
                <wp:wrapNone/>
                <wp:docPr id="1" name="Grupo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1400" cy="503640"/>
                          <a:chOff x="0" y="0"/>
                          <a:chExt cx="7151400" cy="503640"/>
                        </a:xfrm>
                      </wpg:grpSpPr>
                      <wpg:grpSp>
                        <wpg:cNvGrpSpPr/>
                        <wpg:grpSpPr>
                          <a:xfrm>
                            <a:off x="0" y="19080"/>
                            <a:ext cx="7151400" cy="4845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7151400" cy="484560"/>
                            </a:xfrm>
                            <a:prstGeom prst="rect">
                              <a:avLst/>
                            </a:prstGeom>
                            <a:solidFill>
                              <a:srgbClr val="3ecfd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760" y="102240"/>
                              <a:ext cx="6989400" cy="245880"/>
                            </a:xfrm>
                            <a:prstGeom prst="rect">
                              <a:avLst/>
                            </a:prstGeom>
                            <a:solidFill>
                              <a:srgbClr val="3ecfd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Web"/>
                                  <w:spacing w:lineRule="exact" w:line="336" w:beforeAutospacing="0" w:before="0" w:afterAutospacing="0" w:after="0"/>
                                  <w:jc w:val="righ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cs="Arial" w:ascii="Arial" w:hAnsi="Arial"/>
                                    <w:color w:val="F9FCFF"/>
                                    <w:kern w:val="2"/>
                                    <w:sz w:val="20"/>
                                  </w:rPr>
                                  <w:t xml:space="preserve">UFCD5892 - </w:t>
                                </w:r>
                                <w:r>
                                  <w:rPr>
                                    <w:rFonts w:cs="Arial" w:ascii="Arial" w:hAnsi="Arial"/>
                                    <w:color w:val="F9FCFF"/>
                                    <w:kern w:val="2"/>
                                    <w:sz w:val="16"/>
                                  </w:rPr>
                                  <w:t>Modelos</w:t>
                                </w:r>
                                <w:r>
                                  <w:rPr>
                                    <w:rFonts w:cs="Arial" w:ascii="Arial" w:hAnsi="Arial"/>
                                    <w:color w:val="F9FCFF"/>
                                    <w:kern w:val="2"/>
                                    <w:sz w:val="20"/>
                                  </w:rPr>
                                  <w:t xml:space="preserve"> de gestão de redes e de suporte a clientes - CET Cibersegurança (8493) 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0" name="Picture 12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76320" y="0"/>
                            <a:ext cx="1244520" cy="4147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upo 4" style="position:absolute;margin-left:-55.5pt;margin-top:433.6pt;width:563.1pt;height:39.65pt" coordorigin="-1110,8672" coordsize="11262,793">
                <v:group id="shape_0" style="position:absolute;left:-1110;top:8702;width:11262;height:763">
                  <v:rect id="shape_0" ID="AutoShape 10" path="m0,0l-2147483645,0l-2147483645,-2147483646l0,-2147483646xe" fillcolor="#3ecfdf" stroked="f" o:allowincell="f" style="position:absolute;left:-1110;top:8702;width:11261;height:762;mso-wrap-style:none;v-text-anchor:middle">
                    <v:fill o:detectmouseclick="t" type="solid" color2="#c13020"/>
                    <v:stroke color="#3465a4" joinstyle="round" endcap="flat"/>
                    <w10:wrap type="none"/>
                  </v:rect>
                  <v:rect id="shape_0" ID="TextBox 11" path="m0,0l-2147483645,0l-2147483645,-2147483646l0,-2147483646xe" fillcolor="#3ecfdf" stroked="f" o:allowincell="f" style="position:absolute;left:-945;top:8863;width:11006;height:386;mso-wrap-style:square;v-text-anchor:top">
                    <v:fill o:detectmouseclick="t" type="solid" color2="#c13020"/>
                    <v:stroke color="#3465a4" joinstyle="round" endcap="flat"/>
                    <v:textbox>
                      <w:txbxContent>
                        <w:p>
                          <w:pPr>
                            <w:pStyle w:val="NormalWeb"/>
                            <w:spacing w:lineRule="exact" w:line="336" w:beforeAutospacing="0" w:before="0" w:afterAutospacing="0" w:after="0"/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rFonts w:cs="Arial" w:ascii="Arial" w:hAnsi="Arial"/>
                              <w:color w:val="F9FCFF"/>
                              <w:kern w:val="2"/>
                              <w:sz w:val="20"/>
                            </w:rPr>
                            <w:t xml:space="preserve">UFCD5892 - </w:t>
                          </w:r>
                          <w:r>
                            <w:rPr>
                              <w:rFonts w:cs="Arial" w:ascii="Arial" w:hAnsi="Arial"/>
                              <w:color w:val="F9FCFF"/>
                              <w:kern w:val="2"/>
                              <w:sz w:val="16"/>
                            </w:rPr>
                            <w:t>Modelos</w:t>
                          </w:r>
                          <w:r>
                            <w:rPr>
                              <w:rFonts w:cs="Arial" w:ascii="Arial" w:hAnsi="Arial"/>
                              <w:color w:val="F9FCFF"/>
                              <w:kern w:val="2"/>
                              <w:sz w:val="20"/>
                            </w:rPr>
                            <w:t xml:space="preserve"> de gestão de redes e de suporte a clientes - CET Cibersegurança (8493) </w:t>
                          </w:r>
                        </w:p>
                      </w:txbxContent>
                    </v:textbox>
                    <w10:wrap type="none"/>
                  </v:rect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12" stroked="f" o:allowincell="f" style="position:absolute;left:-990;top:8672;width:1959;height:652;mso-wrap-style:none;v-text-anchor:middle" type="_x0000_t75">
                  <v:imagedata r:id="rId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Q6 – Como pode eTOM apoiar o e-business</w:t>
      </w:r>
    </w:p>
    <w:p>
      <w:pPr>
        <w:pStyle w:val="Normal"/>
        <w:rPr/>
      </w:pPr>
      <w:sdt>
        <w:sdtPr>
          <w:id w:val="672660814"/>
          <w:placeholder>
            <w:docPart w:val="DefaultPlaceholder_-1854013440"/>
          </w:placeholder>
          <w:text/>
        </w:sdtPr>
        <w:sdtContent>
          <w:r>
            <w:rPr/>
            <w:t>O eTOM pode apoiar o e-business fornecendo uma estrutura comum para mapear processos de negócios e identificar áreas de melhoria, servindo como um modelo referência para novos processos de negócios e ajudar as organizações de telecomunicações a adotar práticas de negócios de classe mundial.</w:t>
          </w:r>
        </w:sdtContent>
      </w:sdt>
    </w:p>
    <w:p>
      <w:pPr>
        <w:pStyle w:val="Normal"/>
        <w:rPr/>
      </w:pPr>
      <w:r>
        <w:rPr/>
        <w:t>Q7 – Qual a estrutura base simplificada do eTOM</w:t>
      </w:r>
    </w:p>
    <w:p>
      <w:pPr>
        <w:pStyle w:val="Normal"/>
        <w:rPr/>
      </w:pPr>
      <w:sdt>
        <w:sdtPr>
          <w:id w:val="101880645"/>
          <w:placeholder>
            <w:docPart w:val="DefaultPlaceholder_-1854013440"/>
          </w:placeholder>
          <w:text/>
        </w:sdtPr>
        <w:sdtContent>
          <w:r>
            <w:rPr/>
            <w:t>A estrutura base simplificada do eTOM tem 3 níveis: Processo de negócios; processos de negócios de suporte; e processo de negócios operacionais.</w:t>
          </w:r>
        </w:sdtContent>
      </w:sdt>
    </w:p>
    <w:p>
      <w:pPr>
        <w:pStyle w:val="Normal"/>
        <w:rPr/>
      </w:pPr>
      <w:r>
        <w:rPr/>
        <w:t>Q8 – Pontos fortes eTOM</w:t>
      </w:r>
    </w:p>
    <w:p>
      <w:pPr>
        <w:pStyle w:val="Normal"/>
        <w:rPr/>
      </w:pPr>
      <w:sdt>
        <w:sdtPr>
          <w:id w:val="417652092"/>
          <w:placeholder>
            <w:docPart w:val="DefaultPlaceholder_-1854013440"/>
          </w:placeholder>
          <w:text/>
        </w:sdtPr>
        <w:sdtContent>
          <w:r>
            <w:rPr/>
            <w:t>Abordagem holística; flexibilidade; consistência; orientação para o cliente; integração; e padronização.</w:t>
          </w:r>
        </w:sdtContent>
      </w:sdt>
    </w:p>
    <w:p>
      <w:pPr>
        <w:pStyle w:val="Normal"/>
        <w:rPr/>
      </w:pPr>
      <w:r>
        <w:rPr/>
        <w:t>Q9 – Benefícios base da utilização eTOM</w:t>
      </w:r>
    </w:p>
    <w:p>
      <w:pPr>
        <w:pStyle w:val="Normal"/>
        <w:rPr/>
      </w:pPr>
      <w:sdt>
        <w:sdtPr>
          <w:id w:val="837085881"/>
          <w:placeholder>
            <w:docPart w:val="DefaultPlaceholder_-1854013440"/>
          </w:placeholder>
          <w:text/>
        </w:sdtPr>
        <w:sdtContent>
          <w:r>
            <w:rPr/>
            <w:t>Melhoria da eficiência operacional; padronização; orientação para o clientes; melhoria da gestão de riscos; melhoria da inovação; e melhoria da colaboração.</w:t>
          </w:r>
        </w:sdtContent>
      </w:sdt>
    </w:p>
    <w:p>
      <w:pPr>
        <w:pStyle w:val="Normal"/>
        <w:rPr/>
      </w:pPr>
      <w:r>
        <w:rPr/>
        <w:t>Q10 – Qual a recomendação ITU que descreve a framework eTOM</w:t>
      </w:r>
    </w:p>
    <w:p>
      <w:pPr>
        <w:pStyle w:val="Normal"/>
        <w:rPr/>
      </w:pPr>
      <w:sdt>
        <w:sdtPr>
          <w:id w:val="1232317886"/>
          <w:placeholder>
            <w:docPart w:val="DefaultPlaceholder_-1854013440"/>
          </w:placeholder>
          <w:text/>
        </w:sdtPr>
        <w:sdtContent>
          <w:r>
            <w:rPr/>
            <w:t>A ITU-T M.3050 fornece orientação para a implementação da eTOM.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4"/>
      <w:type w:val="continuous"/>
      <w:pgSz w:w="11906" w:h="16838"/>
      <w:pgMar w:left="1440" w:right="1440" w:gutter="0" w:header="708" w:top="1440" w:footer="0" w:bottom="1440"/>
      <w:formProt w:val="tru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Roboto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Roboto" w:hAnsi="Roboto"/>
        <w:sz w:val="20"/>
        <w:szCs w:val="28"/>
        <w:u w:val="single"/>
      </w:rPr>
    </w:pPr>
    <w:r>
      <w:rPr>
        <w:rFonts w:ascii="Roboto" w:hAnsi="Roboto"/>
        <w:color w:val="1F1F1F"/>
        <w:sz w:val="20"/>
        <w:szCs w:val="28"/>
        <w:u w:val="single"/>
        <w:shd w:fill="FFFFFF" w:val="clear"/>
      </w:rPr>
      <w:t>CET Cibersegurança (8493) - UFCD5892 - Modelos de gestão de redes e de suporte a clientes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mz+8DGyMFUgGFHPaFJtADrDvaj3UFqSwGIWo+4B6yuns+71W5Img59RKe2pbMaNfbwQ8OqEJRmEddxi/Hcr+XQ==" w:salt="HVw0qjjVlzJTAifqTtfL+A==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Header"/>
    <w:uiPriority w:val="99"/>
    <w:qFormat/>
    <w:rsid w:val="00e97b7e"/>
    <w:rPr/>
  </w:style>
  <w:style w:type="character" w:styleId="RodapCarter" w:customStyle="1">
    <w:name w:val="Rodapé Caráter"/>
    <w:basedOn w:val="DefaultParagraphFont"/>
    <w:link w:val="Footer"/>
    <w:uiPriority w:val="99"/>
    <w:qFormat/>
    <w:rsid w:val="00e97b7e"/>
    <w:rPr/>
  </w:style>
  <w:style w:type="character" w:styleId="PlaceholderText">
    <w:name w:val="Placeholder Text"/>
    <w:basedOn w:val="DefaultParagraphFont"/>
    <w:uiPriority w:val="99"/>
    <w:semiHidden/>
    <w:qFormat/>
    <w:rsid w:val="00e97b7e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e97b7e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e97b7e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175b4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pt-PT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8BD4EC-8114-4617-9071-18C19BF9A4AA}"/>
      </w:docPartPr>
      <w:docPartBody>
        <w:p w:rsidR="00F962AC" w:rsidRDefault="00026AFE">
          <w:r w:rsidRPr="005E2494">
            <w:rPr>
              <w:rStyle w:val="TextodoMarcadordePosio"/>
            </w:rPr>
            <w:t>Clique ou toque aqui para introduzir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FE"/>
    <w:rsid w:val="0000708B"/>
    <w:rsid w:val="00026AFE"/>
    <w:rsid w:val="008B6FB5"/>
    <w:rsid w:val="00C64191"/>
    <w:rsid w:val="00F9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26A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LibreOffice/7.4.5.1$Windows_X86_64 LibreOffice_project/9c0871452b3918c1019dde9bfac75448afc4b57f</Application>
  <AppVersion>15.0000</AppVersion>
  <Pages>2</Pages>
  <Words>394</Words>
  <Characters>2093</Characters>
  <CharactersWithSpaces>2451</CharactersWithSpaces>
  <Paragraphs>24</Paragraphs>
  <Company>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2023-02-16T21:42:00Z</dcterms:created>
  <dc:creator>Joao Esteves Pina</dc:creator>
  <dc:description/>
  <dc:language>en-US</dc:language>
  <cp:lastModifiedBy/>
  <dcterms:modified xsi:type="dcterms:W3CDTF">2023-04-22T18:58:58Z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