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Identificação do formando: </w:t>
      </w:r>
      <w:sdt>
        <w:sdtPr>
          <w:id w:val="1595672008"/>
          <w:placeholder>
            <w:docPart w:val="DefaultPlaceholder_-1854013440"/>
          </w:placeholder>
          <w:text/>
        </w:sdtPr>
        <w:sdtContent>
          <w:r>
            <w:rPr/>
            <w:t>João Rodrigo Mota da Costa</w:t>
          </w:r>
        </w:sdtContent>
      </w:sdt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Sessao_4 – Ficha de trabalho</w:t>
      </w:r>
    </w:p>
    <w:p>
      <w:pPr>
        <w:pStyle w:val="Normal"/>
        <w:rPr/>
      </w:pPr>
      <w:r>
        <w:rPr/>
        <w:t>Q1 – Identificar a ideia chave do eTOM</w:t>
      </w:r>
    </w:p>
    <w:p>
      <w:pPr>
        <w:pStyle w:val="Normal"/>
        <w:rPr/>
      </w:pPr>
      <w:sdt>
        <w:sdtPr>
          <w:id w:val="103957551"/>
          <w:placeholder>
            <w:docPart w:val="DefaultPlaceholder_-1854013440"/>
          </w:placeholder>
          <w:text/>
        </w:sdtPr>
        <w:sdtContent>
          <w:r>
            <w:rPr/>
            <w:t>Fornecer uma estrutura abrangente para a gestão de processos de negócios em operadoras de telecomunicações.</w:t>
          </w:r>
        </w:sdtContent>
      </w:sdt>
    </w:p>
    <w:p>
      <w:pPr>
        <w:pStyle w:val="Normal"/>
        <w:rPr/>
      </w:pPr>
      <w:r>
        <w:rPr/>
        <w:t>Q2 – identificar a ideia chave do ITIL</w:t>
      </w:r>
    </w:p>
    <w:p>
      <w:pPr>
        <w:pStyle w:val="Normal"/>
        <w:rPr/>
      </w:pPr>
      <w:sdt>
        <w:sdtPr>
          <w:id w:val="879259704"/>
          <w:placeholder>
            <w:docPart w:val="DefaultPlaceholder_-1854013440"/>
          </w:placeholder>
          <w:text/>
        </w:sdtPr>
        <w:sdtContent>
          <w:r>
            <w:rPr/>
            <w:t>Fornecer um conjunto abrangente de melhores práticas para a gestão de serviços de IT. O objetivo principal do ITIL é melhorar a eficiências e eficácia da prestação de serviços de IT.</w:t>
          </w:r>
        </w:sdtContent>
      </w:sdt>
    </w:p>
    <w:p>
      <w:pPr>
        <w:pStyle w:val="Normal"/>
        <w:rPr/>
      </w:pPr>
      <w:r>
        <w:rPr/>
        <w:t xml:space="preserve">Q3 – Qual a relação possível entre framework e melhores práticas de gestão </w:t>
      </w:r>
    </w:p>
    <w:p>
      <w:pPr>
        <w:pStyle w:val="Normal"/>
        <w:rPr/>
      </w:pPr>
      <w:sdt>
        <w:sdtPr>
          <w:id w:val="1867631728"/>
          <w:placeholder>
            <w:docPart w:val="DefaultPlaceholder_-1854013440"/>
          </w:placeholder>
          <w:text/>
        </w:sdtPr>
        <w:sdtContent>
          <w:r>
            <w:rPr/>
            <w:t>A framework pode incorporar as melhores práticas de gestão e fornecer orientação estruturada e sistemática sobre como aplicá-las numa determinada área de gestão.</w:t>
          </w:r>
        </w:sdtContent>
      </w:sdt>
    </w:p>
    <w:p>
      <w:pPr>
        <w:pStyle w:val="Normal"/>
        <w:rPr/>
      </w:pPr>
      <w:r>
        <w:rPr/>
        <w:t>Q4 – Exemplos de associação possível ITIL e eTOM</w:t>
      </w:r>
    </w:p>
    <w:p>
      <w:pPr>
        <w:pStyle w:val="Normal"/>
        <w:rPr/>
      </w:pPr>
      <w:sdt>
        <w:sdtPr>
          <w:id w:val="1654592252"/>
          <w:placeholder>
            <w:docPart w:val="DefaultPlaceholder_-1854013440"/>
          </w:placeholder>
          <w:text/>
        </w:sdtPr>
        <w:sdtContent>
          <w:r>
            <w:rPr/>
            <w:t>Uma possível associação entre as duas frameworks é a utilização do ITIL para gerir o suporte do serviço de IT, enquanto o eTOM é utilizado para gerir as operações de negócio em telecomunicações.</w:t>
          </w:r>
        </w:sdtContent>
      </w:sdt>
    </w:p>
    <w:p>
      <w:pPr>
        <w:pStyle w:val="Normal"/>
        <w:rPr/>
      </w:pPr>
      <w:r>
        <w:rPr/>
        <w:t>Q5 – Qual o padrão internacional usado no eTOM</w:t>
      </w:r>
    </w:p>
    <w:p>
      <w:pPr>
        <w:pStyle w:val="Normal"/>
        <w:rPr/>
      </w:pPr>
      <w:sdt>
        <w:sdtPr>
          <w:id w:val="805477107"/>
          <w:placeholder>
            <w:docPart w:val="DefaultPlaceholder_-1854013440"/>
          </w:placeholder>
          <w:text/>
        </w:sdtPr>
        <w:sdtContent>
          <w:r>
            <w:rPr/>
            <w:t>O padrão internacional usado no eTOM é o TM Forum Frameworx</w:t>
          </w:r>
        </w:sdtContent>
      </w:sdt>
    </w:p>
    <w:p>
      <w:pPr>
        <w:pStyle w:val="Normal"/>
        <w:rPr/>
      </w:pPr>
      <w:r>
        <w:rPr/>
        <w:t>Q6 – O ITIL foi adoptado por qual padrão internacional</w:t>
      </w:r>
    </w:p>
    <w:p>
      <w:pPr>
        <w:pStyle w:val="Normal"/>
        <w:rPr/>
      </w:pPr>
      <w:sdt>
        <w:sdtPr>
          <w:id w:val="953482118"/>
          <w:placeholder>
            <w:docPart w:val="DefaultPlaceholder_-1854013440"/>
          </w:placeholder>
          <w:text/>
        </w:sdtPr>
        <w:sdtContent>
          <w:r>
            <w:rPr/>
            <w:t>Clique ou toque aqui para introduzir texto.</w:t>
          </w:r>
        </w:sdtContent>
      </w:sdt>
    </w:p>
    <w:p>
      <w:pPr>
        <w:pStyle w:val="Normal"/>
        <w:rPr/>
      </w:pPr>
      <w:r>
        <w:rPr/>
        <w:t>Q7 – Exemplo de associação direta entre ITIL e processos eTOM</w:t>
      </w:r>
    </w:p>
    <w:p>
      <w:pPr>
        <w:pStyle w:val="Normal"/>
        <w:rPr/>
      </w:pPr>
      <w:sdt>
        <w:sdtPr>
          <w:id w:val="1581599443"/>
          <w:placeholder>
            <w:docPart w:val="DefaultPlaceholder_-1854013440"/>
          </w:placeholder>
          <w:text/>
        </w:sdtPr>
        <w:sdtContent>
          <w:r>
            <w:rPr/>
            <w:t>Processo de gestão de incidentes do ITIL pode ser associado ao processo de gestão de problemas do eTOM.</w:t>
          </w:r>
        </w:sdtContent>
      </w:sdt>
    </w:p>
    <w:p>
      <w:pPr>
        <w:pStyle w:val="Normal"/>
        <w:rPr/>
      </w:pPr>
      <w:r>
        <w:rPr/>
        <w:t>Q8 – eTOM e ITIL são complementares? Porquê?</w:t>
      </w:r>
    </w:p>
    <w:p>
      <w:pPr>
        <w:pStyle w:val="Normal"/>
        <w:rPr/>
      </w:pPr>
      <w:sdt>
        <w:sdtPr>
          <w:id w:val="739015336"/>
          <w:placeholder>
            <w:docPart w:val="DefaultPlaceholder_-1854013440"/>
          </w:placeholder>
          <w:text/>
        </w:sdtPr>
        <w:sdtContent>
          <w:r>
            <w:rPr/>
            <w:t>Sim, porque abordam áreas diferentes da gestão de serviços de IT, com objetivos distintos.</w:t>
          </w:r>
        </w:sdtContent>
      </w:sdt>
    </w:p>
    <w:p>
      <w:pPr>
        <w:pStyle w:val="Normal"/>
        <w:rPr/>
      </w:pPr>
      <w:r>
        <w:rPr/>
        <w:t xml:space="preserve">Q9 – Beneficios para o cliente em associar ITIL e eTOM </w:t>
      </w:r>
    </w:p>
    <w:p>
      <w:pPr>
        <w:pStyle w:val="Normal"/>
        <w:rPr/>
      </w:pPr>
      <w:sdt>
        <w:sdtPr>
          <w:id w:val="749099951"/>
          <w:placeholder>
            <w:docPart w:val="DefaultPlaceholder_-1854013440"/>
          </w:placeholder>
          <w:text/>
        </w:sdtPr>
        <w:sdtContent>
          <w:r>
            <w:rPr/>
            <w:t>Melhoria da qualidade dos serviços, maior eficiência, redução de riscos e melhoria de comunicação.</w:t>
          </w:r>
        </w:sdtContent>
      </w:sdt>
    </w:p>
    <w:p>
      <w:pPr>
        <w:pStyle w:val="Normal"/>
        <w:rPr/>
      </w:pPr>
      <w:r>
        <w:rPr/>
        <w:t>Q10 – Vantagens para o negócio</w:t>
      </w:r>
    </w:p>
    <w:p>
      <w:pPr>
        <w:pStyle w:val="Normal"/>
        <w:rPr/>
      </w:pPr>
      <w:sdt>
        <w:sdtPr>
          <w:id w:val="1838079433"/>
          <w:placeholder>
            <w:docPart w:val="DefaultPlaceholder_-1854013440"/>
          </w:placeholder>
          <w:text/>
        </w:sdtPr>
        <w:sdtContent>
          <w:r>
            <w:rPr/>
            <w:t>Melhoria na qualidade dos serviços, redução de custos, melhoria da satisfação do cliente e maior alinhamento com os objetivos do negócio.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 wp14:anchorId="3F838CDA">
                <wp:simplePos x="0" y="0"/>
                <wp:positionH relativeFrom="column">
                  <wp:posOffset>-704850</wp:posOffset>
                </wp:positionH>
                <wp:positionV relativeFrom="paragraph">
                  <wp:posOffset>2364740</wp:posOffset>
                </wp:positionV>
                <wp:extent cx="7151370" cy="503555"/>
                <wp:effectExtent l="0" t="0" r="0" b="0"/>
                <wp:wrapNone/>
                <wp:docPr id="1" name="Grupo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400" cy="503640"/>
                          <a:chOff x="0" y="0"/>
                          <a:chExt cx="7151400" cy="503640"/>
                        </a:xfrm>
                      </wpg:grpSpPr>
                      <wpg:grpSp>
                        <wpg:cNvGrpSpPr/>
                        <wpg:grpSpPr>
                          <a:xfrm>
                            <a:off x="0" y="19080"/>
                            <a:ext cx="7151400" cy="484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151400" cy="484560"/>
                            </a:xfrm>
                            <a:prstGeom prst="rect">
                              <a:avLst/>
                            </a:prstGeom>
                            <a:solidFill>
                              <a:srgbClr val="3ecfd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760" y="102240"/>
                              <a:ext cx="6989400" cy="245880"/>
                            </a:xfrm>
                            <a:prstGeom prst="rect">
                              <a:avLst/>
                            </a:prstGeom>
                            <a:solidFill>
                              <a:srgbClr val="3ecfd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Web"/>
                                  <w:spacing w:lineRule="exact" w:line="336" w:beforeAutospacing="0" w:before="0" w:afterAutospacing="0" w:after="0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color w:val="F9FCFF"/>
                                    <w:kern w:val="2"/>
                                    <w:sz w:val="20"/>
                                  </w:rPr>
                                  <w:t xml:space="preserve">UFCD5892 - </w:t>
                                </w:r>
                                <w:r>
                                  <w:rPr>
                                    <w:rFonts w:cs="Arial" w:ascii="Arial" w:hAnsi="Arial"/>
                                    <w:color w:val="F9FCFF"/>
                                    <w:kern w:val="2"/>
                                    <w:sz w:val="16"/>
                                  </w:rPr>
                                  <w:t>Modelos</w:t>
                                </w:r>
                                <w:r>
                                  <w:rPr>
                                    <w:rFonts w:cs="Arial" w:ascii="Arial" w:hAnsi="Arial"/>
                                    <w:color w:val="F9FCFF"/>
                                    <w:kern w:val="2"/>
                                    <w:sz w:val="20"/>
                                  </w:rPr>
                                  <w:t xml:space="preserve"> de gestão de redes e de suporte a clientes - CET Cibersegurança (8493)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0" name="Picture 1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6320" y="0"/>
                            <a:ext cx="1244520" cy="414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upo 4" style="position:absolute;margin-left:-55.5pt;margin-top:186.2pt;width:563.1pt;height:39.65pt" coordorigin="-1110,3724" coordsize="11262,793">
                <v:group id="shape_0" style="position:absolute;left:-1110;top:3754;width:11262;height:763">
                  <v:rect id="shape_0" ID="AutoShape 10" path="m0,0l-2147483645,0l-2147483645,-2147483646l0,-2147483646xe" fillcolor="#3ecfdf" stroked="f" o:allowincell="f" style="position:absolute;left:-1110;top:3754;width:11261;height:762;mso-wrap-style:none;v-text-anchor:middle">
                    <v:fill o:detectmouseclick="t" type="solid" color2="#c13020"/>
                    <v:stroke color="#3465a4" joinstyle="round" endcap="flat"/>
                    <w10:wrap type="none"/>
                  </v:rect>
                  <v:rect id="shape_0" ID="TextBox 11" path="m0,0l-2147483645,0l-2147483645,-2147483646l0,-2147483646xe" fillcolor="#3ecfdf" stroked="f" o:allowincell="f" style="position:absolute;left:-945;top:3915;width:11006;height:386;mso-wrap-style:square;v-text-anchor:top">
                    <v:fill o:detectmouseclick="t" type="solid" color2="#c13020"/>
                    <v:stroke color="#3465a4" joinstyle="round" endcap="flat"/>
                    <v:textbox>
                      <w:txbxContent>
                        <w:p>
                          <w:pPr>
                            <w:pStyle w:val="NormalWeb"/>
                            <w:spacing w:lineRule="exact" w:line="336" w:beforeAutospacing="0" w:before="0" w:afterAutospacing="0" w:after="0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cs="Arial" w:ascii="Arial" w:hAnsi="Arial"/>
                              <w:color w:val="F9FCFF"/>
                              <w:kern w:val="2"/>
                              <w:sz w:val="20"/>
                            </w:rPr>
                            <w:t xml:space="preserve">UFCD5892 - </w:t>
                          </w:r>
                          <w:r>
                            <w:rPr>
                              <w:rFonts w:cs="Arial" w:ascii="Arial" w:hAnsi="Arial"/>
                              <w:color w:val="F9FCFF"/>
                              <w:kern w:val="2"/>
                              <w:sz w:val="16"/>
                            </w:rPr>
                            <w:t>Modelos</w:t>
                          </w:r>
                          <w:r>
                            <w:rPr>
                              <w:rFonts w:cs="Arial" w:ascii="Arial" w:hAnsi="Arial"/>
                              <w:color w:val="F9FCFF"/>
                              <w:kern w:val="2"/>
                              <w:sz w:val="20"/>
                            </w:rPr>
                            <w:t xml:space="preserve"> de gestão de redes e de suporte a clientes - CET Cibersegurança (8493) </w:t>
                          </w:r>
                        </w:p>
                      </w:txbxContent>
                    </v:textbox>
                    <w10:wrap type="none"/>
                  </v:rect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2" stroked="f" o:allowincell="f" style="position:absolute;left:-990;top:3724;width:1959;height:652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sectPr>
      <w:headerReference w:type="default" r:id="rId4"/>
      <w:type w:val="continuous"/>
      <w:pgSz w:w="11906" w:h="16838"/>
      <w:pgMar w:left="1440" w:right="1440" w:gutter="0" w:header="708" w:top="1440" w:footer="0" w:bottom="1440"/>
      <w:formProt w:val="tru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Robot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Roboto" w:hAnsi="Roboto"/>
        <w:sz w:val="20"/>
        <w:szCs w:val="28"/>
        <w:u w:val="single"/>
      </w:rPr>
    </w:pPr>
    <w:r>
      <w:rPr>
        <w:rFonts w:ascii="Roboto" w:hAnsi="Roboto"/>
        <w:color w:val="1F1F1F"/>
        <w:sz w:val="20"/>
        <w:szCs w:val="28"/>
        <w:u w:val="single"/>
        <w:shd w:fill="FFFFFF" w:val="clear"/>
      </w:rPr>
      <w:t>CET Cibersegurança (8493) - UFCD5892 - Modelos de gestão de redes e de suporte a clientes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8zRXQZG8ad6km1Jvh4dtCfsb80OZzZ8Sso2Z8efJNqp+T5FMxDQeHnxANXlOKyHGPIkQ37g6o3I+g1Q1dIgLkg==" w:salt="c2U+DsIua5N/b0aXh4PZdA==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Header"/>
    <w:uiPriority w:val="99"/>
    <w:qFormat/>
    <w:rsid w:val="00e97b7e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e97b7e"/>
    <w:rPr/>
  </w:style>
  <w:style w:type="character" w:styleId="PlaceholderText">
    <w:name w:val="Placeholder Text"/>
    <w:basedOn w:val="DefaultParagraphFont"/>
    <w:uiPriority w:val="99"/>
    <w:semiHidden/>
    <w:qFormat/>
    <w:rsid w:val="00e97b7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e97b7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e97b7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c87e72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PT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8BD4EC-8114-4617-9071-18C19BF9A4AA}"/>
      </w:docPartPr>
      <w:docPartBody>
        <w:p w:rsidR="00920FCC" w:rsidRDefault="00026AFE">
          <w:r w:rsidRPr="005E2494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FE"/>
    <w:rsid w:val="00026AFE"/>
    <w:rsid w:val="000561E4"/>
    <w:rsid w:val="00382108"/>
    <w:rsid w:val="00920FCC"/>
    <w:rsid w:val="00AF3AB2"/>
    <w:rsid w:val="00C64191"/>
    <w:rsid w:val="00E5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26A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LibreOffice/7.4.5.1$Windows_X86_64 LibreOffice_project/9c0871452b3918c1019dde9bfac75448afc4b57f</Application>
  <AppVersion>15.0000</AppVersion>
  <Pages>1</Pages>
  <Words>336</Words>
  <Characters>1641</Characters>
  <CharactersWithSpaces>1946</CharactersWithSpaces>
  <Paragraphs>24</Paragraphs>
  <Company>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2023-02-16T22:17:00Z</dcterms:created>
  <dc:creator>Joao Esteves Pina</dc:creator>
  <dc:description/>
  <dc:language>en-US</dc:language>
  <cp:lastModifiedBy/>
  <dcterms:modified xsi:type="dcterms:W3CDTF">2023-04-22T22:09:39Z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