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Identificação do formando: </w:t>
      </w:r>
      <w:sdt>
        <w:sdtPr>
          <w:id w:val="1821752671"/>
          <w:placeholder>
            <w:docPart w:val="DefaultPlaceholder_-1854013440"/>
          </w:placeholder>
          <w:text/>
        </w:sdtPr>
        <w:sdtContent>
          <w:r>
            <w:rPr/>
            <w:t>João Rodrigo Mota da Costa</w:t>
          </w:r>
        </w:sdtContent>
      </w:sdt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Sessao_6 – Ficha de trabalho</w:t>
      </w:r>
    </w:p>
    <w:p>
      <w:pPr>
        <w:pStyle w:val="Normal"/>
        <w:rPr/>
      </w:pPr>
      <w:r>
        <w:rPr/>
        <w:t>Q1 – Objetivos comuns eTOM e ITIL</w:t>
      </w:r>
    </w:p>
    <w:p>
      <w:pPr>
        <w:pStyle w:val="Normal"/>
        <w:rPr/>
      </w:pPr>
      <w:sdt>
        <w:sdtPr>
          <w:id w:val="2068829251"/>
          <w:placeholder>
            <w:docPart w:val="DefaultPlaceholder_-1854013440"/>
          </w:placeholder>
          <w:text/>
        </w:sdtPr>
        <w:sdtContent>
          <w:r>
            <w:rPr/>
            <w:t>Fornecer um conjunto de práticas e orientação para a gestão eficaz de serviços de telecomunicações e serviços de IT.</w:t>
          </w:r>
        </w:sdtContent>
      </w:sdt>
    </w:p>
    <w:p>
      <w:pPr>
        <w:pStyle w:val="Normal"/>
        <w:rPr/>
      </w:pPr>
      <w:r>
        <w:rPr/>
        <w:t>Q2 – É pratica comum incorporar ITIL no eTOM?</w:t>
      </w:r>
    </w:p>
    <w:p>
      <w:pPr>
        <w:pStyle w:val="Normal"/>
        <w:rPr/>
      </w:pPr>
      <w:sdt>
        <w:sdtPr>
          <w:id w:val="158024941"/>
          <w:placeholder>
            <w:docPart w:val="DefaultPlaceholder_-1854013440"/>
          </w:placeholder>
          <w:text/>
        </w:sdtPr>
        <w:sdtContent>
          <w:r>
            <w:rPr/>
            <w:t>Sim, pois eles são complementares e têm objetivos comuns na gestão de serviços de IT.</w:t>
          </w:r>
        </w:sdtContent>
      </w:sdt>
    </w:p>
    <w:p>
      <w:pPr>
        <w:pStyle w:val="Normal"/>
        <w:rPr/>
      </w:pPr>
      <w:r>
        <w:rPr/>
        <w:t>Q3 – ITIL e eTOM quais as suas áreas base de intervenção?</w:t>
      </w:r>
    </w:p>
    <w:p>
      <w:pPr>
        <w:pStyle w:val="Normal"/>
        <w:rPr/>
      </w:pPr>
      <w:sdt>
        <w:sdtPr>
          <w:id w:val="61812765"/>
          <w:placeholder>
            <w:docPart w:val="DefaultPlaceholder_-1854013440"/>
          </w:placeholder>
          <w:text/>
        </w:sdtPr>
        <w:sdtContent>
          <w:r>
            <w:rPr/>
            <w:t>Gestão de serviços de tecnologia de informação.</w:t>
          </w:r>
        </w:sdtContent>
      </w:sdt>
    </w:p>
    <w:p>
      <w:pPr>
        <w:pStyle w:val="Normal"/>
        <w:rPr/>
      </w:pPr>
      <w:r>
        <w:rPr/>
        <w:t>Q4 – Como pode a incorporação do ITIL no eTOM melhorar a gestão de serviços?</w:t>
      </w:r>
    </w:p>
    <w:p>
      <w:pPr>
        <w:pStyle w:val="Normal"/>
        <w:rPr/>
      </w:pPr>
      <w:sdt>
        <w:sdtPr>
          <w:id w:val="2092106068"/>
          <w:placeholder>
            <w:docPart w:val="DefaultPlaceholder_-1854013440"/>
          </w:placeholder>
          <w:text/>
        </w:sdtPr>
        <w:sdtContent>
          <w:r>
            <w:rPr/>
            <w:t>Melhorar a qualidade e a eficiência dos processos de gestão de serviços, garantindo maior clareza e consistência e melhorando o serviço ao cliente.</w:t>
          </w:r>
        </w:sdtContent>
      </w:sdt>
    </w:p>
    <w:p>
      <w:pPr>
        <w:pStyle w:val="Normal"/>
        <w:rPr/>
      </w:pPr>
      <w:r>
        <w:rPr/>
        <w:t>Q5 – Exemplos de áreas comuns entre frameworks?</w:t>
      </w:r>
    </w:p>
    <w:p>
      <w:pPr>
        <w:pStyle w:val="Normal"/>
        <w:rPr/>
      </w:pPr>
      <w:sdt>
        <w:sdtPr>
          <w:id w:val="252503722"/>
          <w:placeholder>
            <w:docPart w:val="DefaultPlaceholder_-1854013440"/>
          </w:placeholder>
          <w:text/>
        </w:sdtPr>
        <w:sdtContent>
          <w:r>
            <w:rPr/>
            <w:t>Gestão de incidentes; Gestão de problemas; Gestão de mudanças; Gestão de capacidade; Gestão de configuração.</w:t>
          </w:r>
        </w:sdtContent>
      </w:sdt>
    </w:p>
    <w:p>
      <w:pPr>
        <w:pStyle w:val="Normal"/>
        <w:rPr/>
      </w:pPr>
      <w:r>
        <w:rPr/>
        <w:t>Q6 – No cenário Change Management qual o objetivo principal?</w:t>
      </w:r>
    </w:p>
    <w:p>
      <w:pPr>
        <w:pStyle w:val="Normal"/>
        <w:rPr/>
      </w:pPr>
      <w:sdt>
        <w:sdtPr>
          <w:id w:val="9174506"/>
          <w:placeholder>
            <w:docPart w:val="DefaultPlaceholder_-1854013440"/>
          </w:placeholder>
          <w:text/>
        </w:sdtPr>
        <w:sdtContent>
          <w:r>
            <w:rPr/>
            <w:t>Garantir que as mudanças na infraestrutura de IT são geridas de forma controlada e eficaz, ao minimizar o impacto negativo no serviço para os utilizadores.</w:t>
          </w:r>
        </w:sdtContent>
      </w:sdt>
    </w:p>
    <w:p>
      <w:pPr>
        <w:pStyle w:val="Normal"/>
        <w:rPr/>
      </w:pPr>
      <w:r>
        <w:rPr/>
        <w:t>Q7 – No cenário Change Management quem define a politica e guião da mudança?</w:t>
      </w:r>
    </w:p>
    <w:p>
      <w:pPr>
        <w:pStyle w:val="Normal"/>
        <w:rPr/>
      </w:pPr>
      <w:sdt>
        <w:sdtPr>
          <w:id w:val="67058249"/>
          <w:placeholder>
            <w:docPart w:val="DefaultPlaceholder_-1854013440"/>
          </w:placeholder>
          <w:text/>
        </w:sdtPr>
        <w:sdtContent>
          <w:r>
            <w:rPr/>
            <w:t>A organização de IT em conjunto com as partes interessadas relevantes, incluindo a equipa de gestão de mudanças, proprietários de serviços e processos, proprietários de ativos, equipa de suporte técnico, equipa de gestão de incidentes, entre outros.</w:t>
          </w:r>
        </w:sdtContent>
      </w:sdt>
    </w:p>
    <w:p>
      <w:pPr>
        <w:pStyle w:val="Normal"/>
        <w:rPr/>
      </w:pPr>
      <w:r>
        <w:rPr/>
        <w:t>Q8 – No cenário Incident Management qual o objetivo principal?</w:t>
      </w:r>
    </w:p>
    <w:p>
      <w:pPr>
        <w:pStyle w:val="Normal"/>
        <w:rPr/>
      </w:pPr>
      <w:sdt>
        <w:sdtPr>
          <w:id w:val="61899329"/>
          <w:placeholder>
            <w:docPart w:val="DefaultPlaceholder_-1854013440"/>
          </w:placeholder>
          <w:text/>
        </w:sdtPr>
        <w:sdtContent>
          <w:r>
            <w:rPr/>
            <w:t>Restaurar o serviço afetado o mais rápido possível, minimizando o impacto no negócio.</w:t>
          </w:r>
        </w:sdtContent>
      </w:sdt>
    </w:p>
    <w:p>
      <w:pPr>
        <w:pStyle w:val="Normal"/>
        <w:rPr/>
      </w:pPr>
      <w:r>
        <w:rPr/>
        <w:t>Q9 – No cenário Incident Management para que serve o Service desk?</w:t>
      </w:r>
    </w:p>
    <w:p>
      <w:pPr>
        <w:pStyle w:val="Normal"/>
        <w:rPr/>
      </w:pPr>
      <w:sdt>
        <w:sdtPr>
          <w:id w:val="1710314079"/>
          <w:placeholder>
            <w:docPart w:val="DefaultPlaceholder_-1854013440"/>
          </w:placeholder>
          <w:text/>
        </w:sdtPr>
        <w:sdtContent>
          <w:r>
            <w:rPr/>
            <w:t>O service desk é responsável por receber e registar todos os incidentes relatados pelos utilizadores.</w:t>
          </w:r>
        </w:sdtContent>
      </w:sdt>
    </w:p>
    <w:p>
      <w:pPr>
        <w:pStyle w:val="Normal"/>
        <w:rPr/>
      </w:pPr>
      <w:r>
        <w:rPr/>
        <w:t>Q10 – Vantagem do ITIL e eTOM na simplificação dos processos?</w:t>
      </w:r>
    </w:p>
    <w:p>
      <w:pPr>
        <w:pStyle w:val="Normal"/>
        <w:rPr/>
      </w:pPr>
      <w:sdt>
        <w:sdtPr>
          <w:id w:val="293727766"/>
          <w:placeholder>
            <w:docPart w:val="DefaultPlaceholder_-1854013440"/>
          </w:placeholder>
          <w:text/>
        </w:sdtPr>
        <w:sdtContent>
          <w:r>
            <w:rPr/>
            <w:t>Redução de custos, aumento da eficiência e melhoria da qualidade do serviço, ao fornecer uma abordagem padrão para gestão de serviços de IT e permitem que as organizações adaptem os processos às suas necessidades específicas.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3F838CDA">
                <wp:simplePos x="0" y="0"/>
                <wp:positionH relativeFrom="column">
                  <wp:posOffset>-704850</wp:posOffset>
                </wp:positionH>
                <wp:positionV relativeFrom="paragraph">
                  <wp:posOffset>2364740</wp:posOffset>
                </wp:positionV>
                <wp:extent cx="7151370" cy="503555"/>
                <wp:effectExtent l="0" t="0" r="0" b="0"/>
                <wp:wrapNone/>
                <wp:docPr id="1" name="Grupo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400" cy="503640"/>
                          <a:chOff x="0" y="0"/>
                          <a:chExt cx="7151400" cy="503640"/>
                        </a:xfrm>
                      </wpg:grpSpPr>
                      <wpg:grpSp>
                        <wpg:cNvGrpSpPr/>
                        <wpg:grpSpPr>
                          <a:xfrm>
                            <a:off x="0" y="19080"/>
                            <a:ext cx="7151400" cy="484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151400" cy="484560"/>
                            </a:xfrm>
                            <a:prstGeom prst="rect">
                              <a:avLst/>
                            </a:prstGeom>
                            <a:solidFill>
                              <a:srgbClr val="3ecfd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760" y="102240"/>
                              <a:ext cx="6989400" cy="245880"/>
                            </a:xfrm>
                            <a:prstGeom prst="rect">
                              <a:avLst/>
                            </a:prstGeom>
                            <a:solidFill>
                              <a:srgbClr val="3ecfd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Web"/>
                                  <w:spacing w:lineRule="exact" w:line="336" w:beforeAutospacing="0" w:before="0" w:afterAutospacing="0" w:after="0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20"/>
                                  </w:rPr>
                                  <w:t xml:space="preserve">UFCD5892 - </w:t>
                                </w: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16"/>
                                  </w:rPr>
                                  <w:t>Modelos</w:t>
                                </w: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20"/>
                                  </w:rPr>
                                  <w:t xml:space="preserve"> de gestão de redes e de suporte a clientes - CET Cibersegurança (8493)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Picture 1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6320" y="0"/>
                            <a:ext cx="1244520" cy="414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4" style="position:absolute;margin-left:-55.5pt;margin-top:186.2pt;width:563.1pt;height:39.65pt" coordorigin="-1110,3724" coordsize="11262,793">
                <v:group id="shape_0" style="position:absolute;left:-1110;top:3754;width:11262;height:763">
                  <v:rect id="shape_0" ID="AutoShape 10" path="m0,0l-2147483645,0l-2147483645,-2147483646l0,-2147483646xe" fillcolor="#3ecfdf" stroked="f" o:allowincell="f" style="position:absolute;left:-1110;top:3754;width:11261;height:762;mso-wrap-style:none;v-text-anchor:middle">
                    <v:fill o:detectmouseclick="t" type="solid" color2="#c13020"/>
                    <v:stroke color="#3465a4" joinstyle="round" endcap="flat"/>
                    <w10:wrap type="none"/>
                  </v:rect>
                  <v:rect id="shape_0" ID="TextBox 11" path="m0,0l-2147483645,0l-2147483645,-2147483646l0,-2147483646xe" fillcolor="#3ecfdf" stroked="f" o:allowincell="f" style="position:absolute;left:-945;top:3915;width:11006;height:386;mso-wrap-style:square;v-text-anchor:top">
                    <v:fill o:detectmouseclick="t" type="solid" color2="#c13020"/>
                    <v:stroke color="#3465a4" joinstyle="round" endcap="flat"/>
                    <v:textbox>
                      <w:txbxContent>
                        <w:p>
                          <w:pPr>
                            <w:pStyle w:val="NormalWeb"/>
                            <w:spacing w:lineRule="exact" w:line="336" w:beforeAutospacing="0" w:before="0" w:afterAutospacing="0" w:after="0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20"/>
                            </w:rPr>
                            <w:t xml:space="preserve">UFCD5892 - </w:t>
                          </w: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16"/>
                            </w:rPr>
                            <w:t>Modelos</w:t>
                          </w: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20"/>
                            </w:rPr>
                            <w:t xml:space="preserve"> de gestão de redes e de suporte a clientes - CET Cibersegurança (8493) </w:t>
                          </w:r>
                        </w:p>
                      </w:txbxContent>
                    </v:textbox>
                    <w10:wrap type="none"/>
                  </v: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2" stroked="f" o:allowincell="f" style="position:absolute;left:-990;top:3724;width:1959;height:652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>
      <w:headerReference w:type="default" r:id="rId4"/>
      <w:type w:val="continuous"/>
      <w:pgSz w:w="11906" w:h="16838"/>
      <w:pgMar w:left="1440" w:right="1440" w:gutter="0" w:header="708" w:top="1440" w:footer="0" w:bottom="1440"/>
      <w:formProt w:val="tru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Roboto" w:hAnsi="Roboto"/>
        <w:sz w:val="20"/>
        <w:szCs w:val="28"/>
        <w:u w:val="single"/>
      </w:rPr>
    </w:pPr>
    <w:r>
      <w:rPr>
        <w:rFonts w:ascii="Roboto" w:hAnsi="Roboto"/>
        <w:color w:val="1F1F1F"/>
        <w:sz w:val="20"/>
        <w:szCs w:val="28"/>
        <w:u w:val="single"/>
        <w:shd w:fill="FFFFFF" w:val="clear"/>
      </w:rPr>
      <w:t>CET Cibersegurança (8493) - UFCD5892 - Modelos de gestão de redes e de suporte a clientes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ArELnmAMUYRwX8NxXWQluQVr2RGfIbyCY2HxE3pub+/a/J17eTtaT3gOPsRIk4Vw7ZF6nefN0eJPXLHfVRlcOA==" w:salt="VMGDcbwgt+zTxL0EyPFblg==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Header"/>
    <w:uiPriority w:val="99"/>
    <w:qFormat/>
    <w:rsid w:val="00e97b7e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e97b7e"/>
    <w:rPr/>
  </w:style>
  <w:style w:type="character" w:styleId="PlaceholderText">
    <w:name w:val="Placeholder Text"/>
    <w:basedOn w:val="DefaultParagraphFont"/>
    <w:uiPriority w:val="99"/>
    <w:semiHidden/>
    <w:qFormat/>
    <w:rsid w:val="00e97b7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f03c8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PT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8BD4EC-8114-4617-9071-18C19BF9A4AA}"/>
      </w:docPartPr>
      <w:docPartBody>
        <w:p w:rsidR="004873FC" w:rsidRDefault="00026AFE">
          <w:r w:rsidRPr="005E2494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FE"/>
    <w:rsid w:val="00026AFE"/>
    <w:rsid w:val="004873FC"/>
    <w:rsid w:val="006B4488"/>
    <w:rsid w:val="009A0BC0"/>
    <w:rsid w:val="00C6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26A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LibreOffice/7.4.5.1$Windows_X86_64 LibreOffice_project/9c0871452b3918c1019dde9bfac75448afc4b57f</Application>
  <AppVersion>15.0000</AppVersion>
  <Pages>1</Pages>
  <Words>368</Words>
  <Characters>1849</Characters>
  <CharactersWithSpaces>2183</CharactersWithSpaces>
  <Paragraphs>24</Paragraphs>
  <Company>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2023-02-16T22:45:00Z</dcterms:created>
  <dc:creator>Joao Esteves Pina</dc:creator>
  <dc:description/>
  <dc:language>en-US</dc:language>
  <cp:lastModifiedBy/>
  <dcterms:modified xsi:type="dcterms:W3CDTF">2023-04-22T22:32:11Z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