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2255" cy="4404360"/>
                <wp:effectExtent l="0" t="0" r="0" b="0"/>
                <wp:wrapSquare wrapText="bothSides"/>
                <wp:docPr id="1" name="Frame1"/>
                <a:graphic xmlns:a="http://schemas.openxmlformats.org/drawingml/2006/main">
                  <a:graphicData uri="http://schemas.microsoft.com/office/word/2010/wordprocessingShape">
                    <wps:wsp>
                      <wps:cNvSpPr/>
                      <wps:spPr>
                        <a:xfrm>
                          <a:off x="0" y="0"/>
                          <a:ext cx="1531800" cy="440388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476.3pt;width:120.55pt;height:346.7pt;mso-wrap-style:none;v-text-anchor:middle;mso-position-horizontal-relative:margin;mso-position-vertical-relative:page">
                <v:fill o:detectmouseclick="t" on="false"/>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with SARS-COIVD-2 amplicon sequencing in order to track wastewater populations of the virus.  As part of this workflow, we developed a program for both variant reporting and removal of PCR generated chimeric sequences.  With these methods, we are able to track viral population dynamics over time.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5">
            <wp:simplePos x="0" y="0"/>
            <wp:positionH relativeFrom="column">
              <wp:posOffset>1574165</wp:posOffset>
            </wp:positionH>
            <wp:positionV relativeFrom="paragraph">
              <wp:posOffset>209550</wp:posOffset>
            </wp:positionV>
            <wp:extent cx="4192905" cy="3110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SAM Refiner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SAM Refiner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w:t>
      </w:r>
      <w:r>
        <w:rPr>
          <w:b w:val="false"/>
          <w:bCs w:val="false"/>
        </w:rPr>
        <w:t>olution</w:t>
      </w:r>
      <w:r>
        <w:rPr>
          <w:b w:val="false"/>
          <w:bCs w:val="false"/>
        </w:rPr>
        <w:t xml:space="preserve">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6">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32"/>
                    <a:stretch>
                      <a:fillRect/>
                    </a:stretch>
                  </pic:blipFill>
                  <pic:spPr bwMode="auto">
                    <a:xfrm>
                      <a:off x="0" y="0"/>
                      <a:ext cx="4328160" cy="2132965"/>
                    </a:xfrm>
                    <a:prstGeom prst="rect">
                      <a:avLst/>
                    </a:prstGeom>
                  </pic:spPr>
                </pic:pic>
              </a:graphicData>
            </a:graphic>
          </wp:anchor>
        </w:drawing>
      </w:r>
      <w:r>
        <w:rPr>
          <w:b/>
        </w:rPr>
        <w:t>T</w:t>
      </w:r>
      <w:r>
        <w:rPr>
          <w:b/>
        </w:rPr>
        <w:t xml:space="preserve">able 1. </w:t>
      </w:r>
      <w:r>
        <w:rPr>
          <w:b/>
          <w:bCs/>
          <w:szCs w:val="18"/>
        </w:rPr>
        <w:t>PCR primers used to amplify Spike regions for MiSeq sequencing.</w:t>
      </w:r>
      <w:r>
        <w:rPr>
          <w:b w:val="false"/>
          <w:bCs w:val="false"/>
          <w:szCs w:val="18"/>
        </w:rPr>
        <w:t xml:space="preserve">  </w:t>
      </w:r>
      <w:r>
        <w:rPr>
          <w:rFonts w:eastAsia="Times New Roman" w:cs="Times New Roman"/>
          <w:b w:val="false"/>
          <w:bCs w:val="false"/>
          <w:color w:val="000000"/>
          <w:kern w:val="0"/>
          <w:sz w:val="18"/>
          <w:szCs w:val="18"/>
          <w:lang w:val="en-US" w:eastAsia="de-DE" w:bidi="en-US"/>
        </w:rPr>
        <w:t>Upper case</w:t>
      </w:r>
      <w:r>
        <w:rPr>
          <w:b w:val="false"/>
          <w:bCs w:val="false"/>
          <w:szCs w:val="18"/>
        </w:rPr>
        <w:t xml:space="preserve"> indicate SARS-COVID-2 sequence.  Lower case indicates adapter sequence.</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7">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 xml:space="preserve">Figure 2 Command Line Usage of </w:t>
      </w:r>
      <w:r>
        <w:rPr>
          <w:rFonts w:eastAsia="Times New Roman" w:cs="Times New Roman"/>
          <w:b/>
          <w:bCs/>
          <w:color w:val="000000"/>
          <w:kern w:val="0"/>
          <w:sz w:val="18"/>
          <w:szCs w:val="20"/>
          <w:lang w:val="en-US" w:eastAsia="de-DE" w:bidi="en-US"/>
        </w:rPr>
        <w:t>SAM Refiner</w:t>
      </w:r>
      <w:r>
        <w:rPr>
          <w:b/>
          <w:bCs/>
        </w:rPr>
        <w:t>.</w:t>
      </w:r>
      <w:r>
        <w:rPr/>
        <w:t xml:space="preserve">  The standard help output from </w:t>
      </w:r>
      <w:r>
        <w:rPr>
          <w:rFonts w:eastAsia="Times New Roman" w:cs="Times New Roman"/>
          <w:color w:val="000000"/>
          <w:kern w:val="0"/>
          <w:sz w:val="18"/>
          <w:szCs w:val="20"/>
          <w:lang w:val="en-US" w:eastAsia="de-DE" w:bidi="en-US"/>
        </w:rPr>
        <w:t>SAM Refiner</w:t>
      </w:r>
      <w:r>
        <w:rPr/>
        <w:t xml:space="preserve">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8">
            <wp:simplePos x="0" y="0"/>
            <wp:positionH relativeFrom="column">
              <wp:posOffset>1814195</wp:posOffset>
            </wp:positionH>
            <wp:positionV relativeFrom="paragraph">
              <wp:posOffset>55880</wp:posOffset>
            </wp:positionV>
            <wp:extent cx="4152265" cy="17348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8297" t="6191" r="8489" b="44640"/>
                    <a:stretch>
                      <a:fillRect/>
                    </a:stretch>
                  </pic:blipFill>
                  <pic:spPr bwMode="auto">
                    <a:xfrm>
                      <a:off x="0" y="0"/>
                      <a:ext cx="4152265" cy="1734820"/>
                    </a:xfrm>
                    <a:prstGeom prst="rect">
                      <a:avLst/>
                    </a:prstGeom>
                  </pic:spPr>
                </pic:pic>
              </a:graphicData>
            </a:graphic>
          </wp:anchor>
        </w:drawing>
      </w:r>
      <w:r>
        <w:rPr>
          <w:b/>
          <w:bCs/>
        </w:rPr>
        <w:t>F</w:t>
      </w:r>
      <w:r>
        <w:rPr>
          <w:b/>
          <w:bCs/>
        </w:rPr>
        <w:t xml:space="preserve">igure 3. </w:t>
      </w:r>
      <w:r>
        <w:rPr>
          <w:b/>
          <w:bCs/>
        </w:rPr>
        <w:t>F</w:t>
      </w:r>
      <w:r>
        <w:rPr>
          <w:b/>
          <w:bCs/>
        </w:rPr>
        <w:t xml:space="preserve">irst method of detection and removal of chimeras, </w:t>
      </w:r>
      <w:r>
        <w:rPr>
          <w:b/>
          <w:bCs/>
        </w:rPr>
        <w:t>Chimera Removed</w:t>
      </w:r>
      <w:r>
        <w:rPr>
          <w:b/>
          <w:bCs/>
        </w:rPr>
        <w:t>.</w:t>
      </w:r>
      <w:r>
        <w:rPr/>
        <w:t xml:space="preserve"> Using the sequences shown in Sup. 5, the query of the least abundant sequence is shown.  Potential parents whose recombination could result in the query sequence are found.  The abundances of each potential pair are multiplied.  The sum of the multiplied pairs’ abundances (expected) is then compared to the abundance of the query sequence (actual) to determine if the query sequence is a chimera.  If the actual abundance is greater or equal to 1.2 times the expected abundance, the sequence is considered non-chimeric.</w:t>
      </w:r>
    </w:p>
    <w:p>
      <w:pPr>
        <w:pStyle w:val="MDPI31text"/>
        <w:rPr/>
      </w:pPr>
      <w:r>
        <w:rPr/>
        <w:t>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is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drawing>
          <wp:anchor behindDoc="0" distT="0" distB="0" distL="0" distR="0" simplePos="0" locked="0" layoutInCell="0" allowOverlap="1" relativeHeight="9">
            <wp:simplePos x="0" y="0"/>
            <wp:positionH relativeFrom="column">
              <wp:posOffset>1748790</wp:posOffset>
            </wp:positionH>
            <wp:positionV relativeFrom="paragraph">
              <wp:posOffset>81280</wp:posOffset>
            </wp:positionV>
            <wp:extent cx="4053840" cy="30556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4015" t="3458" r="14735" b="53248"/>
                    <a:stretch>
                      <a:fillRect/>
                    </a:stretch>
                  </pic:blipFill>
                  <pic:spPr bwMode="auto">
                    <a:xfrm>
                      <a:off x="0" y="0"/>
                      <a:ext cx="4053840" cy="3055620"/>
                    </a:xfrm>
                    <a:prstGeom prst="rect">
                      <a:avLst/>
                    </a:prstGeom>
                  </pic:spPr>
                </pic:pic>
              </a:graphicData>
            </a:graphic>
          </wp:anchor>
        </w:drawing>
      </w:r>
      <w:r>
        <w:rPr>
          <w:b/>
          <w:bCs/>
        </w:rPr>
        <w:t>F</w:t>
      </w:r>
      <w:r>
        <w:rPr>
          <w:b/>
          <w:bCs/>
        </w:rPr>
        <w:t xml:space="preserve">igure 4. SAM Refiner’s second chimera removal method, </w:t>
      </w:r>
      <w:r>
        <w:rPr>
          <w:b/>
          <w:bCs/>
        </w:rPr>
        <w:t>Covariant Deconvolution</w:t>
      </w:r>
      <w:r>
        <w:rPr>
          <w:b/>
          <w:bCs/>
        </w:rPr>
        <w:t>.</w:t>
      </w:r>
      <w:r>
        <w:rPr/>
        <w:t xml:space="preserve">  A.  Calculations of the singles / expected abundance for one of the unique sequences and of the abundance ratio. 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Four parameters can be altered for the first algorithm.  The abundance ratio that is used as a threshold for selecting potential parents of potential chimera can be set with ‘--foldab’.  Larger values will reduce the likelihood of chimeras being found, but alos make it less likely a sequence will be falsely categories as a chimera.  The multiplier for the parental summed abundance for determining if a sequence is a chimera can be set with ‘--alpha’.  Larger values will increase the likelihood of chimeras being found, but also increase the likelihood of non-chimeras from being mistaken for chimeras.  Redistribution of a chimera’s counts to parent sequences can be disabled with ‘--redist 0’.  The maximum number of chimera removal cycles can be change by ‘--max_cycles’, ei ‘--max_cycles 2’ will only allow two iterations of the chimera removal.  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preparation and sequencing of the same wastewater sample also generally provided similar results, though less consistently.  These differences were more pronounced with low abundant sequences, such as is seen with the two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10">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or lineage P.1.  Sequences from the RBD amplicon matched reference sequence, lineages B.1.1.7 or  P.1, or had the single variations of T478K or L452R.  T478K or L452R are associated with several common lineages.  However, the other variances associated with those lineages were not detected.  While these SNPs could be the result of PCR error, it is also possible the associated lineages exist in the sewershed and simply were not detected due stochastic effects or those SNPs arose in the reference background.  Sequences from the S1S2 amplicon matched lineage B.1.1.7, lineage P.1 or only had the now ubiquitous D614G variation.  The 03-23 S1S2 sample had a sequence containing A688V, which is associated with the P.1 lineage.  However, other variances associated with P.1 were not detected at in that sample.  Instead N679K was associated with A688V.  As that is the only sample where those covariant sequences were observed and the variances are not frequently reported in GISAID (outside of P.1 for A688V), we assigned it to the reference category.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SAM Refiner’s Output for Reporting Unique Sequences, Sup. 2 Example of SAM Refiner’s Output for Reporting Positional NT Calls, Sup. 3  Example of SAM Refiner’s Output for Reporting Insertions and Deletions, Sup. 4  Example of SAM Refiner’s Output for Reporting Covariance, Sup. 5 Sample Unique Sequences Output With Chimeric Sequences, Sup. 6 Sample Output of Sequences </w:t>
      </w:r>
      <w:r>
        <w:rPr/>
        <w:t>of</w:t>
      </w:r>
      <w:r>
        <w:rPr/>
        <w:t xml:space="preserve">  SAM Refiner’</w:t>
      </w:r>
      <w:r>
        <w:rPr/>
        <w:t xml:space="preserve">s </w:t>
      </w:r>
      <w:r>
        <w:rPr/>
        <w:t xml:space="preserve">Chimeras Removed, Sup. 7 Sample Covariance Output With Chimeric Sequences, Sup. 8 Sample Passed Sequences Output from the First Part of SAM Refiner’s </w:t>
      </w:r>
      <w:r>
        <w:rPr>
          <w:rFonts w:eastAsia="Times New Roman" w:cs="Times New Roman"/>
          <w:color w:val="000000"/>
          <w:kern w:val="0"/>
          <w:sz w:val="18"/>
          <w:szCs w:val="20"/>
          <w:lang w:val="en-US" w:eastAsia="en-US" w:bidi="en-US"/>
        </w:rPr>
        <w:t>Covariant Deconvolution</w:t>
      </w:r>
      <w:r>
        <w:rPr/>
        <w:t xml:space="preserve"> Method, Sup. 9 Sample Output of Sequences by SAM Refiner’s </w:t>
      </w:r>
      <w:r>
        <w:rPr>
          <w:rFonts w:eastAsia="Times New Roman" w:cs="Times New Roman"/>
          <w:color w:val="000000"/>
          <w:kern w:val="0"/>
          <w:sz w:val="18"/>
          <w:szCs w:val="20"/>
          <w:lang w:val="en-US" w:eastAsia="en-US" w:bidi="en-US"/>
        </w:rPr>
        <w:t>Covariant Deconvolution</w:t>
      </w:r>
      <w:r>
        <w:rPr/>
        <w:t xml:space="preserve">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23"/>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4"/>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5"/>
        </w:numPr>
        <w:ind w:left="425" w:right="0" w:hanging="425"/>
        <w:rPr/>
      </w:pPr>
      <w:r>
        <w:rPr/>
        <w:t>Wu F., Zhao S., Yu B., Chen Y. M., Wang W., et al. (2020). A new coronavirus associated with human respiratory disease in China. Nature 579 265–269</w:t>
      </w:r>
    </w:p>
    <w:p>
      <w:pPr>
        <w:pStyle w:val="MDPI71References"/>
        <w:numPr>
          <w:ilvl w:val="0"/>
          <w:numId w:val="26"/>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7"/>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8"/>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9"/>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30"/>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31"/>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3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33"/>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34"/>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35"/>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36"/>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37"/>
        </w:numPr>
        <w:ind w:left="425" w:right="0" w:hanging="425"/>
        <w:rPr/>
      </w:pPr>
      <w:r>
        <w:rPr/>
        <w:t xml:space="preserve">Rognes T, Flouri T, Nichols B, Quince C, Mahé F. (2016) VSEARCH: a versatile open source tool for metagenomics. PeerJ 4:e2584. </w:t>
      </w:r>
    </w:p>
    <w:p>
      <w:pPr>
        <w:pStyle w:val="MDPI71References"/>
        <w:numPr>
          <w:ilvl w:val="0"/>
          <w:numId w:val="38"/>
        </w:numPr>
        <w:ind w:left="425" w:right="0" w:hanging="425"/>
        <w:rPr/>
      </w:pPr>
      <w:r>
        <w:rPr/>
        <w:t xml:space="preserve">Langmead B, Salzberg SL. Fast gapped-read alignment with Bowtie 2. Nature Methods. 2012 Mar 4;9(4):357-9. </w:t>
      </w:r>
    </w:p>
    <w:p>
      <w:pPr>
        <w:pStyle w:val="MDPI71References"/>
        <w:numPr>
          <w:ilvl w:val="0"/>
          <w:numId w:val="39"/>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10"/>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13</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13</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5"/>
      <w:gridCol w:w="4539"/>
      <w:gridCol w:w="2273"/>
    </w:tblGrid>
    <w:tr>
      <w:trPr>
        <w:trHeight w:val="686" w:hRule="atLeast"/>
      </w:trPr>
      <w:tc>
        <w:tcPr>
          <w:tcW w:w="3675"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39"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2">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w="http://schemas.openxmlformats.org/wordprocessingml/2006/main">
  <w:zoom w:val="bestFit" w:percent="181"/>
  <w:defaultTabStop w:val="51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fals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fals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fals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fals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fals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fals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fals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510"/>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fals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fals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fals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1"/>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2"/>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fals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fals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fals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fals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fals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fals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fals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fals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fals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fals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3"/>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fals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fals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fals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fals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fals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fals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fals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fals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510"/>
        <w:tab w:val="right" w:pos="8845" w:leader="none"/>
      </w:tabs>
      <w:suppressAutoHyphens w:val="true"/>
      <w:overflowPunct w:val="fals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fals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fals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fals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4"/>
      </w:numPr>
      <w:suppressAutoHyphens w:val="true"/>
      <w:overflowPunct w:val="fals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161</TotalTime>
  <Application>LibreOffice/7.0.4.2$Windows_X86_64 LibreOffice_project/dcf040e67528d9187c66b2379df5ea4407429775</Application>
  <AppVersion>15.0000</AppVersion>
  <Pages>13</Pages>
  <Words>5957</Words>
  <Characters>33205</Characters>
  <CharactersWithSpaces>39270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2021-06-02T07:59:55Z</dcterms:modified>
  <cp:revision>77</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