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3525" cy="4405630"/>
                <wp:effectExtent l="0" t="0" r="0" b="0"/>
                <wp:wrapSquare wrapText="bothSides"/>
                <wp:docPr id="1" name="Frame1"/>
                <a:graphic xmlns:a="http://schemas.openxmlformats.org/drawingml/2006/main">
                  <a:graphicData uri="http://schemas.microsoft.com/office/word/2010/wordprocessingShape">
                    <wps:wsp>
                      <wps:cNvSpPr/>
                      <wps:spPr>
                        <a:xfrm>
                          <a:off x="0" y="0"/>
                          <a:ext cx="1532880" cy="440496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476.3pt;width:120.65pt;height:346.8pt;mso-wrap-style:none;v-text-anchor:middle;mso-position-horizontal-relative:margin;mso-position-vertical-relative:page">
                <v:fill o:detectmouseclick="t" on="false"/>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with SARS-COIVD-2 amplicon sequencing in order to track wastewater populations of the virus.  As part of this workflow, we developed a program for both variant reporting and removal of PCR generated chimeric sequences.  With these methods, we are able to track viral population dynamics over time.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5">
            <wp:simplePos x="0" y="0"/>
            <wp:positionH relativeFrom="column">
              <wp:posOffset>1574165</wp:posOffset>
            </wp:positionH>
            <wp:positionV relativeFrom="paragraph">
              <wp:posOffset>209550</wp:posOffset>
            </wp:positionV>
            <wp:extent cx="4192905" cy="3110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SAM Refiner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SAM Refiner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deconvolution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6">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32"/>
                    <a:stretch>
                      <a:fillRect/>
                    </a:stretch>
                  </pic:blipFill>
                  <pic:spPr bwMode="auto">
                    <a:xfrm>
                      <a:off x="0" y="0"/>
                      <a:ext cx="4328160" cy="2132965"/>
                    </a:xfrm>
                    <a:prstGeom prst="rect">
                      <a:avLst/>
                    </a:prstGeom>
                  </pic:spPr>
                </pic:pic>
              </a:graphicData>
            </a:graphic>
          </wp:anchor>
        </w:drawing>
      </w:r>
      <w:r>
        <w:rPr>
          <w:b/>
        </w:rPr>
        <w:t>T</w:t>
      </w:r>
      <w:r>
        <w:rPr>
          <w:b/>
        </w:rPr>
        <w:t xml:space="preserve">able 1. </w:t>
      </w:r>
      <w:r>
        <w:rPr>
          <w:b/>
          <w:bCs/>
          <w:szCs w:val="18"/>
        </w:rPr>
        <w:t>PCR primers used to amplify Spike regions for MiSeq sequencing.</w:t>
      </w:r>
      <w:r>
        <w:rPr>
          <w:b w:val="false"/>
          <w:bCs w:val="false"/>
          <w:szCs w:val="18"/>
        </w:rPr>
        <w:t xml:space="preserve">  </w:t>
      </w:r>
      <w:r>
        <w:rPr>
          <w:rFonts w:eastAsia="Times New Roman" w:cs="Times New Roman"/>
          <w:b w:val="false"/>
          <w:bCs w:val="false"/>
          <w:color w:val="000000"/>
          <w:kern w:val="0"/>
          <w:sz w:val="18"/>
          <w:szCs w:val="18"/>
          <w:lang w:val="en-US" w:eastAsia="de-DE" w:bidi="en-US"/>
        </w:rPr>
        <w:t>Upper case</w:t>
      </w:r>
      <w:r>
        <w:rPr>
          <w:b w:val="false"/>
          <w:bCs w:val="false"/>
          <w:szCs w:val="18"/>
        </w:rPr>
        <w:t xml:space="preserve"> indicate SARS-COVID-2 sequence.  Lower case indicates adapter sequence.</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7">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 xml:space="preserve">Figure 2 Command Line Usage of </w:t>
      </w:r>
      <w:r>
        <w:rPr>
          <w:rFonts w:eastAsia="Times New Roman" w:cs="Times New Roman"/>
          <w:b/>
          <w:bCs/>
          <w:color w:val="000000"/>
          <w:kern w:val="0"/>
          <w:sz w:val="18"/>
          <w:szCs w:val="20"/>
          <w:lang w:val="en-US" w:eastAsia="de-DE" w:bidi="en-US"/>
        </w:rPr>
        <w:t>SAM Refiner</w:t>
      </w:r>
      <w:r>
        <w:rPr>
          <w:b/>
          <w:bCs/>
        </w:rPr>
        <w:t>.</w:t>
      </w:r>
      <w:r>
        <w:rPr/>
        <w:t xml:space="preserve">  The standard help output from </w:t>
      </w:r>
      <w:r>
        <w:rPr>
          <w:rFonts w:eastAsia="Times New Roman" w:cs="Times New Roman"/>
          <w:color w:val="000000"/>
          <w:kern w:val="0"/>
          <w:sz w:val="18"/>
          <w:szCs w:val="20"/>
          <w:lang w:val="en-US" w:eastAsia="de-DE" w:bidi="en-US"/>
        </w:rPr>
        <w:t>SAM Refiner</w:t>
      </w:r>
      <w:r>
        <w:rPr/>
        <w:t xml:space="preserve">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9">
            <wp:simplePos x="0" y="0"/>
            <wp:positionH relativeFrom="column">
              <wp:posOffset>2001520</wp:posOffset>
            </wp:positionH>
            <wp:positionV relativeFrom="paragraph">
              <wp:posOffset>48895</wp:posOffset>
            </wp:positionV>
            <wp:extent cx="4210050" cy="26562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9088" t="5991" r="6539" b="18717"/>
                    <a:stretch>
                      <a:fillRect/>
                    </a:stretch>
                  </pic:blipFill>
                  <pic:spPr bwMode="auto">
                    <a:xfrm>
                      <a:off x="0" y="0"/>
                      <a:ext cx="4210050" cy="2656205"/>
                    </a:xfrm>
                    <a:prstGeom prst="rect">
                      <a:avLst/>
                    </a:prstGeom>
                  </pic:spPr>
                </pic:pic>
              </a:graphicData>
            </a:graphic>
          </wp:anchor>
        </w:drawing>
      </w:r>
      <w:r>
        <w:rPr>
          <w:b/>
          <w:bCs/>
        </w:rPr>
        <w:t>F</w:t>
      </w:r>
      <w:r>
        <w:rPr>
          <w:b/>
          <w:bCs/>
        </w:rPr>
        <w:t>igure 3. First method of detection and removal of chimeras, Chimera Removed.</w:t>
      </w:r>
      <w:r>
        <w:rPr/>
        <w:t xml:space="preserve"> A. Using the sequences shown in Sup. 5, the query of the least abundant sequence is shown.  Potential parents whose recombination could result in the query sequence are found.  The abundances of each potential pair are multiplied.  The sum the multiplied pairs’ abundances (expected) is then compared to the abundance of the query sequence (actual) to determine if the query sequence is a chimera.  If the actual abundance is greater or equal to 1.2 times the expected abundance, the sequence is considered non-chimeric.  B. Redistribution of the counts of the chimeric sequence from A to one parent pair is shown.  The percentage of counts redistributed is based on the percent contribution of that parent pair to the total expected abundance.  Counts are initially calculated as decimal, but rounded to whole numbers for the output TSV.</w:t>
      </w:r>
    </w:p>
    <w:p>
      <w:pPr>
        <w:pStyle w:val="MDPI31text"/>
        <w:rPr/>
      </w:pPr>
      <w:r>
        <w:rPr/>
        <w:t xml:space="preserve">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w:t>
      </w:r>
      <w:r>
        <w:drawing>
          <wp:anchor behindDoc="0" distT="0" distB="0" distL="0" distR="0" simplePos="0" locked="0" layoutInCell="0" allowOverlap="1" relativeHeight="10">
            <wp:simplePos x="0" y="0"/>
            <wp:positionH relativeFrom="column">
              <wp:posOffset>1740535</wp:posOffset>
            </wp:positionH>
            <wp:positionV relativeFrom="paragraph">
              <wp:posOffset>4076065</wp:posOffset>
            </wp:positionV>
            <wp:extent cx="4003675" cy="30537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3858" t="3445" r="15912" b="53271"/>
                    <a:stretch>
                      <a:fillRect/>
                    </a:stretch>
                  </pic:blipFill>
                  <pic:spPr bwMode="auto">
                    <a:xfrm>
                      <a:off x="0" y="0"/>
                      <a:ext cx="4003675" cy="3053715"/>
                    </a:xfrm>
                    <a:prstGeom prst="rect">
                      <a:avLst/>
                    </a:prstGeom>
                  </pic:spPr>
                </pic:pic>
              </a:graphicData>
            </a:graphic>
          </wp:anchor>
        </w:drawing>
      </w:r>
      <w:r>
        <w:rPr/>
        <w:t>i</w:t>
      </w:r>
      <w:r>
        <w:rPr/>
        <w:t>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rPr>
          <w:b/>
          <w:bCs/>
        </w:rPr>
        <w:t>Figure 4. SAM Refiner’s second chimera removal method, Covariant Deconvolution.</w:t>
      </w:r>
      <w:r>
        <w:rPr/>
        <w:t xml:space="preserve">  A.  Calculations of the singles / expected abundance for one of the unique sequences </w:t>
      </w:r>
      <w:r>
        <w:rPr/>
        <w:t>from Sup 5 and the abundances from Sup 7</w:t>
      </w:r>
      <w:r>
        <w:rPr/>
        <w:t xml:space="preserve"> and of the abundance ratio.  Lines connect the singles and their abundance </w:t>
      </w:r>
      <w:r>
        <w:rPr/>
        <w:t xml:space="preserve">the same in </w:t>
      </w:r>
      <w:r>
        <w:rPr/>
        <w:t>B.  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 xml:space="preserve">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w:t>
      </w:r>
    </w:p>
    <w:p>
      <w:pPr>
        <w:pStyle w:val="MDPI31text"/>
        <w:rPr/>
      </w:pPr>
      <w:r>
        <w:rPr/>
      </w:r>
    </w:p>
    <w:p>
      <w:pPr>
        <w:pStyle w:val="MDPI31text"/>
        <w:rPr/>
      </w:pPr>
      <w:r>
        <w:rPr/>
        <w:t>Four parameters can be altered for the first algorithm.  The abundance ratio that is used as a threshold for selecting potential parents of potential chimera can be set with ‘--foldab’.  Larger values will generally reduce the pool of sequences that will be considered as potential parents, thus potentially reducing the total expected abundance obtained from parent pairs and number of sequences flagged as chimeric.  In the most simple theoretical model of PCR chimera generation, two parents generate one chimera.  The parents have at least twice the abundance of the chimera as they would exist and have been amplified prior to the chimera.  The reality of chimera generation can be much more complex, as many sequences may generate identical chimeras multiple times.  If a sample has little chimera generation, a --foldab value close to 2, such as the default of 1.8, should be sufficient to remove chimeras without also removing non-chimeric sequences in error.  However, the more chimera generation observed, the more the --foldab value needs to be reduced to accurately remove all chimeric sequences, even to 0 to not exclude any sequence from being considered a potential parent (though it will likely be vary rare for such a value to be necessary).  Lower values however will also increase the likelyhood of a sequence been flagged as a chimera in error.  Users may need to empirically determine the best value for their samples.</w:t>
      </w:r>
    </w:p>
    <w:p>
      <w:pPr>
        <w:pStyle w:val="MDPI31text"/>
        <w:rPr/>
      </w:pPr>
      <w:r>
        <w:rPr/>
      </w:r>
    </w:p>
    <w:p>
      <w:pPr>
        <w:pStyle w:val="MDPI31text"/>
        <w:rPr/>
      </w:pPr>
      <w:r>
        <w:rPr/>
        <w:t xml:space="preserve">The multiplier for the parental summed abundance for determining if a sequence is a chimera can be set with ‘--alpha’.  Larger values will generally </w:t>
      </w:r>
      <w:r>
        <w:rPr>
          <w:rFonts w:eastAsia="Times New Roman" w:cs="Times New Roman"/>
          <w:color w:val="000000"/>
          <w:kern w:val="0"/>
          <w:sz w:val="20"/>
          <w:szCs w:val="22"/>
          <w:lang w:val="en-US" w:eastAsia="de-DE" w:bidi="en-US"/>
        </w:rPr>
        <w:t>result in a greater number of</w:t>
      </w:r>
      <w:r>
        <w:rPr/>
        <w:t xml:space="preserve"> sequences flagged as chimeric.  As with --foldab, the optimal value for --alpha will depend on the extent of chimera generation in the samples being processed, with a value near 1 for minimal chimera generation (such as the default 1.2) and 2 or even higher for rampant chimera generation.  Again however, the later would also increase the likelyhood of sequences being flagged as chimeric in error.  </w:t>
      </w:r>
    </w:p>
    <w:p>
      <w:pPr>
        <w:pStyle w:val="MDPI31text"/>
        <w:rPr/>
      </w:pPr>
      <w:r>
        <w:rPr/>
      </w:r>
    </w:p>
    <w:p>
      <w:pPr>
        <w:pStyle w:val="MDPI31text"/>
        <w:rPr/>
      </w:pPr>
      <w:r>
        <w:rPr/>
        <w:t>Redistribution of a chimera’s counts to parent sequences can be disabled with ‘--redist 0’.  Redistribution is meant to give an estimate of the counts and abundances that would have been observed without chimera generation, which users may wish to forgoe.  The maximum number of chimera removal cycles can be change by ‘--max_cycles’, ei ‘--max_cycles 2’ will only allow two iterations of the chimera removal.  Multiple removal cycles allows chimeras to be found based on new counts and abundances resulting from previous cycles, increasing the likelyhood chimeras are removed from a sample.</w:t>
      </w:r>
    </w:p>
    <w:p>
      <w:pPr>
        <w:pStyle w:val="MDPI31text"/>
        <w:rPr/>
      </w:pPr>
      <w:r>
        <w:rPr/>
      </w:r>
    </w:p>
    <w:p>
      <w:pPr>
        <w:pStyle w:val="MDPI31text"/>
        <w:rPr/>
      </w:pPr>
      <w:r>
        <w:rPr/>
        <w:t>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RT-PCR preparation and sequencing of the same wastewater sample also generally provided similar results, though less consistently (Fig. 5. Compare A and B RBD amplicon preparations).  These differences were more pronounced with low abundant sequences, such as is seen with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8">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 xml:space="preserve">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with ‘203-208Del 429-431Del’ or lineage P.1 with ‘412T(D138Y) 570T(R190S)’ (Sup 10).  Sequences from the RBD amplicon matched reference sequence, lineages B.1.1.7 with ‘1501T(N501Y) 1709A(A570D)’ or P.1 with ‘1250C(K417T) 1450A(E484K) 1501T(N501Y)’, or had the single variations of T478K or L452R (Sup 11).  T478K and L452R each </w:t>
      </w:r>
      <w:r>
        <w:rPr>
          <w:rFonts w:eastAsia="Times New Roman" w:cs="Times New Roman"/>
          <w:color w:val="000000"/>
          <w:kern w:val="0"/>
          <w:sz w:val="20"/>
          <w:szCs w:val="22"/>
          <w:lang w:val="en-US" w:eastAsia="de-DE" w:bidi="en-US"/>
        </w:rPr>
        <w:t>have lineage associations</w:t>
      </w:r>
      <w:r>
        <w:rPr/>
        <w:t>.  However, the other variances associated with those lineages were not detected in any of the amplicons.  While these SNPs could be the result of PCR error, it is also possible the associated lineages exist in the sewershed, but due to stochastic effects the other associated variances were not detected, or those SNPs arose in the reference background.  As we have seen these SNPs in isolation in other samples (Data not shown) we assigned them to their own category. Sequences from the S1S2 amplicon matched lineage B.1.1.7 with ‘1841G(D614G) 2042A(P681H) 2147T(T716I)’, lineage P.1 with ‘1841G(D614G) 1963T(H655Y) 2063T(A688V)’ or only had the now ubiquitous D614G variation (Sup 12).  The 03-23 S1S2 sample had a sequence ‘1841G(D614G) 2037G(N679K) 2063T(A688V)’.  While A688V is associated with P.1, it does not appear in that context here.  As that is the only sample where those covariant sequences were observed and the variances are not frequently reported in GISAID (outside of P.1 for A688V), we assigned it to the reference category.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SAM Refiner’s Output for Reporting Unique Sequences, Sup. 2 Example of SAM Refiner’s Output for Reporting Positional NT Calls, Sup. 3  Example of SAM Refiner’s Output for Reporting Insertions and Deletions, Sup. 4  Example of SAM Refiner’s Output for Reporting Covariance, Sup. 5 Sample Unique Sequences Output With Chimeric Sequences, Sup. 6 Sample Output of Sequences of  SAM Refiner’s Chimeras Removed, Sup. 7 Sample Covariance Output With Chimeric Sequences, Sup. 8 Sample Passed Sequences Output from the First Part of SAM Refiner’s </w:t>
      </w:r>
      <w:r>
        <w:rPr>
          <w:rFonts w:eastAsia="Times New Roman" w:cs="Times New Roman"/>
          <w:color w:val="000000"/>
          <w:kern w:val="0"/>
          <w:sz w:val="18"/>
          <w:szCs w:val="20"/>
          <w:lang w:val="en-US" w:eastAsia="en-US" w:bidi="en-US"/>
        </w:rPr>
        <w:t>Covariant Deconvolution</w:t>
      </w:r>
      <w:r>
        <w:rPr/>
        <w:t xml:space="preserve"> Method, Sup. 9 Sample Output of Sequences by SAM Refiner’s </w:t>
      </w:r>
      <w:r>
        <w:rPr>
          <w:rFonts w:eastAsia="Times New Roman" w:cs="Times New Roman"/>
          <w:color w:val="000000"/>
          <w:kern w:val="0"/>
          <w:sz w:val="18"/>
          <w:szCs w:val="20"/>
          <w:lang w:val="en-US" w:eastAsia="en-US" w:bidi="en-US"/>
        </w:rPr>
        <w:t>Covariant Deconvolution</w:t>
      </w:r>
      <w:r>
        <w:rPr/>
        <w:t xml:space="preserve">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23"/>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4"/>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5"/>
        </w:numPr>
        <w:ind w:left="425" w:right="0" w:hanging="425"/>
        <w:rPr/>
      </w:pPr>
      <w:r>
        <w:rPr/>
        <w:t>Wu F., Zhao S., Yu B., Chen Y. M., Wang W., et al. (2020). A new coronavirus associated with human respiratory disease in China. Nature 579 265–269</w:t>
      </w:r>
    </w:p>
    <w:p>
      <w:pPr>
        <w:pStyle w:val="MDPI71References"/>
        <w:numPr>
          <w:ilvl w:val="0"/>
          <w:numId w:val="26"/>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7"/>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8"/>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9"/>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30"/>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31"/>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3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33"/>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34"/>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35"/>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36"/>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37"/>
        </w:numPr>
        <w:ind w:left="425" w:right="0" w:hanging="425"/>
        <w:rPr/>
      </w:pPr>
      <w:r>
        <w:rPr/>
        <w:t xml:space="preserve">Rognes T, Flouri T, Nichols B, Quince C, Mahé F. (2016) VSEARCH: a versatile open source tool for metagenomics. PeerJ 4:e2584. </w:t>
      </w:r>
    </w:p>
    <w:p>
      <w:pPr>
        <w:pStyle w:val="MDPI71References"/>
        <w:numPr>
          <w:ilvl w:val="0"/>
          <w:numId w:val="38"/>
        </w:numPr>
        <w:ind w:left="425" w:right="0" w:hanging="425"/>
        <w:rPr/>
      </w:pPr>
      <w:r>
        <w:rPr/>
        <w:t xml:space="preserve">Langmead B, Salzberg SL. Fast gapped-read alignment with Bowtie 2. Nature Methods. 2012 Mar 4;9(4):357-9. </w:t>
      </w:r>
    </w:p>
    <w:p>
      <w:pPr>
        <w:pStyle w:val="MDPI71References"/>
        <w:numPr>
          <w:ilvl w:val="0"/>
          <w:numId w:val="39"/>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408"/>
        <w:tab w:val="right" w:pos="8844" w:leader="none"/>
      </w:tabs>
      <w:snapToGrid w:val="false"/>
      <w:spacing w:lineRule="exact" w:line="100" w:before="480" w:after="0"/>
      <w:jc w:val="left"/>
      <w:rPr>
        <w:i/>
        <w:i/>
        <w:sz w:val="16"/>
        <w:szCs w:val="16"/>
      </w:rPr>
    </w:pPr>
    <w:r>
      <w:rPr>
        <w:i/>
        <w:sz w:val="16"/>
        <w:szCs w:val="16"/>
      </w:rPr>
    </w:r>
  </w:p>
  <w:p>
    <w:pPr>
      <w:pStyle w:val="Normal"/>
      <w:tabs>
        <w:tab w:val="clear" w:pos="408"/>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14</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14</w:t>
    </w:r>
    <w:r>
      <w:rPr>
        <w:sz w:val="16"/>
      </w:rPr>
      <w:fldChar w:fldCharType="end"/>
    </w:r>
  </w:p>
  <w:p>
    <w:pPr>
      <w:pStyle w:val="Normal"/>
      <w:pBdr>
        <w:bottom w:val="single" w:sz="4" w:space="1" w:color="000000"/>
      </w:pBdr>
      <w:tabs>
        <w:tab w:val="clear" w:pos="408"/>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3"/>
      <w:gridCol w:w="4541"/>
      <w:gridCol w:w="2273"/>
    </w:tblGrid>
    <w:tr>
      <w:trPr>
        <w:trHeight w:val="686" w:hRule="atLeast"/>
      </w:trPr>
      <w:tc>
        <w:tcPr>
          <w:tcW w:w="3673"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41"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2">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w="http://schemas.openxmlformats.org/wordprocessingml/2006/main">
  <w:zoom w:val="bestFit" w:percent="181"/>
  <w:defaultTabStop w:val="408"/>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fals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fals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fals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fals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fals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fals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fals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408"/>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408"/>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fals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fals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fals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1"/>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2"/>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fals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fals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fals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fals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fals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fals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fals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fals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fals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fals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3"/>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fals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fals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fals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fals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fals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fals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fals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fals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408"/>
        <w:tab w:val="right" w:pos="8845" w:leader="none"/>
      </w:tabs>
      <w:suppressAutoHyphens w:val="true"/>
      <w:overflowPunct w:val="fals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fals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fals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fals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4"/>
      </w:numPr>
      <w:suppressAutoHyphens w:val="true"/>
      <w:overflowPunct w:val="fals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299</TotalTime>
  <Application>LibreOffice/7.0.4.2$Windows_X86_64 LibreOffice_project/dcf040e67528d9187c66b2379df5ea4407429775</Application>
  <AppVersion>15.0000</AppVersion>
  <Pages>14</Pages>
  <Words>6368</Words>
  <Characters>35365</Characters>
  <CharactersWithSpaces>41847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2021-06-03T09:26:34Z</dcterms:modified>
  <cp:revision>110</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