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8.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
      <w:hyperlink r:id="rId8"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75pt;height:12.75pt">
              <v:imagedata r:id="rId9" o:title=""/>
            </v:shape>
          </w:pict>
        </w:r>
      </w:hyperlink>
      <w:r>
        <w:rPr>
          <w:rFonts w:ascii="times" w:eastAsia="times" w:hAnsi="times" w:cs="times"/>
          <w:b w:val="0"/>
          <w:i w:val="0"/>
          <w:strike w:val="0"/>
          <w:noProof w:val="0"/>
          <w:color w:val="000000"/>
          <w:position w:val="0"/>
          <w:sz w:val="18"/>
          <w:u w:val="none"/>
          <w:vertAlign w:val="baseline"/>
        </w:rPr>
        <w:t>   Caution</w:t>
        <w:cr/>
        <w:t>As of: November 6, 2025 10:18 PM Z</w:t>
      </w:r>
    </w:p>
    <w:p>
      <w:pPr>
        <w:pStyle w:val="Heading1"/>
        <w:keepNext w:val="0"/>
        <w:widowControl w:val="0"/>
        <w:spacing w:after="200" w:line="340" w:lineRule="atLeast"/>
        <w:ind w:left="0" w:right="0" w:firstLine="0"/>
        <w:jc w:val="center"/>
      </w:pPr>
      <w:hyperlink r:id="rId10" w:history="1">
        <w:r>
          <w:rPr>
            <w:rFonts w:ascii="times" w:eastAsia="times" w:hAnsi="times" w:cs="times"/>
            <w:b/>
            <w:i/>
            <w:strike w:val="0"/>
            <w:color w:val="0077CC"/>
            <w:sz w:val="28"/>
            <w:u w:val="single"/>
            <w:shd w:val="clear" w:color="auto" w:fill="FFFFFF"/>
            <w:vertAlign w:val="baseline"/>
          </w:rPr>
          <w:t>City of Lafayette v. Chandler</w:t>
        </w:r>
      </w:hyperlink>
    </w:p>
    <w:p>
      <w:pPr>
        <w:keepNext w:val="0"/>
        <w:widowControl w:val="0"/>
        <w:spacing w:before="120" w:after="0" w:line="300" w:lineRule="atLeast"/>
        <w:ind w:left="0" w:right="0" w:firstLine="0"/>
        <w:jc w:val="center"/>
      </w:pPr>
      <w:r>
        <w:rPr>
          <w:rFonts w:ascii="times" w:eastAsia="times" w:hAnsi="times" w:cs="times"/>
          <w:b w:val="0"/>
          <w:i w:val="0"/>
          <w:strike w:val="0"/>
          <w:noProof w:val="0"/>
          <w:color w:val="000000"/>
          <w:position w:val="0"/>
          <w:sz w:val="24"/>
          <w:u w:val="none"/>
          <w:vertAlign w:val="baseline"/>
        </w:rPr>
        <w:t>Court of Appeals of Georgia</w:t>
      </w:r>
    </w:p>
    <w:p>
      <w:pPr>
        <w:keepNext w:val="0"/>
        <w:widowControl w:val="0"/>
        <w:spacing w:before="120" w:after="0" w:line="300" w:lineRule="atLeast"/>
        <w:ind w:left="0" w:right="0" w:firstLine="0"/>
        <w:jc w:val="center"/>
      </w:pPr>
      <w:r>
        <w:rPr>
          <w:rFonts w:ascii="times" w:eastAsia="times" w:hAnsi="times" w:cs="times"/>
          <w:b w:val="0"/>
          <w:i w:val="0"/>
          <w:strike w:val="0"/>
          <w:noProof w:val="0"/>
          <w:color w:val="000000"/>
          <w:position w:val="0"/>
          <w:sz w:val="24"/>
          <w:u w:val="none"/>
          <w:vertAlign w:val="baseline"/>
        </w:rPr>
        <w:t>March 9, 2020, Decided</w:t>
      </w:r>
    </w:p>
    <w:p>
      <w:pPr>
        <w:keepNext w:val="0"/>
        <w:widowControl w:val="0"/>
        <w:spacing w:before="120" w:after="0" w:line="300" w:lineRule="atLeast"/>
        <w:ind w:left="0" w:right="0" w:firstLine="0"/>
        <w:jc w:val="center"/>
        <w:sectPr>
          <w:type w:val="continuous"/>
          <w:pgMar w:top="840" w:right="1000" w:bottom="840" w:left="1000" w:header="400" w:footer="400"/>
          <w:pgNumType w:fmt="decimal"/>
          <w:cols w:num="1" w:space="240"/>
        </w:sectPr>
      </w:pPr>
      <w:r>
        <w:rPr>
          <w:rFonts w:ascii="times" w:eastAsia="times" w:hAnsi="times" w:cs="times"/>
          <w:b w:val="0"/>
          <w:i w:val="0"/>
          <w:strike w:val="0"/>
          <w:noProof w:val="0"/>
          <w:color w:val="000000"/>
          <w:position w:val="0"/>
          <w:sz w:val="24"/>
          <w:u w:val="none"/>
          <w:vertAlign w:val="baseline"/>
        </w:rPr>
        <w:t>A19A2232.</w:t>
      </w:r>
    </w:p>
    <w:p>
      <w:pPr>
        <w:keepNext w:val="0"/>
        <w:widowControl w:val="0"/>
        <w:spacing w:after="0" w:line="240" w:lineRule="atLeast"/>
        <w:ind w:right="0"/>
        <w:jc w:val="both"/>
      </w:pPr>
      <w:bookmarkStart w:id="0" w:name="Bookmark_1"/>
      <w:bookmarkEnd w:id="0"/>
    </w:p>
    <w:p>
      <w:pPr>
        <w:keepNext w:val="0"/>
        <w:widowControl w:val="0"/>
        <w:spacing w:before="200" w:after="0" w:line="280" w:lineRule="atLeast"/>
        <w:ind w:left="0" w:right="0" w:firstLine="0"/>
        <w:jc w:val="left"/>
      </w:pPr>
      <w:bookmarkStart w:id="1" w:name="Reporter"/>
      <w:bookmarkEnd w:id="1"/>
      <w:r>
        <w:rPr>
          <w:rFonts w:ascii="times" w:eastAsia="times" w:hAnsi="times" w:cs="times"/>
          <w:b/>
          <w:i w:val="0"/>
          <w:strike w:val="0"/>
          <w:noProof w:val="0"/>
          <w:color w:val="000000"/>
          <w:position w:val="0"/>
          <w:sz w:val="22"/>
          <w:u w:val="none"/>
          <w:vertAlign w:val="baseline"/>
        </w:rPr>
        <w:t>Reporter</w:t>
      </w:r>
    </w:p>
    <w:p>
      <w:pPr>
        <w:keepNext w:val="0"/>
        <w:widowControl w:val="0"/>
        <w:spacing w:after="0" w:line="280" w:lineRule="atLeast"/>
        <w:ind w:left="0" w:right="0" w:firstLine="0"/>
        <w:jc w:val="left"/>
        <w:sectPr>
          <w:type w:val="continuous"/>
          <w:pgMar w:top="840" w:right="1000" w:bottom="840" w:left="1000" w:header="400" w:footer="400"/>
          <w:pgNumType w:fmt="decimal"/>
          <w:cols w:num="1" w:space="240"/>
        </w:sectPr>
      </w:pPr>
      <w:r>
        <w:rPr>
          <w:rFonts w:ascii="times" w:eastAsia="times" w:hAnsi="times" w:cs="times"/>
          <w:b w:val="0"/>
          <w:i w:val="0"/>
          <w:strike w:val="0"/>
          <w:noProof w:val="0"/>
          <w:color w:val="000000"/>
          <w:position w:val="0"/>
          <w:sz w:val="22"/>
          <w:u w:val="none"/>
          <w:vertAlign w:val="baseline"/>
        </w:rPr>
        <w:t>354 Ga. App. 259 *</w:t>
      </w:r>
      <w:r>
        <w:rPr>
          <w:rFonts w:ascii="times" w:eastAsia="times" w:hAnsi="times" w:cs="times"/>
          <w:b w:val="0"/>
          <w:i w:val="0"/>
          <w:strike w:val="0"/>
          <w:noProof w:val="0"/>
          <w:color w:val="000000"/>
          <w:position w:val="0"/>
          <w:sz w:val="22"/>
          <w:u w:val="none"/>
          <w:vertAlign w:val="baseline"/>
        </w:rPr>
        <w:t xml:space="preserve">; </w:t>
      </w:r>
      <w:r>
        <w:rPr>
          <w:rFonts w:ascii="times" w:eastAsia="times" w:hAnsi="times" w:cs="times"/>
          <w:b w:val="0"/>
          <w:i w:val="0"/>
          <w:strike w:val="0"/>
          <w:noProof w:val="0"/>
          <w:color w:val="000000"/>
          <w:position w:val="0"/>
          <w:sz w:val="22"/>
          <w:u w:val="none"/>
          <w:vertAlign w:val="baseline"/>
        </w:rPr>
        <w:t>840 S.E.2d 638 **</w:t>
      </w:r>
      <w:r>
        <w:rPr>
          <w:rFonts w:ascii="times" w:eastAsia="times" w:hAnsi="times" w:cs="times"/>
          <w:b w:val="0"/>
          <w:i w:val="0"/>
          <w:strike w:val="0"/>
          <w:noProof w:val="0"/>
          <w:color w:val="000000"/>
          <w:position w:val="0"/>
          <w:sz w:val="22"/>
          <w:u w:val="none"/>
          <w:vertAlign w:val="baseline"/>
        </w:rPr>
        <w:t xml:space="preserve">; </w:t>
      </w:r>
      <w:r>
        <w:rPr>
          <w:rFonts w:ascii="times" w:eastAsia="times" w:hAnsi="times" w:cs="times"/>
          <w:b w:val="0"/>
          <w:i w:val="0"/>
          <w:strike w:val="0"/>
          <w:noProof w:val="0"/>
          <w:color w:val="000000"/>
          <w:position w:val="0"/>
          <w:sz w:val="22"/>
          <w:u w:val="none"/>
          <w:vertAlign w:val="baseline"/>
        </w:rPr>
        <w:t>2020 Ga. App. LEXIS 145 ***</w:t>
      </w:r>
      <w:r>
        <w:rPr>
          <w:rFonts w:ascii="times" w:eastAsia="times" w:hAnsi="times" w:cs="times"/>
          <w:b w:val="0"/>
          <w:i w:val="0"/>
          <w:strike w:val="0"/>
          <w:noProof w:val="0"/>
          <w:color w:val="000000"/>
          <w:position w:val="0"/>
          <w:sz w:val="22"/>
          <w:u w:val="none"/>
          <w:vertAlign w:val="baseline"/>
        </w:rPr>
        <w:t xml:space="preserve">; </w:t>
      </w:r>
      <w:r>
        <w:rPr>
          <w:rFonts w:ascii="times" w:eastAsia="times" w:hAnsi="times" w:cs="times"/>
          <w:b w:val="0"/>
          <w:i w:val="0"/>
          <w:strike w:val="0"/>
          <w:noProof w:val="0"/>
          <w:color w:val="000000"/>
          <w:position w:val="0"/>
          <w:sz w:val="22"/>
          <w:u w:val="none"/>
          <w:vertAlign w:val="baseline"/>
        </w:rPr>
        <w:t>2020 WL 1129674</w:t>
      </w:r>
    </w:p>
    <w:p>
      <w:pPr>
        <w:keepNext w:val="0"/>
        <w:widowControl w:val="0"/>
        <w:spacing w:before="120" w:after="0" w:line="300" w:lineRule="atLeast"/>
        <w:ind w:left="0" w:right="0" w:firstLine="0"/>
        <w:jc w:val="left"/>
      </w:pPr>
      <w:r>
        <w:rPr>
          <w:rFonts w:ascii="times" w:eastAsia="times" w:hAnsi="times" w:cs="times"/>
          <w:b w:val="0"/>
          <w:i w:val="0"/>
          <w:strike w:val="0"/>
          <w:noProof w:val="0"/>
          <w:color w:val="000000"/>
          <w:position w:val="0"/>
          <w:sz w:val="24"/>
          <w:u w:val="none"/>
          <w:vertAlign w:val="baseline"/>
        </w:rPr>
        <w:t>CITY OF LAFAYETTE v. CHANDLER.</w:t>
      </w:r>
    </w:p>
    <w:p>
      <w:pPr>
        <w:keepNext w:val="0"/>
        <w:widowControl w:val="0"/>
        <w:spacing w:before="240" w:after="0" w:line="300" w:lineRule="atLeast"/>
        <w:ind w:left="0" w:right="0" w:firstLine="0"/>
        <w:jc w:val="left"/>
      </w:pPr>
      <w:bookmarkStart w:id="2" w:name="Subsequent History"/>
      <w:bookmarkEnd w:id="2"/>
      <w:r>
        <w:rPr>
          <w:rFonts w:ascii="times" w:eastAsia="times" w:hAnsi="times" w:cs="times"/>
          <w:b/>
          <w:i w:val="0"/>
          <w:strike w:val="0"/>
          <w:noProof w:val="0"/>
          <w:color w:val="000000"/>
          <w:position w:val="0"/>
          <w:sz w:val="24"/>
          <w:u w:val="none"/>
          <w:vertAlign w:val="baseline"/>
        </w:rPr>
        <w:t>Subsequent History:</w:t>
      </w:r>
      <w:r>
        <w:rPr>
          <w:rFonts w:ascii="times" w:eastAsia="times" w:hAnsi="times" w:cs="times"/>
          <w:b w:val="0"/>
          <w:i w:val="0"/>
          <w:strike w:val="0"/>
          <w:noProof w:val="0"/>
          <w:color w:val="000000"/>
          <w:position w:val="0"/>
          <w:sz w:val="24"/>
          <w:u w:val="none"/>
          <w:vertAlign w:val="baseline"/>
        </w:rPr>
        <w:t xml:space="preserve"> Related proceeding at </w:t>
      </w:r>
      <w:hyperlink r:id="rId11" w:history="1">
        <w:r>
          <w:rPr>
            <w:rFonts w:ascii="times" w:eastAsia="times" w:hAnsi="times" w:cs="times"/>
            <w:b w:val="0"/>
            <w:i/>
            <w:strike w:val="0"/>
            <w:noProof w:val="0"/>
            <w:color w:val="0077CC"/>
            <w:position w:val="0"/>
            <w:sz w:val="24"/>
            <w:u w:val="single"/>
            <w:shd w:val="clear" w:color="auto" w:fill="FFFFFF"/>
            <w:vertAlign w:val="baseline"/>
          </w:rPr>
          <w:t>Chandler v. City of Lafayette, 2023 Ga. App. LEXIS 484 (Ga. Ct. App., Oct. 18, 2023)</w:t>
        </w:r>
      </w:hyperlink>
    </w:p>
    <w:p>
      <w:pPr>
        <w:keepNext w:val="0"/>
        <w:widowControl w:val="0"/>
        <w:spacing w:before="240" w:after="0" w:line="300" w:lineRule="atLeast"/>
        <w:ind w:left="0" w:right="0" w:firstLine="0"/>
        <w:jc w:val="both"/>
      </w:pPr>
      <w:bookmarkStart w:id="3" w:name="Prior History"/>
      <w:bookmarkEnd w:id="3"/>
      <w:r>
        <w:rPr>
          <w:rFonts w:ascii="times" w:eastAsia="times" w:hAnsi="times" w:cs="times"/>
          <w:b/>
          <w:i w:val="0"/>
          <w:strike w:val="0"/>
          <w:noProof w:val="0"/>
          <w:color w:val="000000"/>
          <w:position w:val="0"/>
          <w:sz w:val="24"/>
          <w:u w:val="none"/>
          <w:vertAlign w:val="baseline"/>
        </w:rPr>
        <w:t>Prior History:</w:t>
      </w:r>
      <w:r>
        <w:rPr>
          <w:rFonts w:ascii="times" w:eastAsia="times" w:hAnsi="times" w:cs="times"/>
          <w:b w:val="0"/>
          <w:i w:val="0"/>
          <w:strike w:val="0"/>
          <w:noProof w:val="0"/>
          <w:color w:val="000000"/>
          <w:position w:val="0"/>
          <w:sz w:val="24"/>
          <w:u w:val="none"/>
          <w:vertAlign w:val="baseline"/>
        </w:rPr>
        <w:t> </w:t>
      </w:r>
      <w:bookmarkStart w:id="4" w:name="Bookmark_para_1"/>
      <w:bookmarkEnd w:id="4"/>
      <w:r>
        <w:rPr>
          <w:rFonts w:ascii="times" w:eastAsia="times" w:hAnsi="times" w:cs="times"/>
          <w:b w:val="0"/>
          <w:i w:val="0"/>
          <w:strike w:val="0"/>
          <w:noProof w:val="0"/>
          <w:color w:val="000000"/>
          <w:position w:val="0"/>
          <w:sz w:val="24"/>
          <w:u w:val="none"/>
          <w:vertAlign w:val="baseline"/>
        </w:rPr>
        <w:t>Ante litem notice. Walker State Court. Before Judge Mullinax.</w:t>
      </w:r>
    </w:p>
    <w:p>
      <w:pPr>
        <w:keepNext w:val="0"/>
        <w:widowControl w:val="0"/>
        <w:spacing w:before="240" w:after="0" w:line="300" w:lineRule="atLeast"/>
        <w:ind w:left="0" w:right="0" w:firstLine="0"/>
        <w:jc w:val="both"/>
      </w:pPr>
      <w:bookmarkStart w:id="5" w:name="Disposition"/>
      <w:bookmarkEnd w:id="5"/>
      <w:r>
        <w:rPr>
          <w:rFonts w:ascii="times" w:eastAsia="times" w:hAnsi="times" w:cs="times"/>
          <w:b/>
          <w:i w:val="0"/>
          <w:strike w:val="0"/>
          <w:noProof w:val="0"/>
          <w:color w:val="000000"/>
          <w:position w:val="0"/>
          <w:sz w:val="24"/>
          <w:u w:val="none"/>
          <w:vertAlign w:val="baseline"/>
        </w:rPr>
        <w:t>Disposition:</w:t>
      </w:r>
      <w:r>
        <w:rPr>
          <w:rFonts w:ascii="times" w:eastAsia="times" w:hAnsi="times" w:cs="times"/>
          <w:b w:val="0"/>
          <w:i w:val="0"/>
          <w:strike w:val="0"/>
          <w:noProof w:val="0"/>
          <w:color w:val="000000"/>
          <w:position w:val="0"/>
          <w:sz w:val="24"/>
          <w:u w:val="none"/>
          <w:vertAlign w:val="baseline"/>
        </w:rPr>
        <w:t> </w:t>
      </w:r>
      <w:bookmarkStart w:id="6" w:name="Bookmark_clspara_4"/>
      <w:bookmarkEnd w:id="6"/>
      <w:r>
        <w:rPr>
          <w:rFonts w:ascii="times" w:eastAsia="times" w:hAnsi="times" w:cs="times"/>
          <w:b w:val="0"/>
          <w:i w:val="0"/>
          <w:strike w:val="0"/>
          <w:noProof w:val="0"/>
          <w:color w:val="000000"/>
          <w:position w:val="0"/>
          <w:sz w:val="24"/>
          <w:u w:val="none"/>
          <w:vertAlign w:val="baseline"/>
        </w:rPr>
        <w:t>Judgment affirmed.</w:t>
      </w:r>
    </w:p>
    <w:p>
      <w:pPr>
        <w:keepNext/>
        <w:widowControl w:val="0"/>
        <w:spacing w:before="240" w:after="0" w:line="340" w:lineRule="atLeast"/>
        <w:ind w:left="0" w:right="0" w:firstLine="0"/>
        <w:jc w:val="left"/>
      </w:pPr>
      <w:bookmarkStart w:id="7" w:name="Core Terms"/>
      <w:bookmarkEnd w:id="7"/>
      <w:r>
        <w:rPr>
          <w:rFonts w:ascii="times" w:eastAsia="times" w:hAnsi="times" w:cs="times"/>
          <w:b/>
          <w:i w:val="0"/>
          <w:strike w:val="0"/>
          <w:noProof w:val="0"/>
          <w:color w:val="000000"/>
          <w:position w:val="0"/>
          <w:sz w:val="28"/>
          <w:u w:val="none"/>
          <w:vertAlign w:val="baseline"/>
        </w:rPr>
        <w:t>Core Terms</w:t>
      </w:r>
    </w:p>
    <w:p>
      <w:pPr>
        <w:spacing w:line="60" w:lineRule="exact"/>
      </w:pPr>
      <w:r>
        <w:pict>
          <v:line id="_x0000_s1026" style="position:absolute;z-index:251658240" from="0,2pt" to="251pt,2pt" strokecolor="#009ddb" strokeweight="2pt">
            <v:stroke linestyle="single"/>
            <w10:wrap type="topAndBottom"/>
          </v:line>
        </w:pict>
      </w:r>
    </w:p>
    <w:p>
      <w:pPr>
        <w:keepNext w:val="0"/>
        <w:widowControl w:val="0"/>
        <w:spacing w:before="120" w:after="0" w:line="300" w:lineRule="atLeast"/>
        <w:ind w:left="0" w:right="0" w:firstLine="0"/>
        <w:jc w:val="left"/>
      </w:pPr>
      <w:r>
        <w:rPr>
          <w:rFonts w:ascii="times" w:eastAsia="times" w:hAnsi="times" w:cs="times"/>
          <w:b w:val="0"/>
          <w:i w:val="0"/>
          <w:strike w:val="0"/>
          <w:noProof w:val="0"/>
          <w:color w:val="000000"/>
          <w:position w:val="0"/>
          <w:sz w:val="24"/>
          <w:u w:val="none"/>
          <w:vertAlign w:val="baseline"/>
        </w:rPr>
        <w:t>notice, litem, monetary damages, municipality, specific amount, claimant, substantial compliance, settlement</w:t>
      </w:r>
    </w:p>
    <w:p>
      <w:pPr>
        <w:keepNext/>
        <w:widowControl w:val="0"/>
        <w:spacing w:before="240" w:after="0" w:line="340" w:lineRule="atLeast"/>
        <w:ind w:left="0" w:right="0" w:firstLine="0"/>
        <w:jc w:val="left"/>
      </w:pPr>
      <w:bookmarkStart w:id="8" w:name="LexisNexis® Headnotes"/>
      <w:bookmarkEnd w:id="8"/>
      <w:r>
        <w:rPr>
          <w:rFonts w:ascii="times" w:eastAsia="times" w:hAnsi="times" w:cs="times"/>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251pt,2pt" strokecolor="#009ddb" strokeweight="2pt">
            <v:stroke linestyle="single"/>
            <w10:wrap type="topAndBottom"/>
          </v:line>
        </w:pict>
      </w:r>
    </w:p>
    <w:p>
      <w:pPr>
        <w:spacing w:line="120" w:lineRule="exact"/>
      </w:pPr>
    </w:p>
    <w:p>
      <w:pPr>
        <w:keepNext w:val="0"/>
        <w:widowControl w:val="0"/>
        <w:spacing w:before="240" w:after="0" w:line="300" w:lineRule="atLeast"/>
        <w:ind w:left="0" w:right="0" w:firstLine="0"/>
        <w:jc w:val="left"/>
      </w:pPr>
      <w:r>
        <w:br/>
      </w:r>
      <w:bookmarkStart w:id="9" w:name="Bookmark_clscc1"/>
      <w:bookmarkEnd w:id="9"/>
    </w:p>
    <w:p>
      <w:pPr>
        <w:keepNext w:val="0"/>
        <w:widowControl w:val="0"/>
        <w:spacing w:before="240" w:after="0" w:line="300" w:lineRule="atLeast"/>
        <w:ind w:left="360" w:right="0" w:firstLine="0"/>
        <w:jc w:val="left"/>
      </w:pPr>
      <w:r>
        <w:rPr>
          <w:rFonts w:ascii="times" w:eastAsia="times" w:hAnsi="times" w:cs="times"/>
          <w:b w:val="0"/>
          <w:i w:val="0"/>
          <w:strike w:val="0"/>
          <w:noProof w:val="0"/>
          <w:color w:val="000000"/>
          <w:position w:val="0"/>
          <w:sz w:val="24"/>
          <w:u w:val="none"/>
          <w:vertAlign w:val="baseline"/>
        </w:rPr>
        <w:t>Civil Procedure &gt; Appeals &gt; Standards of Review &gt; De Novo Review</w:t>
      </w:r>
    </w:p>
    <w:p>
      <w:pPr>
        <w:keepNext w:val="0"/>
        <w:widowControl w:val="0"/>
        <w:spacing w:before="240" w:after="0" w:line="300" w:lineRule="atLeast"/>
        <w:ind w:left="360" w:right="0" w:firstLine="0"/>
        <w:jc w:val="left"/>
      </w:pPr>
      <w:r>
        <w:rPr>
          <w:rFonts w:ascii="times" w:eastAsia="times" w:hAnsi="times" w:cs="times"/>
          <w:b w:val="0"/>
          <w:i w:val="0"/>
          <w:strike w:val="0"/>
          <w:noProof w:val="0"/>
          <w:color w:val="000000"/>
          <w:position w:val="0"/>
          <w:sz w:val="24"/>
          <w:u w:val="none"/>
          <w:vertAlign w:val="baseline"/>
        </w:rPr>
        <w:t>Civil Procedure &gt; ... &gt; Responses &gt; Defenses, Demurrers &amp; Objections &gt; Motions to Dismiss</w:t>
      </w:r>
    </w:p>
    <w:p>
      <w:pPr>
        <w:keepNext w:val="0"/>
        <w:widowControl w:val="0"/>
        <w:spacing w:before="240" w:after="0" w:line="300" w:lineRule="atLeast"/>
        <w:ind w:left="0" w:right="0" w:firstLine="0"/>
        <w:jc w:val="both"/>
      </w:pPr>
      <w:hyperlink r:id="rId12" w:history="1">
        <w:r>
          <w:rPr>
            <w:rFonts w:ascii="times" w:eastAsia="times" w:hAnsi="times" w:cs="times"/>
            <w:b/>
            <w:i/>
            <w:strike w:val="0"/>
            <w:color w:val="0077CC"/>
            <w:sz w:val="24"/>
            <w:u w:val="single"/>
            <w:shd w:val="clear" w:color="auto" w:fill="FFFFFF"/>
            <w:vertAlign w:val="baseline"/>
          </w:rPr>
          <w:t>HN1</w:t>
        </w:r>
      </w:hyperlink>
      <w:r>
        <w:rPr>
          <w:rFonts w:ascii="times" w:eastAsia="times" w:hAnsi="times" w:cs="times"/>
          <w:b w:val="0"/>
          <w:i w:val="0"/>
          <w:strike w:val="0"/>
          <w:noProof w:val="0"/>
          <w:color w:val="000000"/>
          <w:position w:val="0"/>
          <w:sz w:val="24"/>
          <w:u w:val="none"/>
          <w:vertAlign w:val="baseline"/>
        </w:rPr>
        <w:t xml:space="preserve"> </w:t>
      </w:r>
      <w:r>
        <w:rPr>
          <w:rFonts w:ascii="times" w:eastAsia="times" w:hAnsi="times" w:cs="times"/>
          <w:b/>
          <w:i w:val="0"/>
          <w:strike w:val="0"/>
          <w:noProof w:val="0"/>
          <w:color w:val="000000"/>
          <w:position w:val="0"/>
          <w:sz w:val="24"/>
          <w:u w:val="none"/>
          <w:vertAlign w:val="baseline"/>
        </w:rPr>
        <w:t> Standards of Review, De Novo Review</w:t>
      </w:r>
    </w:p>
    <w:p>
      <w:pPr>
        <w:keepNext w:val="0"/>
        <w:widowControl w:val="0"/>
        <w:spacing w:before="240" w:after="0" w:line="300" w:lineRule="atLeast"/>
        <w:ind w:left="0" w:right="0" w:firstLine="0"/>
        <w:jc w:val="both"/>
      </w:pPr>
      <w:bookmarkStart w:id="10" w:name="Bookmark_hnpara_1"/>
      <w:bookmarkEnd w:id="10"/>
      <w:r>
        <w:rPr>
          <w:rFonts w:ascii="times" w:eastAsia="times" w:hAnsi="times" w:cs="times"/>
          <w:b w:val="0"/>
          <w:i w:val="0"/>
          <w:strike w:val="0"/>
          <w:noProof w:val="0"/>
          <w:color w:val="000000"/>
          <w:position w:val="0"/>
          <w:sz w:val="24"/>
          <w:u w:val="none"/>
          <w:vertAlign w:val="baseline"/>
        </w:rPr>
        <w:t>An appellate court reviews the denial of a motion to dismiss de novo, and in so doing, construes the pleadings in a light most favorable to the plaintiff, with any doubts resolved in the plaintiff's favor.</w:t>
      </w:r>
    </w:p>
    <w:p>
      <w:pPr>
        <w:spacing w:before="120"/>
      </w:pPr>
      <w:bookmarkStart w:id="11" w:name="Bookmark_clscc2"/>
      <w:bookmarkEnd w:id="11"/>
    </w:p>
    <w:p>
      <w:pPr>
        <w:keepNext w:val="0"/>
        <w:widowControl w:val="0"/>
        <w:spacing w:before="240" w:after="0" w:line="300" w:lineRule="atLeast"/>
        <w:ind w:left="360" w:right="0" w:firstLine="0"/>
        <w:jc w:val="left"/>
      </w:pPr>
      <w:r>
        <w:rPr>
          <w:rFonts w:ascii="times" w:eastAsia="times" w:hAnsi="times" w:cs="times"/>
          <w:b w:val="0"/>
          <w:i w:val="0"/>
          <w:strike w:val="0"/>
          <w:noProof w:val="0"/>
          <w:color w:val="000000"/>
          <w:position w:val="0"/>
          <w:sz w:val="24"/>
          <w:u w:val="none"/>
          <w:vertAlign w:val="baseline"/>
        </w:rPr>
        <w:t>Governments &gt; Local Governments &gt; Claims By &amp; Against</w:t>
      </w:r>
    </w:p>
    <w:p>
      <w:pPr>
        <w:keepNext w:val="0"/>
        <w:widowControl w:val="0"/>
        <w:spacing w:before="240" w:after="0" w:line="300" w:lineRule="atLeast"/>
        <w:ind w:left="0" w:right="0" w:firstLine="0"/>
        <w:jc w:val="both"/>
      </w:pPr>
      <w:hyperlink r:id="rId13" w:history="1">
        <w:r>
          <w:rPr>
            <w:rFonts w:ascii="times" w:eastAsia="times" w:hAnsi="times" w:cs="times"/>
            <w:b/>
            <w:i/>
            <w:strike w:val="0"/>
            <w:color w:val="0077CC"/>
            <w:sz w:val="24"/>
            <w:u w:val="single"/>
            <w:shd w:val="clear" w:color="auto" w:fill="FFFFFF"/>
            <w:vertAlign w:val="baseline"/>
          </w:rPr>
          <w:t>HN2</w:t>
        </w:r>
      </w:hyperlink>
      <w:r>
        <w:rPr>
          <w:rFonts w:ascii="times" w:eastAsia="times" w:hAnsi="times" w:cs="times"/>
          <w:b w:val="0"/>
          <w:i w:val="0"/>
          <w:strike w:val="0"/>
          <w:noProof w:val="0"/>
          <w:color w:val="000000"/>
          <w:position w:val="0"/>
          <w:sz w:val="24"/>
          <w:u w:val="none"/>
          <w:vertAlign w:val="baseline"/>
        </w:rPr>
        <w:t xml:space="preserve"> </w:t>
      </w:r>
      <w:r>
        <w:rPr>
          <w:rFonts w:ascii="times" w:eastAsia="times" w:hAnsi="times" w:cs="times"/>
          <w:b/>
          <w:i w:val="0"/>
          <w:strike w:val="0"/>
          <w:noProof w:val="0"/>
          <w:color w:val="000000"/>
          <w:position w:val="0"/>
          <w:sz w:val="24"/>
          <w:u w:val="none"/>
          <w:vertAlign w:val="baseline"/>
        </w:rPr>
        <w:t> Local Governments, Claims By &amp; Against</w:t>
      </w:r>
    </w:p>
    <w:p>
      <w:pPr>
        <w:keepNext w:val="0"/>
        <w:widowControl w:val="0"/>
        <w:spacing w:before="240" w:after="0" w:line="300" w:lineRule="atLeast"/>
        <w:ind w:left="0" w:right="0" w:firstLine="0"/>
        <w:jc w:val="both"/>
      </w:pPr>
      <w:bookmarkStart w:id="12" w:name="Bookmark_hnpara_2"/>
      <w:bookmarkEnd w:id="12"/>
      <w:r>
        <w:rPr>
          <w:rFonts w:ascii="times" w:eastAsia="times" w:hAnsi="times" w:cs="times"/>
          <w:b w:val="0"/>
          <w:i w:val="0"/>
          <w:strike w:val="0"/>
          <w:noProof w:val="0"/>
          <w:color w:val="000000"/>
          <w:position w:val="0"/>
          <w:sz w:val="24"/>
          <w:u w:val="none"/>
          <w:vertAlign w:val="baseline"/>
        </w:rPr>
        <w:t xml:space="preserve">A plaintiff seeking to sue a municipality for money damages must notify the municipality in an ante litem notice stating the time, place, and extent of the injury, as nearly as practicable, and the negligence which caused the injury within six months of the event upon which the claim is predicated. </w:t>
      </w:r>
      <w:hyperlink r:id="rId14" w:history="1">
        <w:r>
          <w:rPr>
            <w:rFonts w:ascii="times" w:eastAsia="times" w:hAnsi="times" w:cs="times"/>
            <w:b w:val="0"/>
            <w:i/>
            <w:strike w:val="0"/>
            <w:noProof w:val="0"/>
            <w:color w:val="0077CC"/>
            <w:position w:val="0"/>
            <w:sz w:val="24"/>
            <w:u w:val="single"/>
            <w:shd w:val="clear" w:color="auto" w:fill="FFFFFF"/>
            <w:vertAlign w:val="baseline"/>
          </w:rPr>
          <w:t>O.C.G.A. § 36-33-5(b)</w:t>
        </w:r>
      </w:hyperlink>
      <w:r>
        <w:rPr>
          <w:rFonts w:ascii="times" w:eastAsia="times" w:hAnsi="times" w:cs="times"/>
          <w:b w:val="0"/>
          <w:i w:val="0"/>
          <w:strike w:val="0"/>
          <w:noProof w:val="0"/>
          <w:color w:val="000000"/>
          <w:position w:val="0"/>
          <w:sz w:val="24"/>
          <w:u w:val="none"/>
          <w:vertAlign w:val="baseline"/>
        </w:rPr>
        <w:t xml:space="preserve">. The giving of the ante litem notice in the manner and within the time required by the statute is a condition precedent to the maintenance of a suit on the claim. Because the statute is in derogation of the common law, a plaintiff only needs to demonstrate substantial compliance with the requirements of </w:t>
      </w:r>
      <w:hyperlink r:id="rId15" w:history="1">
        <w:r>
          <w:rPr>
            <w:rFonts w:ascii="times" w:eastAsia="times" w:hAnsi="times" w:cs="times"/>
            <w:b w:val="0"/>
            <w:i/>
            <w:strike w:val="0"/>
            <w:noProof w:val="0"/>
            <w:color w:val="0077CC"/>
            <w:position w:val="0"/>
            <w:sz w:val="24"/>
            <w:u w:val="single"/>
            <w:shd w:val="clear" w:color="auto" w:fill="FFFFFF"/>
            <w:vertAlign w:val="baseline"/>
          </w:rPr>
          <w:t>O.C.G.A. § 36-33-5(b)</w:t>
        </w:r>
      </w:hyperlink>
      <w:r>
        <w:rPr>
          <w:rFonts w:ascii="times" w:eastAsia="times" w:hAnsi="times" w:cs="times"/>
          <w:b w:val="0"/>
          <w:i w:val="0"/>
          <w:strike w:val="0"/>
          <w:noProof w:val="0"/>
          <w:color w:val="000000"/>
          <w:position w:val="0"/>
          <w:sz w:val="24"/>
          <w:u w:val="none"/>
          <w:vertAlign w:val="baseline"/>
        </w:rPr>
        <w:t>.</w:t>
      </w:r>
    </w:p>
    <w:p>
      <w:pPr>
        <w:spacing w:before="120"/>
      </w:pPr>
      <w:bookmarkStart w:id="13" w:name="Bookmark_clscc3"/>
      <w:bookmarkEnd w:id="13"/>
    </w:p>
    <w:p>
      <w:pPr>
        <w:keepNext w:val="0"/>
        <w:widowControl w:val="0"/>
        <w:spacing w:before="240" w:after="0" w:line="300" w:lineRule="atLeast"/>
        <w:ind w:left="360" w:right="0" w:firstLine="0"/>
        <w:jc w:val="left"/>
      </w:pPr>
      <w:r>
        <w:rPr>
          <w:rFonts w:ascii="times" w:eastAsia="times" w:hAnsi="times" w:cs="times"/>
          <w:b w:val="0"/>
          <w:i w:val="0"/>
          <w:strike w:val="0"/>
          <w:noProof w:val="0"/>
          <w:color w:val="000000"/>
          <w:position w:val="0"/>
          <w:sz w:val="24"/>
          <w:u w:val="none"/>
          <w:vertAlign w:val="baseline"/>
        </w:rPr>
        <w:t>Governments &gt; Local Governments &gt; Claims By &amp; Against</w:t>
      </w:r>
    </w:p>
    <w:p>
      <w:pPr>
        <w:keepNext w:val="0"/>
        <w:widowControl w:val="0"/>
        <w:spacing w:before="240" w:after="0" w:line="300" w:lineRule="atLeast"/>
        <w:ind w:left="0" w:right="0" w:firstLine="0"/>
        <w:jc w:val="both"/>
      </w:pPr>
      <w:hyperlink r:id="rId16" w:history="1">
        <w:r>
          <w:rPr>
            <w:rFonts w:ascii="times" w:eastAsia="times" w:hAnsi="times" w:cs="times"/>
            <w:b/>
            <w:i/>
            <w:strike w:val="0"/>
            <w:color w:val="0077CC"/>
            <w:sz w:val="24"/>
            <w:u w:val="single"/>
            <w:shd w:val="clear" w:color="auto" w:fill="FFFFFF"/>
            <w:vertAlign w:val="baseline"/>
          </w:rPr>
          <w:t>HN3</w:t>
        </w:r>
      </w:hyperlink>
      <w:r>
        <w:rPr>
          <w:rFonts w:ascii="times" w:eastAsia="times" w:hAnsi="times" w:cs="times"/>
          <w:b w:val="0"/>
          <w:i w:val="0"/>
          <w:strike w:val="0"/>
          <w:noProof w:val="0"/>
          <w:color w:val="000000"/>
          <w:position w:val="0"/>
          <w:sz w:val="24"/>
          <w:u w:val="none"/>
          <w:vertAlign w:val="baseline"/>
        </w:rPr>
        <w:t xml:space="preserve"> </w:t>
      </w:r>
      <w:r>
        <w:rPr>
          <w:rFonts w:ascii="times" w:eastAsia="times" w:hAnsi="times" w:cs="times"/>
          <w:b/>
          <w:i w:val="0"/>
          <w:strike w:val="0"/>
          <w:noProof w:val="0"/>
          <w:color w:val="000000"/>
          <w:position w:val="0"/>
          <w:sz w:val="24"/>
          <w:u w:val="none"/>
          <w:vertAlign w:val="baseline"/>
        </w:rPr>
        <w:t> Local Governments, Claims By &amp; Against</w:t>
      </w:r>
    </w:p>
    <w:p>
      <w:pPr>
        <w:keepNext w:val="0"/>
        <w:widowControl w:val="0"/>
        <w:spacing w:before="240" w:after="0" w:line="300" w:lineRule="atLeast"/>
        <w:ind w:left="0" w:right="0" w:firstLine="0"/>
        <w:jc w:val="both"/>
      </w:pPr>
      <w:bookmarkStart w:id="14" w:name="Bookmark_hnpara_3"/>
      <w:bookmarkEnd w:id="14"/>
      <w:hyperlink r:id="rId17" w:history="1">
        <w:r>
          <w:rPr>
            <w:rFonts w:ascii="times" w:eastAsia="times" w:hAnsi="times" w:cs="times"/>
            <w:b w:val="0"/>
            <w:i/>
            <w:strike w:val="0"/>
            <w:color w:val="0077CC"/>
            <w:sz w:val="24"/>
            <w:u w:val="single"/>
            <w:shd w:val="clear" w:color="auto" w:fill="FFFFFF"/>
            <w:vertAlign w:val="baseline"/>
          </w:rPr>
          <w:t>O.C.G.A. § 36-33-5(f)</w:t>
        </w:r>
      </w:hyperlink>
      <w:r>
        <w:rPr>
          <w:rFonts w:ascii="times" w:eastAsia="times" w:hAnsi="times" w:cs="times"/>
          <w:b w:val="0"/>
          <w:i w:val="0"/>
          <w:strike w:val="0"/>
          <w:noProof w:val="0"/>
          <w:color w:val="000000"/>
          <w:position w:val="0"/>
          <w:sz w:val="24"/>
          <w:u w:val="none"/>
          <w:vertAlign w:val="baseline"/>
        </w:rPr>
        <w:t xml:space="preserve"> requires a claimant to serve the ante litem notice upon the mayor or the chairperson of the city council or city commission.</w:t>
      </w:r>
    </w:p>
    <w:p>
      <w:pPr>
        <w:spacing w:before="120"/>
      </w:pPr>
      <w:bookmarkStart w:id="15" w:name="Bookmark_clscc4"/>
      <w:bookmarkEnd w:id="15"/>
    </w:p>
    <w:p>
      <w:pPr>
        <w:keepNext w:val="0"/>
        <w:widowControl w:val="0"/>
        <w:spacing w:before="240" w:after="0" w:line="300" w:lineRule="atLeast"/>
        <w:ind w:left="360" w:right="0" w:firstLine="0"/>
        <w:jc w:val="left"/>
      </w:pPr>
      <w:r>
        <w:rPr>
          <w:rFonts w:ascii="times" w:eastAsia="times" w:hAnsi="times" w:cs="times"/>
          <w:b w:val="0"/>
          <w:i w:val="0"/>
          <w:strike w:val="0"/>
          <w:noProof w:val="0"/>
          <w:color w:val="000000"/>
          <w:position w:val="0"/>
          <w:sz w:val="24"/>
          <w:u w:val="none"/>
          <w:vertAlign w:val="baseline"/>
        </w:rPr>
        <w:t>Governments &gt; Local Governments &gt; Claims By &amp; Against</w:t>
      </w:r>
    </w:p>
    <w:p>
      <w:pPr>
        <w:keepNext w:val="0"/>
        <w:widowControl w:val="0"/>
        <w:spacing w:before="240" w:after="0" w:line="300" w:lineRule="atLeast"/>
        <w:ind w:left="0" w:right="0" w:firstLine="0"/>
        <w:jc w:val="both"/>
      </w:pPr>
      <w:hyperlink r:id="rId18" w:history="1">
        <w:r>
          <w:rPr>
            <w:rFonts w:ascii="times" w:eastAsia="times" w:hAnsi="times" w:cs="times"/>
            <w:b/>
            <w:i/>
            <w:strike w:val="0"/>
            <w:color w:val="0077CC"/>
            <w:sz w:val="24"/>
            <w:u w:val="single"/>
            <w:shd w:val="clear" w:color="auto" w:fill="FFFFFF"/>
            <w:vertAlign w:val="baseline"/>
          </w:rPr>
          <w:t>HN4</w:t>
        </w:r>
      </w:hyperlink>
      <w:r>
        <w:rPr>
          <w:rFonts w:ascii="times" w:eastAsia="times" w:hAnsi="times" w:cs="times"/>
          <w:b w:val="0"/>
          <w:i w:val="0"/>
          <w:strike w:val="0"/>
          <w:noProof w:val="0"/>
          <w:color w:val="000000"/>
          <w:position w:val="0"/>
          <w:sz w:val="24"/>
          <w:u w:val="none"/>
          <w:vertAlign w:val="baseline"/>
        </w:rPr>
        <w:t xml:space="preserve"> </w:t>
      </w:r>
      <w:r>
        <w:rPr>
          <w:rFonts w:ascii="times" w:eastAsia="times" w:hAnsi="times" w:cs="times"/>
          <w:b/>
          <w:i w:val="0"/>
          <w:strike w:val="0"/>
          <w:noProof w:val="0"/>
          <w:color w:val="000000"/>
          <w:position w:val="0"/>
          <w:sz w:val="24"/>
          <w:u w:val="none"/>
          <w:vertAlign w:val="baseline"/>
        </w:rPr>
        <w:t> Local Governments, Claims By &amp; Against</w:t>
      </w:r>
    </w:p>
    <w:p>
      <w:pPr>
        <w:keepNext w:val="0"/>
        <w:widowControl w:val="0"/>
        <w:spacing w:before="240" w:after="0" w:line="300" w:lineRule="atLeast"/>
        <w:ind w:left="0" w:right="0" w:firstLine="0"/>
        <w:jc w:val="both"/>
      </w:pPr>
      <w:bookmarkStart w:id="16" w:name="Bookmark_hnpara_4"/>
      <w:bookmarkEnd w:id="16"/>
      <w:r>
        <w:rPr>
          <w:rFonts w:ascii="times" w:eastAsia="times" w:hAnsi="times" w:cs="times"/>
          <w:b w:val="0"/>
          <w:i w:val="0"/>
          <w:strike w:val="0"/>
          <w:noProof w:val="0"/>
          <w:color w:val="000000"/>
          <w:position w:val="0"/>
          <w:sz w:val="24"/>
          <w:u w:val="none"/>
          <w:vertAlign w:val="baseline"/>
        </w:rPr>
        <w:t xml:space="preserve">A plaintiff must strictly comply with </w:t>
      </w:r>
      <w:hyperlink r:id="rId19" w:history="1">
        <w:r>
          <w:rPr>
            <w:rFonts w:ascii="times" w:eastAsia="times" w:hAnsi="times" w:cs="times"/>
            <w:b w:val="0"/>
            <w:i/>
            <w:strike w:val="0"/>
            <w:noProof w:val="0"/>
            <w:color w:val="0077CC"/>
            <w:position w:val="0"/>
            <w:sz w:val="24"/>
            <w:u w:val="single"/>
            <w:shd w:val="clear" w:color="auto" w:fill="FFFFFF"/>
            <w:vertAlign w:val="baseline"/>
          </w:rPr>
          <w:t>O.C.G.A. § 36-33-5(f)</w:t>
        </w:r>
      </w:hyperlink>
      <w:r>
        <w:rPr>
          <w:rFonts w:ascii="times" w:eastAsia="times" w:hAnsi="times" w:cs="times"/>
          <w:b w:val="0"/>
          <w:i w:val="0"/>
          <w:strike w:val="0"/>
          <w:noProof w:val="0"/>
          <w:color w:val="000000"/>
          <w:position w:val="0"/>
          <w:sz w:val="24"/>
          <w:u w:val="none"/>
          <w:vertAlign w:val="baseline"/>
        </w:rPr>
        <w:t>.</w:t>
      </w:r>
    </w:p>
    <w:p>
      <w:pPr>
        <w:spacing w:before="120"/>
      </w:pPr>
      <w:bookmarkStart w:id="17" w:name="Bookmark_clscc5"/>
      <w:bookmarkEnd w:id="17"/>
    </w:p>
    <w:p>
      <w:pPr>
        <w:keepNext w:val="0"/>
        <w:widowControl w:val="0"/>
        <w:spacing w:before="240" w:after="0" w:line="300" w:lineRule="atLeast"/>
        <w:ind w:left="360" w:right="0" w:firstLine="0"/>
        <w:jc w:val="left"/>
      </w:pPr>
      <w:r>
        <w:rPr>
          <w:rFonts w:ascii="times" w:eastAsia="times" w:hAnsi="times" w:cs="times"/>
          <w:b w:val="0"/>
          <w:i w:val="0"/>
          <w:strike w:val="0"/>
          <w:noProof w:val="0"/>
          <w:color w:val="000000"/>
          <w:position w:val="0"/>
          <w:sz w:val="24"/>
          <w:u w:val="none"/>
          <w:vertAlign w:val="baseline"/>
        </w:rPr>
        <w:t>Governments &gt; Local Governments &gt; Claims By &amp; Against</w:t>
      </w:r>
    </w:p>
    <w:p>
      <w:pPr>
        <w:keepNext w:val="0"/>
        <w:widowControl w:val="0"/>
        <w:spacing w:before="240" w:after="0" w:line="300" w:lineRule="atLeast"/>
        <w:ind w:left="0" w:right="0" w:firstLine="0"/>
        <w:jc w:val="both"/>
      </w:pPr>
      <w:hyperlink r:id="rId20" w:history="1">
        <w:r>
          <w:rPr>
            <w:rFonts w:ascii="times" w:eastAsia="times" w:hAnsi="times" w:cs="times"/>
            <w:b/>
            <w:i/>
            <w:strike w:val="0"/>
            <w:color w:val="0077CC"/>
            <w:sz w:val="24"/>
            <w:u w:val="single"/>
            <w:shd w:val="clear" w:color="auto" w:fill="FFFFFF"/>
            <w:vertAlign w:val="baseline"/>
          </w:rPr>
          <w:t>HN5</w:t>
        </w:r>
      </w:hyperlink>
      <w:r>
        <w:rPr>
          <w:rFonts w:ascii="times" w:eastAsia="times" w:hAnsi="times" w:cs="times"/>
          <w:b w:val="0"/>
          <w:i w:val="0"/>
          <w:strike w:val="0"/>
          <w:noProof w:val="0"/>
          <w:color w:val="000000"/>
          <w:position w:val="0"/>
          <w:sz w:val="24"/>
          <w:u w:val="none"/>
          <w:vertAlign w:val="baseline"/>
        </w:rPr>
        <w:t xml:space="preserve"> </w:t>
      </w:r>
      <w:r>
        <w:rPr>
          <w:rFonts w:ascii="times" w:eastAsia="times" w:hAnsi="times" w:cs="times"/>
          <w:b/>
          <w:i w:val="0"/>
          <w:strike w:val="0"/>
          <w:noProof w:val="0"/>
          <w:color w:val="000000"/>
          <w:position w:val="0"/>
          <w:sz w:val="24"/>
          <w:u w:val="none"/>
          <w:vertAlign w:val="baseline"/>
        </w:rPr>
        <w:t> Local Governments, Claims By &amp; Against</w:t>
      </w:r>
    </w:p>
    <w:p>
      <w:pPr>
        <w:keepNext w:val="0"/>
        <w:widowControl w:val="0"/>
        <w:spacing w:before="240" w:after="0" w:line="300" w:lineRule="atLeast"/>
        <w:ind w:left="0" w:right="0" w:firstLine="0"/>
        <w:jc w:val="both"/>
      </w:pPr>
      <w:bookmarkStart w:id="18" w:name="Bookmark_hnpara_5"/>
      <w:bookmarkEnd w:id="18"/>
      <w:r>
        <w:rPr>
          <w:rFonts w:ascii="times" w:eastAsia="times" w:hAnsi="times" w:cs="times"/>
          <w:b w:val="0"/>
          <w:i w:val="0"/>
          <w:strike w:val="0"/>
          <w:noProof w:val="0"/>
          <w:color w:val="000000"/>
          <w:position w:val="0"/>
          <w:sz w:val="24"/>
          <w:u w:val="none"/>
          <w:vertAlign w:val="baseline"/>
        </w:rPr>
        <w:t xml:space="preserve">Strict compliance with </w:t>
      </w:r>
      <w:hyperlink r:id="rId21" w:history="1">
        <w:r>
          <w:rPr>
            <w:rFonts w:ascii="times" w:eastAsia="times" w:hAnsi="times" w:cs="times"/>
            <w:b w:val="0"/>
            <w:i/>
            <w:strike w:val="0"/>
            <w:noProof w:val="0"/>
            <w:color w:val="0077CC"/>
            <w:position w:val="0"/>
            <w:sz w:val="24"/>
            <w:u w:val="single"/>
            <w:shd w:val="clear" w:color="auto" w:fill="FFFFFF"/>
            <w:vertAlign w:val="baseline"/>
          </w:rPr>
          <w:t>O.C.G.A. § 36-33-5(e)</w:t>
        </w:r>
      </w:hyperlink>
      <w:r>
        <w:rPr>
          <w:rFonts w:ascii="times" w:eastAsia="times" w:hAnsi="times" w:cs="times"/>
          <w:b w:val="0"/>
          <w:i w:val="0"/>
          <w:strike w:val="0"/>
          <w:noProof w:val="0"/>
          <w:color w:val="000000"/>
          <w:position w:val="0"/>
          <w:sz w:val="24"/>
          <w:u w:val="none"/>
          <w:vertAlign w:val="baseline"/>
        </w:rPr>
        <w:t xml:space="preserve"> does not take precedence over the plain language or meaning of the statute, nor does it require a hyper-technical construction.</w:t>
      </w:r>
    </w:p>
    <w:p>
      <w:pPr>
        <w:spacing w:before="120"/>
      </w:pPr>
      <w:bookmarkStart w:id="19" w:name="Bookmark_clscc6"/>
      <w:bookmarkEnd w:id="19"/>
    </w:p>
    <w:p>
      <w:pPr>
        <w:keepNext w:val="0"/>
        <w:widowControl w:val="0"/>
        <w:spacing w:before="240" w:after="0" w:line="300" w:lineRule="atLeast"/>
        <w:ind w:left="360" w:right="0" w:firstLine="0"/>
        <w:jc w:val="left"/>
      </w:pPr>
      <w:r>
        <w:rPr>
          <w:rFonts w:ascii="times" w:eastAsia="times" w:hAnsi="times" w:cs="times"/>
          <w:b w:val="0"/>
          <w:i w:val="0"/>
          <w:strike w:val="0"/>
          <w:noProof w:val="0"/>
          <w:color w:val="000000"/>
          <w:position w:val="0"/>
          <w:sz w:val="24"/>
          <w:u w:val="none"/>
          <w:vertAlign w:val="baseline"/>
        </w:rPr>
        <w:t>Governments &gt; Legislation &gt; Interpretation</w:t>
      </w:r>
    </w:p>
    <w:p>
      <w:pPr>
        <w:keepNext w:val="0"/>
        <w:widowControl w:val="0"/>
        <w:spacing w:before="240" w:after="0" w:line="300" w:lineRule="atLeast"/>
        <w:ind w:left="0" w:right="0" w:firstLine="0"/>
        <w:jc w:val="both"/>
      </w:pPr>
      <w:hyperlink r:id="rId22" w:history="1">
        <w:r>
          <w:rPr>
            <w:rFonts w:ascii="times" w:eastAsia="times" w:hAnsi="times" w:cs="times"/>
            <w:b/>
            <w:i/>
            <w:strike w:val="0"/>
            <w:color w:val="0077CC"/>
            <w:sz w:val="24"/>
            <w:u w:val="single"/>
            <w:shd w:val="clear" w:color="auto" w:fill="FFFFFF"/>
            <w:vertAlign w:val="baseline"/>
          </w:rPr>
          <w:t>HN6</w:t>
        </w:r>
      </w:hyperlink>
      <w:r>
        <w:rPr>
          <w:rFonts w:ascii="times" w:eastAsia="times" w:hAnsi="times" w:cs="times"/>
          <w:b w:val="0"/>
          <w:i w:val="0"/>
          <w:strike w:val="0"/>
          <w:noProof w:val="0"/>
          <w:color w:val="000000"/>
          <w:position w:val="0"/>
          <w:sz w:val="24"/>
          <w:u w:val="none"/>
          <w:vertAlign w:val="baseline"/>
        </w:rPr>
        <w:t xml:space="preserve"> </w:t>
      </w:r>
      <w:r>
        <w:rPr>
          <w:rFonts w:ascii="times" w:eastAsia="times" w:hAnsi="times" w:cs="times"/>
          <w:b/>
          <w:i w:val="0"/>
          <w:strike w:val="0"/>
          <w:noProof w:val="0"/>
          <w:color w:val="000000"/>
          <w:position w:val="0"/>
          <w:sz w:val="24"/>
          <w:u w:val="none"/>
          <w:vertAlign w:val="baseline"/>
        </w:rPr>
        <w:t> Legislation, Interpretation</w:t>
      </w:r>
    </w:p>
    <w:p>
      <w:pPr>
        <w:keepNext w:val="0"/>
        <w:widowControl w:val="0"/>
        <w:spacing w:before="240" w:after="0" w:line="300" w:lineRule="atLeast"/>
        <w:ind w:left="0" w:right="0" w:firstLine="0"/>
        <w:jc w:val="both"/>
      </w:pPr>
      <w:bookmarkStart w:id="20" w:name="Bookmark_hnpara_6"/>
      <w:bookmarkEnd w:id="20"/>
      <w:r>
        <w:rPr>
          <w:rFonts w:ascii="times" w:eastAsia="times" w:hAnsi="times" w:cs="times"/>
          <w:b w:val="0"/>
          <w:i w:val="0"/>
          <w:strike w:val="0"/>
          <w:noProof w:val="0"/>
          <w:color w:val="000000"/>
          <w:position w:val="0"/>
          <w:sz w:val="24"/>
          <w:u w:val="none"/>
          <w:vertAlign w:val="baseline"/>
        </w:rPr>
        <w:t>A court must presume that the General Assembly meant what it said and said what it meant.</w:t>
      </w:r>
    </w:p>
    <w:p>
      <w:pPr>
        <w:spacing w:before="120"/>
      </w:pPr>
      <w:bookmarkStart w:id="21" w:name="Bookmark_clscc7"/>
      <w:bookmarkEnd w:id="21"/>
    </w:p>
    <w:p>
      <w:pPr>
        <w:keepNext w:val="0"/>
        <w:widowControl w:val="0"/>
        <w:spacing w:before="240" w:after="0" w:line="300" w:lineRule="atLeast"/>
        <w:ind w:left="360" w:right="0" w:firstLine="0"/>
        <w:jc w:val="left"/>
      </w:pPr>
      <w:r>
        <w:rPr>
          <w:rFonts w:ascii="times" w:eastAsia="times" w:hAnsi="times" w:cs="times"/>
          <w:b w:val="0"/>
          <w:i w:val="0"/>
          <w:strike w:val="0"/>
          <w:noProof w:val="0"/>
          <w:color w:val="000000"/>
          <w:position w:val="0"/>
          <w:sz w:val="24"/>
          <w:u w:val="none"/>
          <w:vertAlign w:val="baseline"/>
        </w:rPr>
        <w:t>Governments &gt; Local Governments &gt; Claims By &amp; Against</w:t>
      </w:r>
    </w:p>
    <w:p>
      <w:pPr>
        <w:keepNext w:val="0"/>
        <w:widowControl w:val="0"/>
        <w:spacing w:before="240" w:after="0" w:line="300" w:lineRule="atLeast"/>
        <w:ind w:left="0" w:right="0" w:firstLine="0"/>
        <w:jc w:val="both"/>
      </w:pPr>
      <w:hyperlink r:id="rId23" w:history="1">
        <w:r>
          <w:rPr>
            <w:rFonts w:ascii="times" w:eastAsia="times" w:hAnsi="times" w:cs="times"/>
            <w:b/>
            <w:i/>
            <w:strike w:val="0"/>
            <w:color w:val="0077CC"/>
            <w:sz w:val="24"/>
            <w:u w:val="single"/>
            <w:shd w:val="clear" w:color="auto" w:fill="FFFFFF"/>
            <w:vertAlign w:val="baseline"/>
          </w:rPr>
          <w:t>HN7</w:t>
        </w:r>
      </w:hyperlink>
      <w:r>
        <w:rPr>
          <w:rFonts w:ascii="times" w:eastAsia="times" w:hAnsi="times" w:cs="times"/>
          <w:b w:val="0"/>
          <w:i w:val="0"/>
          <w:strike w:val="0"/>
          <w:noProof w:val="0"/>
          <w:color w:val="000000"/>
          <w:position w:val="0"/>
          <w:sz w:val="24"/>
          <w:u w:val="none"/>
          <w:vertAlign w:val="baseline"/>
        </w:rPr>
        <w:t xml:space="preserve"> </w:t>
      </w:r>
      <w:r>
        <w:rPr>
          <w:rFonts w:ascii="times" w:eastAsia="times" w:hAnsi="times" w:cs="times"/>
          <w:b/>
          <w:i w:val="0"/>
          <w:strike w:val="0"/>
          <w:noProof w:val="0"/>
          <w:color w:val="000000"/>
          <w:position w:val="0"/>
          <w:sz w:val="24"/>
          <w:u w:val="none"/>
          <w:vertAlign w:val="baseline"/>
        </w:rPr>
        <w:t> Local Governments, Claims By &amp; Against</w:t>
      </w:r>
    </w:p>
    <w:p>
      <w:pPr>
        <w:keepNext w:val="0"/>
        <w:widowControl w:val="0"/>
        <w:spacing w:before="240" w:after="0" w:line="300" w:lineRule="atLeast"/>
        <w:ind w:left="0" w:right="0" w:firstLine="0"/>
        <w:jc w:val="both"/>
      </w:pPr>
      <w:bookmarkStart w:id="22" w:name="Bookmark_hnpara_7"/>
      <w:bookmarkEnd w:id="22"/>
      <w:r>
        <w:rPr>
          <w:rFonts w:ascii="times" w:eastAsia="times" w:hAnsi="times" w:cs="times"/>
          <w:b w:val="0"/>
          <w:i w:val="0"/>
          <w:strike w:val="0"/>
          <w:noProof w:val="0"/>
          <w:color w:val="000000"/>
          <w:position w:val="0"/>
          <w:sz w:val="24"/>
          <w:u w:val="none"/>
          <w:vertAlign w:val="baseline"/>
        </w:rPr>
        <w:t xml:space="preserve">The purpose of the ante litem notice requirement in </w:t>
      </w:r>
      <w:hyperlink r:id="rId24" w:history="1">
        <w:r>
          <w:rPr>
            <w:rFonts w:ascii="times" w:eastAsia="times" w:hAnsi="times" w:cs="times"/>
            <w:b w:val="0"/>
            <w:i/>
            <w:strike w:val="0"/>
            <w:noProof w:val="0"/>
            <w:color w:val="0077CC"/>
            <w:position w:val="0"/>
            <w:sz w:val="24"/>
            <w:u w:val="single"/>
            <w:shd w:val="clear" w:color="auto" w:fill="FFFFFF"/>
            <w:vertAlign w:val="baseline"/>
          </w:rPr>
          <w:t>O.C.G.A. § 36-33-5(e)</w:t>
        </w:r>
      </w:hyperlink>
      <w:r>
        <w:rPr>
          <w:rFonts w:ascii="times" w:eastAsia="times" w:hAnsi="times" w:cs="times"/>
          <w:b w:val="0"/>
          <w:i w:val="0"/>
          <w:strike w:val="0"/>
          <w:noProof w:val="0"/>
          <w:color w:val="000000"/>
          <w:position w:val="0"/>
          <w:sz w:val="24"/>
          <w:u w:val="none"/>
          <w:vertAlign w:val="baseline"/>
        </w:rPr>
        <w:t xml:space="preserve"> is to give the municipality the opportunity to investigate potential claims, ascertain the evidence, and avoid unnecessary litigation. Ante litem notice provides notice to the governmental entity of the magnitude of the claim.</w:t>
      </w:r>
    </w:p>
    <w:p>
      <w:pPr>
        <w:spacing w:before="120"/>
      </w:pPr>
      <w:bookmarkStart w:id="23" w:name="Bookmark_clscc8"/>
      <w:bookmarkEnd w:id="23"/>
    </w:p>
    <w:p>
      <w:pPr>
        <w:keepNext w:val="0"/>
        <w:widowControl w:val="0"/>
        <w:spacing w:before="240" w:after="0" w:line="300" w:lineRule="atLeast"/>
        <w:ind w:left="360" w:right="0" w:firstLine="0"/>
        <w:jc w:val="left"/>
      </w:pPr>
      <w:r>
        <w:rPr>
          <w:rFonts w:ascii="times" w:eastAsia="times" w:hAnsi="times" w:cs="times"/>
          <w:b w:val="0"/>
          <w:i w:val="0"/>
          <w:strike w:val="0"/>
          <w:noProof w:val="0"/>
          <w:color w:val="000000"/>
          <w:position w:val="0"/>
          <w:sz w:val="24"/>
          <w:u w:val="none"/>
          <w:vertAlign w:val="baseline"/>
        </w:rPr>
        <w:t>Governments &gt; Local Governments &gt; Claims By &amp; Against</w:t>
      </w:r>
    </w:p>
    <w:p>
      <w:pPr>
        <w:keepNext w:val="0"/>
        <w:widowControl w:val="0"/>
        <w:spacing w:before="240" w:after="0" w:line="300" w:lineRule="atLeast"/>
        <w:ind w:left="0" w:right="0" w:firstLine="0"/>
        <w:jc w:val="both"/>
      </w:pPr>
      <w:hyperlink r:id="rId25" w:history="1">
        <w:r>
          <w:rPr>
            <w:rFonts w:ascii="times" w:eastAsia="times" w:hAnsi="times" w:cs="times"/>
            <w:b/>
            <w:i/>
            <w:strike w:val="0"/>
            <w:color w:val="0077CC"/>
            <w:sz w:val="24"/>
            <w:u w:val="single"/>
            <w:shd w:val="clear" w:color="auto" w:fill="FFFFFF"/>
            <w:vertAlign w:val="baseline"/>
          </w:rPr>
          <w:t>HN8</w:t>
        </w:r>
      </w:hyperlink>
      <w:r>
        <w:rPr>
          <w:rFonts w:ascii="times" w:eastAsia="times" w:hAnsi="times" w:cs="times"/>
          <w:b w:val="0"/>
          <w:i w:val="0"/>
          <w:strike w:val="0"/>
          <w:noProof w:val="0"/>
          <w:color w:val="000000"/>
          <w:position w:val="0"/>
          <w:sz w:val="24"/>
          <w:u w:val="none"/>
          <w:vertAlign w:val="baseline"/>
        </w:rPr>
        <w:t xml:space="preserve"> </w:t>
      </w:r>
      <w:r>
        <w:rPr>
          <w:rFonts w:ascii="times" w:eastAsia="times" w:hAnsi="times" w:cs="times"/>
          <w:b/>
          <w:i w:val="0"/>
          <w:strike w:val="0"/>
          <w:noProof w:val="0"/>
          <w:color w:val="000000"/>
          <w:position w:val="0"/>
          <w:sz w:val="24"/>
          <w:u w:val="none"/>
          <w:vertAlign w:val="baseline"/>
        </w:rPr>
        <w:t> Local Governments, Claims By &amp; Against</w:t>
      </w:r>
    </w:p>
    <w:p>
      <w:pPr>
        <w:keepNext w:val="0"/>
        <w:widowControl w:val="0"/>
        <w:spacing w:before="240" w:after="0" w:line="300" w:lineRule="atLeast"/>
        <w:ind w:left="0" w:right="0" w:firstLine="0"/>
        <w:jc w:val="both"/>
      </w:pPr>
      <w:bookmarkStart w:id="24" w:name="Bookmark_hnpara_8"/>
      <w:bookmarkEnd w:id="24"/>
      <w:hyperlink r:id="rId26" w:history="1">
        <w:r>
          <w:rPr>
            <w:rFonts w:ascii="times" w:eastAsia="times" w:hAnsi="times" w:cs="times"/>
            <w:b w:val="0"/>
            <w:i/>
            <w:strike w:val="0"/>
            <w:color w:val="0077CC"/>
            <w:sz w:val="24"/>
            <w:u w:val="single"/>
            <w:shd w:val="clear" w:color="auto" w:fill="FFFFFF"/>
            <w:vertAlign w:val="baseline"/>
          </w:rPr>
          <w:t>O.C.G.A. § 36-33-5(e)</w:t>
        </w:r>
      </w:hyperlink>
      <w:r>
        <w:rPr>
          <w:rFonts w:ascii="times" w:eastAsia="times" w:hAnsi="times" w:cs="times"/>
          <w:b w:val="0"/>
          <w:i w:val="0"/>
          <w:strike w:val="0"/>
          <w:noProof w:val="0"/>
          <w:color w:val="000000"/>
          <w:position w:val="0"/>
          <w:sz w:val="24"/>
          <w:u w:val="none"/>
          <w:vertAlign w:val="baseline"/>
        </w:rPr>
        <w:t xml:space="preserve"> does not require a potential plaintiff to provide the actual dollar amount of the damages allegedly incurred, which might be difficult to quantify. Instead, the provision requires the ante litem notice to provide the specific amount of monetary damages being sought from the city, i.e., a settlement offer. Additionally, given the six-month period to present the ante litem notice, </w:t>
      </w:r>
      <w:hyperlink r:id="rId27" w:history="1">
        <w:r>
          <w:rPr>
            <w:rFonts w:ascii="times" w:eastAsia="times" w:hAnsi="times" w:cs="times"/>
            <w:b w:val="0"/>
            <w:i/>
            <w:strike w:val="0"/>
            <w:noProof w:val="0"/>
            <w:color w:val="0077CC"/>
            <w:position w:val="0"/>
            <w:sz w:val="24"/>
            <w:u w:val="single"/>
            <w:shd w:val="clear" w:color="auto" w:fill="FFFFFF"/>
            <w:vertAlign w:val="baseline"/>
          </w:rPr>
          <w:t>O.C.G.A. § 36-33-5(b)</w:t>
        </w:r>
      </w:hyperlink>
      <w:r>
        <w:rPr>
          <w:rFonts w:ascii="times" w:eastAsia="times" w:hAnsi="times" w:cs="times"/>
          <w:b w:val="0"/>
          <w:i w:val="0"/>
          <w:strike w:val="0"/>
          <w:noProof w:val="0"/>
          <w:color w:val="000000"/>
          <w:position w:val="0"/>
          <w:sz w:val="24"/>
          <w:u w:val="none"/>
          <w:vertAlign w:val="baseline"/>
        </w:rPr>
        <w:t xml:space="preserve">, and the implication in </w:t>
      </w:r>
      <w:hyperlink r:id="rId28" w:history="1">
        <w:r>
          <w:rPr>
            <w:rFonts w:ascii="times" w:eastAsia="times" w:hAnsi="times" w:cs="times"/>
            <w:b w:val="0"/>
            <w:i/>
            <w:strike w:val="0"/>
            <w:noProof w:val="0"/>
            <w:color w:val="0077CC"/>
            <w:position w:val="0"/>
            <w:sz w:val="24"/>
            <w:u w:val="single"/>
            <w:shd w:val="clear" w:color="auto" w:fill="FFFFFF"/>
            <w:vertAlign w:val="baseline"/>
          </w:rPr>
          <w:t>O.C.G.A. § 36-33-5(e)</w:t>
        </w:r>
      </w:hyperlink>
      <w:r>
        <w:rPr>
          <w:rFonts w:ascii="times" w:eastAsia="times" w:hAnsi="times" w:cs="times"/>
          <w:b w:val="0"/>
          <w:i w:val="0"/>
          <w:strike w:val="0"/>
          <w:noProof w:val="0"/>
          <w:color w:val="000000"/>
          <w:position w:val="0"/>
          <w:sz w:val="24"/>
          <w:u w:val="none"/>
          <w:vertAlign w:val="baseline"/>
        </w:rPr>
        <w:t xml:space="preserve"> that a municipality may accept the amount stated in the ante litem notice as a binding settlement, a claimant necessarily estimates any ongoing, future, and special damages in providing a specific monetary figure in the ante litem notice. A plaintiff can include any prospective future costs related to the injuries into the specified monetary amount of the ante litem notice, as a plaintiff would do if the case went to trial before he completed medical treatment.</w:t>
      </w:r>
    </w:p>
    <w:p>
      <w:pPr>
        <w:spacing w:before="120"/>
      </w:pPr>
      <w:bookmarkStart w:id="25" w:name="Bookmark_clscc9"/>
      <w:bookmarkEnd w:id="25"/>
    </w:p>
    <w:p>
      <w:pPr>
        <w:keepNext w:val="0"/>
        <w:widowControl w:val="0"/>
        <w:spacing w:before="240" w:after="0" w:line="300" w:lineRule="atLeast"/>
        <w:ind w:left="360" w:right="0" w:firstLine="0"/>
        <w:jc w:val="left"/>
      </w:pPr>
      <w:r>
        <w:rPr>
          <w:rFonts w:ascii="times" w:eastAsia="times" w:hAnsi="times" w:cs="times"/>
          <w:b w:val="0"/>
          <w:i w:val="0"/>
          <w:strike w:val="0"/>
          <w:noProof w:val="0"/>
          <w:color w:val="000000"/>
          <w:position w:val="0"/>
          <w:sz w:val="24"/>
          <w:u w:val="none"/>
          <w:vertAlign w:val="baseline"/>
        </w:rPr>
        <w:t>Civil Procedure &gt; Settlements &gt; Offers of Judgment</w:t>
      </w:r>
    </w:p>
    <w:p>
      <w:pPr>
        <w:keepNext w:val="0"/>
        <w:widowControl w:val="0"/>
        <w:spacing w:before="240" w:after="0" w:line="300" w:lineRule="atLeast"/>
        <w:ind w:left="360" w:right="0" w:firstLine="0"/>
        <w:jc w:val="left"/>
      </w:pPr>
      <w:r>
        <w:rPr>
          <w:rFonts w:ascii="times" w:eastAsia="times" w:hAnsi="times" w:cs="times"/>
          <w:b w:val="0"/>
          <w:i w:val="0"/>
          <w:strike w:val="0"/>
          <w:noProof w:val="0"/>
          <w:color w:val="000000"/>
          <w:position w:val="0"/>
          <w:sz w:val="24"/>
          <w:u w:val="none"/>
          <w:vertAlign w:val="baseline"/>
        </w:rPr>
        <w:t>Governments &gt; Local Governments &gt; Claims By &amp; Against</w:t>
      </w:r>
    </w:p>
    <w:p>
      <w:pPr>
        <w:keepNext w:val="0"/>
        <w:widowControl w:val="0"/>
        <w:spacing w:before="240" w:after="0" w:line="300" w:lineRule="atLeast"/>
        <w:ind w:left="360" w:right="0" w:firstLine="0"/>
        <w:jc w:val="left"/>
      </w:pPr>
      <w:r>
        <w:rPr>
          <w:rFonts w:ascii="times" w:eastAsia="times" w:hAnsi="times" w:cs="times"/>
          <w:b w:val="0"/>
          <w:i w:val="0"/>
          <w:strike w:val="0"/>
          <w:noProof w:val="0"/>
          <w:color w:val="000000"/>
          <w:position w:val="0"/>
          <w:sz w:val="24"/>
          <w:u w:val="none"/>
          <w:vertAlign w:val="baseline"/>
        </w:rPr>
        <w:t>Civil Procedure &gt; Settlements &gt; Settlement Agreements</w:t>
      </w:r>
    </w:p>
    <w:p>
      <w:pPr>
        <w:keepNext w:val="0"/>
        <w:widowControl w:val="0"/>
        <w:spacing w:before="240" w:after="0" w:line="300" w:lineRule="atLeast"/>
        <w:ind w:left="0" w:right="0" w:firstLine="0"/>
        <w:jc w:val="both"/>
      </w:pPr>
      <w:hyperlink r:id="rId29" w:history="1">
        <w:r>
          <w:rPr>
            <w:rFonts w:ascii="times" w:eastAsia="times" w:hAnsi="times" w:cs="times"/>
            <w:b/>
            <w:i/>
            <w:strike w:val="0"/>
            <w:color w:val="0077CC"/>
            <w:sz w:val="24"/>
            <w:u w:val="single"/>
            <w:shd w:val="clear" w:color="auto" w:fill="FFFFFF"/>
            <w:vertAlign w:val="baseline"/>
          </w:rPr>
          <w:t>HN9</w:t>
        </w:r>
      </w:hyperlink>
      <w:r>
        <w:rPr>
          <w:rFonts w:ascii="times" w:eastAsia="times" w:hAnsi="times" w:cs="times"/>
          <w:b w:val="0"/>
          <w:i w:val="0"/>
          <w:strike w:val="0"/>
          <w:noProof w:val="0"/>
          <w:color w:val="000000"/>
          <w:position w:val="0"/>
          <w:sz w:val="24"/>
          <w:u w:val="none"/>
          <w:vertAlign w:val="baseline"/>
        </w:rPr>
        <w:t xml:space="preserve"> </w:t>
      </w:r>
      <w:r>
        <w:rPr>
          <w:rFonts w:ascii="times" w:eastAsia="times" w:hAnsi="times" w:cs="times"/>
          <w:b/>
          <w:i w:val="0"/>
          <w:strike w:val="0"/>
          <w:noProof w:val="0"/>
          <w:color w:val="000000"/>
          <w:position w:val="0"/>
          <w:sz w:val="24"/>
          <w:u w:val="none"/>
          <w:vertAlign w:val="baseline"/>
        </w:rPr>
        <w:t> Settlements, Offers of Judgment</w:t>
      </w:r>
    </w:p>
    <w:p>
      <w:pPr>
        <w:keepNext w:val="0"/>
        <w:widowControl w:val="0"/>
        <w:spacing w:before="240" w:after="0" w:line="300" w:lineRule="atLeast"/>
        <w:ind w:left="0" w:right="0" w:firstLine="0"/>
        <w:jc w:val="both"/>
      </w:pPr>
      <w:bookmarkStart w:id="26" w:name="Bookmark_hnpara_9"/>
      <w:bookmarkEnd w:id="26"/>
      <w:hyperlink r:id="rId30" w:history="1">
        <w:r>
          <w:rPr>
            <w:rFonts w:ascii="times" w:eastAsia="times" w:hAnsi="times" w:cs="times"/>
            <w:b w:val="0"/>
            <w:i/>
            <w:strike w:val="0"/>
            <w:color w:val="0077CC"/>
            <w:sz w:val="24"/>
            <w:u w:val="single"/>
            <w:shd w:val="clear" w:color="auto" w:fill="FFFFFF"/>
            <w:vertAlign w:val="baseline"/>
          </w:rPr>
          <w:t>O.C.G.A. § 36-33-5(e)</w:t>
        </w:r>
      </w:hyperlink>
      <w:r>
        <w:rPr>
          <w:rFonts w:ascii="times" w:eastAsia="times" w:hAnsi="times" w:cs="times"/>
          <w:b w:val="0"/>
          <w:i w:val="0"/>
          <w:strike w:val="0"/>
          <w:noProof w:val="0"/>
          <w:color w:val="000000"/>
          <w:position w:val="0"/>
          <w:sz w:val="24"/>
          <w:u w:val="none"/>
          <w:vertAlign w:val="baseline"/>
        </w:rPr>
        <w:t xml:space="preserve"> directly implies that a defendant may accept an offer stated in the ante litem notice, thereby creating a binding settlement.</w:t>
      </w:r>
    </w:p>
    <w:p>
      <w:pPr>
        <w:keepNext/>
        <w:widowControl w:val="0"/>
        <w:spacing w:before="240" w:after="0" w:line="340" w:lineRule="atLeast"/>
        <w:ind w:left="0" w:right="0" w:firstLine="0"/>
        <w:jc w:val="left"/>
      </w:pPr>
      <w:bookmarkStart w:id="27" w:name="Headnotes/Summary"/>
      <w:bookmarkEnd w:id="27"/>
      <w:r>
        <w:rPr>
          <w:rFonts w:ascii="times" w:eastAsia="times" w:hAnsi="times" w:cs="times"/>
          <w:b/>
          <w:i w:val="0"/>
          <w:strike w:val="0"/>
          <w:noProof w:val="0"/>
          <w:color w:val="000000"/>
          <w:position w:val="0"/>
          <w:sz w:val="28"/>
          <w:u w:val="none"/>
          <w:vertAlign w:val="baseline"/>
        </w:rPr>
        <w:t>Headnotes/Summary</w:t>
      </w:r>
    </w:p>
    <w:p>
      <w:pPr>
        <w:spacing w:line="60" w:lineRule="exact"/>
      </w:pPr>
      <w:r>
        <w:pict>
          <v:line id="_x0000_s1028" style="position:absolute;z-index:251660288" from="0,2pt" to="251pt,2pt" strokecolor="#009ddb" strokeweight="2pt">
            <v:stroke linestyle="single"/>
            <w10:wrap type="topAndBottom"/>
          </v:line>
        </w:pict>
      </w:r>
    </w:p>
    <w:p>
      <w:pPr>
        <w:spacing w:line="120" w:lineRule="exact"/>
      </w:pPr>
    </w:p>
    <w:p>
      <w:pPr>
        <w:keepNext w:val="0"/>
        <w:widowControl w:val="0"/>
        <w:spacing w:before="240" w:after="0" w:line="300" w:lineRule="atLeast"/>
        <w:ind w:left="0" w:right="0" w:firstLine="0"/>
        <w:jc w:val="left"/>
      </w:pPr>
      <w:bookmarkStart w:id="28" w:name="Headnotes"/>
      <w:bookmarkEnd w:id="28"/>
      <w:r>
        <w:rPr>
          <w:rFonts w:ascii="times" w:eastAsia="times" w:hAnsi="times" w:cs="times"/>
          <w:b/>
          <w:i w:val="0"/>
          <w:strike w:val="0"/>
          <w:noProof w:val="0"/>
          <w:color w:val="000000"/>
          <w:position w:val="0"/>
          <w:sz w:val="24"/>
          <w:u w:val="none"/>
          <w:vertAlign w:val="baseline"/>
        </w:rPr>
        <w:t>Headnotes</w:t>
      </w:r>
    </w:p>
    <w:p>
      <w:pPr>
        <w:keepNext w:val="0"/>
        <w:widowControl w:val="0"/>
        <w:spacing w:before="240" w:after="0" w:line="300" w:lineRule="atLeast"/>
        <w:ind w:left="0" w:right="0" w:firstLine="0"/>
        <w:jc w:val="left"/>
      </w:pPr>
      <w:r>
        <w:rPr>
          <w:rFonts w:ascii="times" w:eastAsia="times" w:hAnsi="times" w:cs="times"/>
          <w:b w:val="0"/>
          <w:i w:val="0"/>
          <w:strike w:val="0"/>
          <w:noProof w:val="0"/>
          <w:color w:val="000000"/>
          <w:position w:val="0"/>
          <w:sz w:val="24"/>
          <w:u w:val="none"/>
          <w:vertAlign w:val="baseline"/>
        </w:rPr>
        <w:t>Georgia Advance Headnotes</w:t>
      </w:r>
    </w:p>
    <w:p>
      <w:pPr>
        <w:keepNext w:val="0"/>
        <w:widowControl w:val="0"/>
        <w:spacing w:before="240" w:after="0" w:line="300" w:lineRule="atLeast"/>
        <w:ind w:left="0" w:right="0" w:firstLine="0"/>
        <w:jc w:val="left"/>
      </w:pPr>
      <w:r>
        <w:br/>
      </w:r>
      <w:bookmarkStart w:id="29" w:name="Bookmark_GA3"/>
      <w:bookmarkEnd w:id="29"/>
      <w:hyperlink r:id="rId31" w:history="1">
        <w:r>
          <w:rPr>
            <w:rFonts w:ascii="times" w:eastAsia="times" w:hAnsi="times" w:cs="times"/>
            <w:b/>
            <w:i/>
            <w:strike w:val="0"/>
            <w:color w:val="0077CC"/>
            <w:sz w:val="24"/>
            <w:u w:val="single"/>
            <w:shd w:val="clear" w:color="auto" w:fill="FFFFFF"/>
            <w:vertAlign w:val="baseline"/>
          </w:rPr>
          <w:t>GA(1)</w:t>
        </w:r>
      </w:hyperlink>
      <w:r>
        <w:rPr>
          <w:rFonts w:ascii="times" w:eastAsia="times" w:hAnsi="times" w:cs="times"/>
          <w:b w:val="0"/>
          <w:i w:val="0"/>
          <w:strike w:val="0"/>
          <w:noProof w:val="0"/>
          <w:color w:val="000000"/>
          <w:position w:val="0"/>
          <w:sz w:val="24"/>
          <w:u w:val="none"/>
          <w:vertAlign w:val="baseline"/>
        </w:rPr>
        <w:t xml:space="preserve"> (1) </w:t>
      </w:r>
    </w:p>
    <w:p>
      <w:pPr>
        <w:keepNext w:val="0"/>
        <w:widowControl w:val="0"/>
        <w:spacing w:before="240" w:after="0" w:line="280" w:lineRule="atLeast"/>
        <w:ind w:left="200" w:right="0" w:firstLine="0"/>
        <w:jc w:val="left"/>
      </w:pPr>
      <w:r>
        <w:rPr>
          <w:rFonts w:ascii="times" w:eastAsia="times" w:hAnsi="times" w:cs="times"/>
          <w:b w:val="0"/>
          <w:i w:val="0"/>
          <w:strike w:val="0"/>
          <w:noProof w:val="0"/>
          <w:color w:val="000000"/>
          <w:position w:val="0"/>
          <w:sz w:val="22"/>
          <w:u w:val="none"/>
          <w:vertAlign w:val="baseline"/>
        </w:rPr>
        <w:t xml:space="preserve">Governments.  &gt; Local Governments.  &gt; Claims By &amp; Against. </w:t>
      </w:r>
    </w:p>
    <w:p>
      <w:pPr>
        <w:keepNext w:val="0"/>
        <w:widowControl w:val="0"/>
        <w:spacing w:before="240" w:after="0" w:line="300" w:lineRule="atLeast"/>
        <w:ind w:left="0" w:right="0" w:firstLine="0"/>
        <w:jc w:val="both"/>
      </w:pPr>
      <w:bookmarkStart w:id="30" w:name="Bookmark_hnpara_10"/>
      <w:bookmarkEnd w:id="30"/>
      <w:r>
        <w:rPr>
          <w:rFonts w:ascii="times" w:eastAsia="times" w:hAnsi="times" w:cs="times"/>
          <w:b w:val="0"/>
          <w:i w:val="0"/>
          <w:strike w:val="0"/>
          <w:noProof w:val="0"/>
          <w:color w:val="000000"/>
          <w:position w:val="0"/>
          <w:sz w:val="24"/>
          <w:u w:val="none"/>
          <w:vertAlign w:val="baseline"/>
        </w:rPr>
        <w:t xml:space="preserve">In plaintiff's action for damages against the city and two of its employees after one of the city's firefighters was involved in a motor vehicle collision with plaintiff, the trial court properly denied the city's motion to dismiss because plaintiff's ante litem notice satisfied the plain language and purposes of </w:t>
      </w:r>
      <w:hyperlink r:id="rId32" w:history="1">
        <w:r>
          <w:rPr>
            <w:rFonts w:ascii="times" w:eastAsia="times" w:hAnsi="times" w:cs="times"/>
            <w:b w:val="0"/>
            <w:i/>
            <w:strike w:val="0"/>
            <w:noProof w:val="0"/>
            <w:color w:val="0077CC"/>
            <w:position w:val="0"/>
            <w:sz w:val="24"/>
            <w:u w:val="single"/>
            <w:shd w:val="clear" w:color="auto" w:fill="FFFFFF"/>
            <w:vertAlign w:val="baseline"/>
          </w:rPr>
          <w:t>OCGA § 36-33-5 (e)</w:t>
        </w:r>
      </w:hyperlink>
      <w:r>
        <w:rPr>
          <w:rFonts w:ascii="times" w:eastAsia="times" w:hAnsi="times" w:cs="times"/>
          <w:b w:val="0"/>
          <w:i w:val="0"/>
          <w:strike w:val="0"/>
          <w:noProof w:val="0"/>
          <w:color w:val="000000"/>
          <w:position w:val="0"/>
          <w:sz w:val="24"/>
          <w:u w:val="none"/>
          <w:vertAlign w:val="baseline"/>
        </w:rPr>
        <w:t xml:space="preserve"> as it stated that plaintiff would seek to recover $1,000,000 in monetary damages, and that was a specific amount of monetary damages that could constitute an offer of compromise.</w:t>
      </w:r>
    </w:p>
    <w:p>
      <w:pPr>
        <w:keepNext w:val="0"/>
        <w:widowControl w:val="0"/>
        <w:spacing w:before="240" w:after="0" w:line="300" w:lineRule="atLeast"/>
        <w:ind w:left="0" w:right="0" w:firstLine="0"/>
        <w:jc w:val="left"/>
      </w:pPr>
      <w:bookmarkStart w:id="31" w:name="Counsel"/>
      <w:bookmarkEnd w:id="31"/>
      <w:r>
        <w:rPr>
          <w:rFonts w:ascii="times" w:eastAsia="times" w:hAnsi="times" w:cs="times"/>
          <w:b/>
          <w:i w:val="0"/>
          <w:strike w:val="0"/>
          <w:noProof w:val="0"/>
          <w:color w:val="000000"/>
          <w:position w:val="0"/>
          <w:sz w:val="24"/>
          <w:u w:val="none"/>
          <w:vertAlign w:val="baseline"/>
        </w:rPr>
        <w:t>Counsel:</w:t>
      </w:r>
      <w:r>
        <w:rPr>
          <w:rFonts w:ascii="times" w:eastAsia="times" w:hAnsi="times" w:cs="times"/>
          <w:b w:val="0"/>
          <w:i w:val="0"/>
          <w:strike w:val="0"/>
          <w:noProof w:val="0"/>
          <w:color w:val="000000"/>
          <w:position w:val="0"/>
          <w:sz w:val="24"/>
          <w:u w:val="none"/>
          <w:vertAlign w:val="baseline"/>
        </w:rPr>
        <w:t> </w:t>
      </w:r>
      <w:r>
        <w:rPr>
          <w:rFonts w:ascii="times" w:eastAsia="times" w:hAnsi="times" w:cs="times"/>
          <w:b w:val="0"/>
          <w:i/>
          <w:strike w:val="0"/>
          <w:noProof w:val="0"/>
          <w:color w:val="000000"/>
          <w:position w:val="0"/>
          <w:sz w:val="24"/>
          <w:u w:val="none"/>
          <w:vertAlign w:val="baseline"/>
        </w:rPr>
        <w:t>Womack Gottlieb &amp; Rodham, Ronald R. Womack, Ryan L. Ray</w:t>
      </w:r>
      <w:r>
        <w:rPr>
          <w:rFonts w:ascii="times" w:eastAsia="times" w:hAnsi="times" w:cs="times"/>
          <w:b w:val="0"/>
          <w:i w:val="0"/>
          <w:strike w:val="0"/>
          <w:noProof w:val="0"/>
          <w:color w:val="000000"/>
          <w:position w:val="0"/>
          <w:sz w:val="24"/>
          <w:u w:val="none"/>
          <w:vertAlign w:val="baseline"/>
        </w:rPr>
        <w:t>, for appellant.</w:t>
      </w:r>
    </w:p>
    <w:p>
      <w:pPr>
        <w:keepNext w:val="0"/>
        <w:widowControl w:val="0"/>
        <w:spacing w:before="240" w:after="0" w:line="300" w:lineRule="atLeast"/>
        <w:ind w:left="0" w:right="0" w:firstLine="0"/>
        <w:jc w:val="left"/>
      </w:pPr>
      <w:r>
        <w:br/>
      </w:r>
      <w:r>
        <w:rPr>
          <w:rFonts w:ascii="times" w:eastAsia="times" w:hAnsi="times" w:cs="times"/>
          <w:b w:val="0"/>
          <w:i/>
          <w:strike w:val="0"/>
          <w:noProof w:val="0"/>
          <w:color w:val="000000"/>
          <w:position w:val="0"/>
          <w:sz w:val="24"/>
          <w:u w:val="none"/>
          <w:vertAlign w:val="baseline"/>
        </w:rPr>
        <w:t>McCamy Phillips Tuggle &amp; Fordham, Samuel L. Sanders, Nathan D. Lock</w:t>
      </w:r>
      <w:r>
        <w:rPr>
          <w:rFonts w:ascii="times" w:eastAsia="times" w:hAnsi="times" w:cs="times"/>
          <w:b w:val="0"/>
          <w:i w:val="0"/>
          <w:strike w:val="0"/>
          <w:noProof w:val="0"/>
          <w:color w:val="000000"/>
          <w:position w:val="0"/>
          <w:sz w:val="24"/>
          <w:u w:val="none"/>
          <w:vertAlign w:val="baseline"/>
        </w:rPr>
        <w:t>, for appellee.</w:t>
      </w:r>
    </w:p>
    <w:p>
      <w:pPr>
        <w:keepNext w:val="0"/>
        <w:widowControl w:val="0"/>
        <w:spacing w:before="240" w:after="0" w:line="300" w:lineRule="atLeast"/>
        <w:ind w:left="0" w:right="0" w:firstLine="0"/>
        <w:jc w:val="left"/>
      </w:pPr>
      <w:bookmarkStart w:id="32" w:name="Judges"/>
      <w:bookmarkEnd w:id="32"/>
      <w:r>
        <w:rPr>
          <w:rFonts w:ascii="times" w:eastAsia="times" w:hAnsi="times" w:cs="times"/>
          <w:b/>
          <w:i w:val="0"/>
          <w:strike w:val="0"/>
          <w:noProof w:val="0"/>
          <w:color w:val="000000"/>
          <w:position w:val="0"/>
          <w:sz w:val="24"/>
          <w:u w:val="none"/>
          <w:vertAlign w:val="baseline"/>
        </w:rPr>
        <w:t>Judges:</w:t>
      </w:r>
      <w:r>
        <w:rPr>
          <w:rFonts w:ascii="times" w:eastAsia="times" w:hAnsi="times" w:cs="times"/>
          <w:b w:val="0"/>
          <w:i w:val="0"/>
          <w:strike w:val="0"/>
          <w:noProof w:val="0"/>
          <w:color w:val="000000"/>
          <w:position w:val="0"/>
          <w:sz w:val="24"/>
          <w:u w:val="none"/>
          <w:vertAlign w:val="baseline"/>
        </w:rPr>
        <w:t> </w:t>
      </w:r>
      <w:r>
        <w:rPr>
          <w:rFonts w:ascii="times" w:eastAsia="times" w:hAnsi="times" w:cs="times"/>
          <w:b/>
          <w:i w:val="0"/>
          <w:strike w:val="0"/>
          <w:noProof w:val="0"/>
          <w:color w:val="000000"/>
          <w:position w:val="0"/>
          <w:sz w:val="24"/>
          <w:u w:val="none"/>
          <w:vertAlign w:val="baseline"/>
        </w:rPr>
        <w:t> [***1] </w:t>
      </w:r>
      <w:r>
        <w:rPr>
          <w:rFonts w:ascii="times" w:eastAsia="times" w:hAnsi="times" w:cs="times"/>
          <w:b w:val="0"/>
          <w:i w:val="0"/>
          <w:strike w:val="0"/>
          <w:noProof w:val="0"/>
          <w:color w:val="000000"/>
          <w:position w:val="0"/>
          <w:sz w:val="24"/>
          <w:u w:val="none"/>
          <w:vertAlign w:val="baseline"/>
        </w:rPr>
        <w:t>REESE, Judge. Miller, P. J., and Rickman, J., concur.</w:t>
      </w:r>
    </w:p>
    <w:p>
      <w:pPr>
        <w:keepNext w:val="0"/>
        <w:widowControl w:val="0"/>
        <w:spacing w:before="240" w:after="0" w:line="300" w:lineRule="atLeast"/>
        <w:ind w:left="0" w:right="0" w:firstLine="0"/>
        <w:jc w:val="left"/>
      </w:pPr>
      <w:bookmarkStart w:id="33" w:name="Opinion by"/>
      <w:bookmarkEnd w:id="33"/>
      <w:r>
        <w:rPr>
          <w:rFonts w:ascii="times" w:eastAsia="times" w:hAnsi="times" w:cs="times"/>
          <w:b/>
          <w:i w:val="0"/>
          <w:strike w:val="0"/>
          <w:noProof w:val="0"/>
          <w:color w:val="000000"/>
          <w:position w:val="0"/>
          <w:sz w:val="24"/>
          <w:u w:val="none"/>
          <w:vertAlign w:val="baseline"/>
        </w:rPr>
        <w:t>Opinion by:</w:t>
      </w:r>
      <w:r>
        <w:rPr>
          <w:rFonts w:ascii="times" w:eastAsia="times" w:hAnsi="times" w:cs="times"/>
          <w:b w:val="0"/>
          <w:i w:val="0"/>
          <w:strike w:val="0"/>
          <w:noProof w:val="0"/>
          <w:color w:val="000000"/>
          <w:position w:val="0"/>
          <w:sz w:val="24"/>
          <w:u w:val="none"/>
          <w:vertAlign w:val="baseline"/>
        </w:rPr>
        <w:t> REESE</w:t>
      </w:r>
    </w:p>
    <w:p>
      <w:pPr>
        <w:keepNext/>
        <w:widowControl w:val="0"/>
        <w:spacing w:before="240" w:after="0" w:line="340" w:lineRule="atLeast"/>
        <w:ind w:left="0" w:right="0" w:firstLine="0"/>
        <w:jc w:val="left"/>
      </w:pPr>
      <w:bookmarkStart w:id="34" w:name="Opinion"/>
      <w:bookmarkEnd w:id="34"/>
      <w:r>
        <w:rPr>
          <w:rFonts w:ascii="times" w:eastAsia="times" w:hAnsi="times" w:cs="times"/>
          <w:b/>
          <w:i w:val="0"/>
          <w:strike w:val="0"/>
          <w:noProof w:val="0"/>
          <w:color w:val="000000"/>
          <w:position w:val="0"/>
          <w:sz w:val="28"/>
          <w:u w:val="none"/>
          <w:vertAlign w:val="baseline"/>
        </w:rPr>
        <w:t>Opinion</w:t>
      </w:r>
    </w:p>
    <w:p>
      <w:pPr>
        <w:spacing w:line="60" w:lineRule="exact"/>
      </w:pPr>
      <w:r>
        <w:pict>
          <v:line id="_x0000_s1029" style="position:absolute;z-index:251661312" from="0,2pt" to="251pt,2pt" strokecolor="#009ddb" strokeweight="2pt">
            <v:stroke linestyle="single"/>
            <w10:wrap type="topAndBottom"/>
          </v:line>
        </w:pict>
      </w:r>
    </w:p>
    <w:p/>
    <w:p>
      <w:pPr>
        <w:keepNext w:val="0"/>
        <w:widowControl w:val="0"/>
        <w:spacing w:before="200" w:after="0" w:line="300" w:lineRule="atLeast"/>
        <w:ind w:left="0" w:right="0" w:firstLine="0"/>
        <w:jc w:val="both"/>
      </w:pPr>
      <w:bookmarkStart w:id="35" w:name="Bookmark_para_2"/>
      <w:bookmarkEnd w:id="35"/>
      <w:r>
        <w:rPr>
          <w:rFonts w:ascii="times" w:eastAsia="times" w:hAnsi="times" w:cs="times"/>
          <w:b/>
          <w:i w:val="0"/>
          <w:strike w:val="0"/>
          <w:noProof w:val="0"/>
          <w:color w:val="000000"/>
          <w:position w:val="0"/>
          <w:sz w:val="24"/>
          <w:u w:val="none"/>
          <w:vertAlign w:val="baseline"/>
        </w:rPr>
        <w:t> [*259] </w:t>
      </w:r>
      <w:r>
        <w:rPr>
          <w:rFonts w:ascii="times" w:eastAsia="times" w:hAnsi="times" w:cs="times"/>
          <w:b/>
          <w:i w:val="0"/>
          <w:strike w:val="0"/>
          <w:noProof w:val="0"/>
          <w:color w:val="000000"/>
          <w:position w:val="0"/>
          <w:sz w:val="24"/>
          <w:u w:val="none"/>
          <w:vertAlign w:val="baseline"/>
        </w:rPr>
        <w:t> [**639] </w:t>
      </w:r>
      <w:r>
        <w:rPr>
          <w:rFonts w:ascii="times" w:eastAsia="times" w:hAnsi="times" w:cs="times"/>
          <w:b w:val="0"/>
          <w:i w:val="0"/>
          <w:strike w:val="0"/>
          <w:noProof w:val="0"/>
          <w:color w:val="000000"/>
          <w:position w:val="0"/>
          <w:sz w:val="24"/>
          <w:u w:val="none"/>
          <w:vertAlign w:val="baseline"/>
        </w:rPr>
        <w:t xml:space="preserve">  </w:t>
      </w:r>
      <w:r>
        <w:rPr>
          <w:rFonts w:ascii="times" w:eastAsia="times" w:hAnsi="times" w:cs="times"/>
          <w:b w:val="0"/>
          <w:i w:val="0"/>
          <w:smallCaps/>
          <w:strike w:val="0"/>
          <w:noProof w:val="0"/>
          <w:color w:val="000000"/>
          <w:position w:val="0"/>
          <w:sz w:val="24"/>
          <w:u w:val="none"/>
          <w:vertAlign w:val="baseline"/>
        </w:rPr>
        <w:t>Reese</w:t>
      </w:r>
      <w:r>
        <w:rPr>
          <w:rFonts w:ascii="times" w:eastAsia="times" w:hAnsi="times" w:cs="times"/>
          <w:b w:val="0"/>
          <w:i w:val="0"/>
          <w:strike w:val="0"/>
          <w:noProof w:val="0"/>
          <w:color w:val="000000"/>
          <w:position w:val="0"/>
          <w:sz w:val="24"/>
          <w:u w:val="none"/>
          <w:vertAlign w:val="baseline"/>
        </w:rPr>
        <w:t>, Judge.</w:t>
      </w:r>
    </w:p>
    <w:p>
      <w:pPr>
        <w:keepNext w:val="0"/>
        <w:widowControl w:val="0"/>
        <w:spacing w:before="240" w:after="0" w:line="300" w:lineRule="atLeast"/>
        <w:ind w:left="0" w:right="0" w:firstLine="0"/>
        <w:jc w:val="both"/>
      </w:pPr>
      <w:bookmarkStart w:id="36" w:name="Bookmark_para_3"/>
      <w:bookmarkEnd w:id="36"/>
      <w:r>
        <w:rPr>
          <w:rFonts w:ascii="times" w:eastAsia="times" w:hAnsi="times" w:cs="times"/>
          <w:b w:val="0"/>
          <w:i w:val="0"/>
          <w:strike w:val="0"/>
          <w:noProof w:val="0"/>
          <w:color w:val="000000"/>
          <w:position w:val="0"/>
          <w:sz w:val="24"/>
          <w:u w:val="none"/>
          <w:vertAlign w:val="baseline"/>
        </w:rPr>
        <w:t xml:space="preserve">James Lamar Chandler initiated an action for damages against the City of Lafayette, Georgia (the “City”) and two of its employees after one of the City's firefighters was involved in a motor vehicle collision with Chandler. The City filed a motion to dismiss, contending that Chandler's ante litem notice did not include “the specific amount of monetary damages being sought from” the City, as required by </w:t>
      </w:r>
      <w:hyperlink r:id="rId33" w:history="1">
        <w:r>
          <w:rPr>
            <w:rFonts w:ascii="times" w:eastAsia="times" w:hAnsi="times" w:cs="times"/>
            <w:b w:val="0"/>
            <w:i/>
            <w:strike w:val="0"/>
            <w:noProof w:val="0"/>
            <w:color w:val="0077CC"/>
            <w:position w:val="0"/>
            <w:sz w:val="24"/>
            <w:u w:val="single"/>
            <w:shd w:val="clear" w:color="auto" w:fill="FFFFFF"/>
            <w:vertAlign w:val="baseline"/>
          </w:rPr>
          <w:t>OCGA § 36-33-5 (e)</w:t>
        </w:r>
      </w:hyperlink>
      <w:r>
        <w:rPr>
          <w:rFonts w:ascii="times" w:eastAsia="times" w:hAnsi="times" w:cs="times"/>
          <w:b w:val="0"/>
          <w:i w:val="0"/>
          <w:strike w:val="0"/>
          <w:noProof w:val="0"/>
          <w:color w:val="000000"/>
          <w:position w:val="0"/>
          <w:sz w:val="24"/>
          <w:u w:val="none"/>
          <w:vertAlign w:val="baseline"/>
        </w:rPr>
        <w:t>. The trial court denied the motion, and we granted an application for interlocutory appeal. For the reasons set forth infra, we affirm.</w:t>
      </w:r>
    </w:p>
    <w:p>
      <w:pPr>
        <w:keepNext w:val="0"/>
        <w:widowControl w:val="0"/>
        <w:spacing w:before="200" w:after="0" w:line="300" w:lineRule="atLeast"/>
        <w:ind w:left="0" w:right="0" w:firstLine="0"/>
        <w:jc w:val="both"/>
      </w:pPr>
      <w:bookmarkStart w:id="37" w:name="Bookmark_para_4"/>
      <w:bookmarkEnd w:id="37"/>
      <w:bookmarkStart w:id="38" w:name="Bookmark_I5YK381V2HM6YS0020000400"/>
      <w:bookmarkEnd w:id="38"/>
      <w:r>
        <w:rPr>
          <w:rFonts w:ascii="times" w:eastAsia="times" w:hAnsi="times" w:cs="times"/>
          <w:b w:val="0"/>
          <w:i w:val="0"/>
          <w:strike w:val="0"/>
          <w:noProof w:val="0"/>
          <w:color w:val="000000"/>
          <w:position w:val="0"/>
          <w:sz w:val="24"/>
          <w:u w:val="none"/>
          <w:vertAlign w:val="baseline"/>
        </w:rPr>
        <w:t>Viewed in the light most favorable to Chandler,</w:t>
      </w:r>
      <w:r>
        <w:rPr>
          <w:rFonts w:ascii="times" w:eastAsia="times" w:hAnsi="times" w:cs="times"/>
          <w:vertAlign w:val="superscript"/>
        </w:rPr>
        <w:footnoteReference w:customMarkFollows="1" w:id="2"/>
        <w:t xml:space="preserve">1</w:t>
      </w:r>
      <w:r>
        <w:rPr>
          <w:rFonts w:ascii="times" w:eastAsia="times" w:hAnsi="times" w:cs="times"/>
          <w:b w:val="0"/>
          <w:i w:val="0"/>
          <w:strike w:val="0"/>
          <w:noProof w:val="0"/>
          <w:color w:val="000000"/>
          <w:position w:val="0"/>
          <w:sz w:val="24"/>
          <w:u w:val="none"/>
          <w:vertAlign w:val="baseline"/>
        </w:rPr>
        <w:t xml:space="preserve"> the record shows that, in April 2017, Chandler sent the City an ante litem notice. He informed the City that he would file a civil action regarding an October 2016 collision with a City fire truck, alleging that a City employee negligently drove the fire truck through a red light at an intersection and struck Chandler's vehicle. The ante litem notice stated:</w:t>
      </w:r>
    </w:p>
    <w:p>
      <w:pPr>
        <w:keepNext w:val="0"/>
        <w:widowControl w:val="0"/>
        <w:spacing w:before="200" w:after="0" w:line="300" w:lineRule="atLeast"/>
        <w:ind w:left="400" w:right="0" w:firstLine="240"/>
        <w:jc w:val="both"/>
      </w:pPr>
      <w:bookmarkStart w:id="41" w:name="Bookmark_para_5"/>
      <w:bookmarkEnd w:id="41"/>
      <w:r>
        <w:rPr>
          <w:rFonts w:ascii="times" w:eastAsia="times" w:hAnsi="times" w:cs="times"/>
          <w:b w:val="0"/>
          <w:i w:val="0"/>
          <w:strike w:val="0"/>
          <w:noProof w:val="0"/>
          <w:color w:val="000000"/>
          <w:position w:val="0"/>
          <w:sz w:val="24"/>
          <w:u w:val="none"/>
          <w:vertAlign w:val="baseline"/>
        </w:rPr>
        <w:t>As mentioned above, Mr. Chandler suffered very serious injuries as a result of the negligent acts described above. His injuries include a broken femur, at least seven (7) broken ribs</w:t>
      </w:r>
      <w:r>
        <w:rPr>
          <w:rFonts w:ascii="times" w:eastAsia="times" w:hAnsi="times" w:cs="times"/>
          <w:b/>
          <w:i w:val="0"/>
          <w:strike w:val="0"/>
          <w:noProof w:val="0"/>
          <w:color w:val="000000"/>
          <w:position w:val="0"/>
          <w:sz w:val="24"/>
          <w:u w:val="none"/>
          <w:vertAlign w:val="baseline"/>
        </w:rPr>
        <w:t> [***2] </w:t>
      </w:r>
      <w:r>
        <w:rPr>
          <w:rFonts w:ascii="times" w:eastAsia="times" w:hAnsi="times" w:cs="times"/>
          <w:b w:val="0"/>
          <w:i w:val="0"/>
          <w:strike w:val="0"/>
          <w:noProof w:val="0"/>
          <w:color w:val="000000"/>
          <w:position w:val="0"/>
          <w:sz w:val="24"/>
          <w:u w:val="none"/>
          <w:vertAlign w:val="baseline"/>
        </w:rPr>
        <w:t xml:space="preserve"> and various internal injuries which required surgical intervention. In further description of the nature and extent of Mr. Chandler's injuries, he was required to spend approximately three weeks at Erlanger and inpatient rehabilitation immediately following the subject incident and incurred well over $100,000.00 in medical expenses to date. As a result of the nature and extent of Mr. Chandler's injuries and the aforementioned special medical damages we will seek to recover $1,000,000.00 (one million dollars) in monetary damages on his behalf.</w:t>
      </w:r>
    </w:p>
    <w:p>
      <w:pPr>
        <w:keepNext w:val="0"/>
        <w:widowControl w:val="0"/>
        <w:spacing w:before="240" w:after="0" w:line="300" w:lineRule="atLeast"/>
        <w:ind w:left="0" w:right="0" w:firstLine="0"/>
        <w:jc w:val="both"/>
      </w:pPr>
      <w:bookmarkStart w:id="42" w:name="Bookmark_para_6"/>
      <w:bookmarkEnd w:id="42"/>
      <w:r>
        <w:rPr>
          <w:rFonts w:ascii="times" w:eastAsia="times" w:hAnsi="times" w:cs="times"/>
          <w:b w:val="0"/>
          <w:i w:val="0"/>
          <w:strike w:val="0"/>
          <w:noProof w:val="0"/>
          <w:color w:val="000000"/>
          <w:position w:val="0"/>
          <w:sz w:val="24"/>
          <w:u w:val="none"/>
          <w:vertAlign w:val="baseline"/>
        </w:rPr>
        <w:t xml:space="preserve">Chandler initiated the lawsuit against the City in October 2018. The City filed a motion to dismiss, arguing, among other things, that the ante litem notice failed to state the specific amount of monetary damages sought from the City, pursuant to </w:t>
      </w:r>
      <w:hyperlink r:id="rId34" w:history="1">
        <w:r>
          <w:rPr>
            <w:rFonts w:ascii="times" w:eastAsia="times" w:hAnsi="times" w:cs="times"/>
            <w:b w:val="0"/>
            <w:i/>
            <w:strike w:val="0"/>
            <w:noProof w:val="0"/>
            <w:color w:val="0077CC"/>
            <w:position w:val="0"/>
            <w:sz w:val="24"/>
            <w:u w:val="single"/>
            <w:shd w:val="clear" w:color="auto" w:fill="FFFFFF"/>
            <w:vertAlign w:val="baseline"/>
          </w:rPr>
          <w:t>OCGA § 36-33-5 (e)</w:t>
        </w:r>
      </w:hyperlink>
      <w:r>
        <w:rPr>
          <w:rFonts w:ascii="times" w:eastAsia="times" w:hAnsi="times" w:cs="times"/>
          <w:b w:val="0"/>
          <w:i w:val="0"/>
          <w:strike w:val="0"/>
          <w:noProof w:val="0"/>
          <w:color w:val="000000"/>
          <w:position w:val="0"/>
          <w:sz w:val="24"/>
          <w:u w:val="none"/>
          <w:vertAlign w:val="baseline"/>
        </w:rPr>
        <w:t xml:space="preserve">. The trial court disagreed, finding that the notice complied with </w:t>
      </w:r>
      <w:hyperlink r:id="rId35" w:history="1">
        <w:r>
          <w:rPr>
            <w:rFonts w:ascii="times" w:eastAsia="times" w:hAnsi="times" w:cs="times"/>
            <w:b w:val="0"/>
            <w:i/>
            <w:strike w:val="0"/>
            <w:noProof w:val="0"/>
            <w:color w:val="0077CC"/>
            <w:position w:val="0"/>
            <w:sz w:val="24"/>
            <w:u w:val="single"/>
            <w:shd w:val="clear" w:color="auto" w:fill="FFFFFF"/>
            <w:vertAlign w:val="baseline"/>
          </w:rPr>
          <w:t>OCGA § 36-33-5 (e)</w:t>
        </w:r>
      </w:hyperlink>
      <w:r>
        <w:rPr>
          <w:rFonts w:ascii="times" w:eastAsia="times" w:hAnsi="times" w:cs="times"/>
          <w:b w:val="0"/>
          <w:i w:val="0"/>
          <w:strike w:val="0"/>
          <w:noProof w:val="0"/>
          <w:color w:val="000000"/>
          <w:position w:val="0"/>
          <w:sz w:val="24"/>
          <w:u w:val="none"/>
          <w:vertAlign w:val="baseline"/>
        </w:rPr>
        <w:t>. This appeal followed.</w:t>
      </w:r>
    </w:p>
    <w:p>
      <w:pPr>
        <w:keepNext w:val="0"/>
        <w:widowControl w:val="0"/>
        <w:spacing w:before="200" w:after="0" w:line="300" w:lineRule="atLeast"/>
        <w:ind w:left="0" w:right="0" w:firstLine="0"/>
        <w:jc w:val="both"/>
      </w:pPr>
      <w:bookmarkStart w:id="43" w:name="Bookmark_para_7"/>
      <w:bookmarkEnd w:id="43"/>
      <w:r>
        <w:rPr>
          <w:rFonts w:ascii="times" w:eastAsia="times" w:hAnsi="times" w:cs="times"/>
          <w:b/>
          <w:i w:val="0"/>
          <w:strike w:val="0"/>
          <w:noProof w:val="0"/>
          <w:color w:val="000000"/>
          <w:position w:val="0"/>
          <w:sz w:val="24"/>
          <w:u w:val="none"/>
          <w:vertAlign w:val="baseline"/>
        </w:rPr>
        <w:t> [*260] </w:t>
      </w:r>
      <w:r>
        <w:rPr>
          <w:rFonts w:ascii="times" w:eastAsia="times" w:hAnsi="times" w:cs="times"/>
          <w:b w:val="0"/>
          <w:i w:val="0"/>
          <w:strike w:val="0"/>
          <w:noProof w:val="0"/>
          <w:color w:val="000000"/>
          <w:position w:val="0"/>
          <w:sz w:val="24"/>
          <w:u w:val="none"/>
          <w:vertAlign w:val="baseline"/>
        </w:rPr>
        <w:t xml:space="preserve"> </w:t>
      </w:r>
      <w:bookmarkStart w:id="44" w:name="Bookmark_I5YK381V2HM6YS0040000400"/>
      <w:bookmarkEnd w:id="44"/>
      <w:r>
        <w:rPr>
          <w:rFonts w:ascii="times" w:eastAsia="times" w:hAnsi="times" w:cs="times"/>
          <w:b w:val="0"/>
          <w:i w:val="0"/>
          <w:strike w:val="0"/>
          <w:noProof w:val="0"/>
          <w:color w:val="000000"/>
          <w:position w:val="0"/>
          <w:sz w:val="24"/>
          <w:u w:val="none"/>
          <w:vertAlign w:val="baseline"/>
        </w:rPr>
        <w:t>We review the denial of a motion to dismiss de novo and, in so doing, construe the pleadings in a light most favorable to the plaintiff, with any doubts resolved in the plaintiff's favor.</w:t>
      </w:r>
      <w:r>
        <w:rPr>
          <w:rFonts w:ascii="times" w:eastAsia="times" w:hAnsi="times" w:cs="times"/>
          <w:vertAlign w:val="superscript"/>
        </w:rPr>
        <w:footnoteReference w:customMarkFollows="1" w:id="3"/>
        <w:t xml:space="preserve">2</w:t>
      </w:r>
      <w:r>
        <w:rPr>
          <w:rFonts w:ascii="times" w:eastAsia="times" w:hAnsi="times" w:cs="times"/>
          <w:b w:val="0"/>
          <w:i w:val="0"/>
          <w:strike w:val="0"/>
          <w:noProof w:val="0"/>
          <w:color w:val="000000"/>
          <w:position w:val="0"/>
          <w:sz w:val="24"/>
          <w:u w:val="none"/>
          <w:vertAlign w:val="baseline"/>
        </w:rPr>
        <w:t xml:space="preserve"> With these guiding principles in mind, we now turn to the City's specific claims of error.</w:t>
      </w:r>
    </w:p>
    <w:p>
      <w:pPr>
        <w:keepNext w:val="0"/>
        <w:widowControl w:val="0"/>
        <w:spacing w:before="240" w:after="0" w:line="300" w:lineRule="atLeast"/>
        <w:ind w:left="0" w:right="0" w:firstLine="0"/>
        <w:jc w:val="both"/>
      </w:pPr>
      <w:bookmarkStart w:id="47" w:name="Bookmark_para_8"/>
      <w:bookmarkEnd w:id="47"/>
      <w:r>
        <w:rPr>
          <w:rFonts w:ascii="times" w:eastAsia="times" w:hAnsi="times" w:cs="times"/>
          <w:b w:val="0"/>
          <w:i w:val="0"/>
          <w:strike w:val="0"/>
          <w:noProof w:val="0"/>
          <w:color w:val="000000"/>
          <w:position w:val="0"/>
          <w:sz w:val="24"/>
          <w:u w:val="none"/>
          <w:vertAlign w:val="baseline"/>
        </w:rPr>
        <w:t>The City argues that Chandler was required</w:t>
      </w:r>
      <w:r>
        <w:rPr>
          <w:rFonts w:ascii="times" w:eastAsia="times" w:hAnsi="times" w:cs="times"/>
          <w:b/>
          <w:i w:val="0"/>
          <w:strike w:val="0"/>
          <w:noProof w:val="0"/>
          <w:color w:val="000000"/>
          <w:position w:val="0"/>
          <w:sz w:val="24"/>
          <w:u w:val="none"/>
          <w:vertAlign w:val="baseline"/>
        </w:rPr>
        <w:t> [***3] </w:t>
      </w:r>
      <w:r>
        <w:rPr>
          <w:rFonts w:ascii="times" w:eastAsia="times" w:hAnsi="times" w:cs="times"/>
          <w:b w:val="0"/>
          <w:i w:val="0"/>
          <w:strike w:val="0"/>
          <w:noProof w:val="0"/>
          <w:color w:val="000000"/>
          <w:position w:val="0"/>
          <w:sz w:val="24"/>
          <w:u w:val="none"/>
          <w:vertAlign w:val="baseline"/>
        </w:rPr>
        <w:t xml:space="preserve"> to strictly, as opposed to substantially, comply with the provisions of </w:t>
      </w:r>
      <w:hyperlink r:id="rId36" w:history="1">
        <w:r>
          <w:rPr>
            <w:rFonts w:ascii="times" w:eastAsia="times" w:hAnsi="times" w:cs="times"/>
            <w:b w:val="0"/>
            <w:i/>
            <w:strike w:val="0"/>
            <w:noProof w:val="0"/>
            <w:color w:val="0077CC"/>
            <w:position w:val="0"/>
            <w:sz w:val="24"/>
            <w:u w:val="single"/>
            <w:shd w:val="clear" w:color="auto" w:fill="FFFFFF"/>
            <w:vertAlign w:val="baseline"/>
          </w:rPr>
          <w:t>OCGA § 36-33-5 (e)</w:t>
        </w:r>
      </w:hyperlink>
      <w:r>
        <w:rPr>
          <w:rFonts w:ascii="times" w:eastAsia="times" w:hAnsi="times" w:cs="times"/>
          <w:b w:val="0"/>
          <w:i w:val="0"/>
          <w:strike w:val="0"/>
          <w:noProof w:val="0"/>
          <w:color w:val="000000"/>
          <w:position w:val="0"/>
          <w:sz w:val="24"/>
          <w:u w:val="none"/>
          <w:vertAlign w:val="baseline"/>
        </w:rPr>
        <w:t xml:space="preserve">. The City contends that the $1,000,000 figure in Chandler's ante litem notice did not strictly comply with the statute. We disagree. Even if strict compliance is required for </w:t>
      </w:r>
      <w:hyperlink r:id="rId37" w:history="1">
        <w:r>
          <w:rPr>
            <w:rFonts w:ascii="times" w:eastAsia="times" w:hAnsi="times" w:cs="times"/>
            <w:b w:val="0"/>
            <w:i/>
            <w:strike w:val="0"/>
            <w:noProof w:val="0"/>
            <w:color w:val="0077CC"/>
            <w:position w:val="0"/>
            <w:sz w:val="24"/>
            <w:u w:val="single"/>
            <w:shd w:val="clear" w:color="auto" w:fill="FFFFFF"/>
            <w:vertAlign w:val="baseline"/>
          </w:rPr>
          <w:t>OCGA § 36-33-5 (e)</w:t>
        </w:r>
      </w:hyperlink>
      <w:r>
        <w:rPr>
          <w:rFonts w:ascii="times" w:eastAsia="times" w:hAnsi="times" w:cs="times"/>
          <w:b w:val="0"/>
          <w:i w:val="0"/>
          <w:strike w:val="0"/>
          <w:noProof w:val="0"/>
          <w:color w:val="000000"/>
          <w:position w:val="0"/>
          <w:sz w:val="24"/>
          <w:u w:val="none"/>
          <w:vertAlign w:val="baseline"/>
        </w:rPr>
        <w:t>, we hold that the notice provided here strictly complied with that subsection.</w:t>
      </w:r>
    </w:p>
    <w:p>
      <w:pPr>
        <w:keepNext w:val="0"/>
        <w:widowControl w:val="0"/>
        <w:spacing w:before="240" w:after="0" w:line="300" w:lineRule="atLeast"/>
        <w:ind w:left="0" w:right="0" w:firstLine="0"/>
        <w:jc w:val="both"/>
      </w:pPr>
      <w:bookmarkStart w:id="48" w:name="Bookmark_para_9"/>
      <w:bookmarkEnd w:id="48"/>
      <w:bookmarkStart w:id="49" w:name="Bookmark_I5YK381W28T51B0010000400"/>
      <w:bookmarkEnd w:id="49"/>
      <w:bookmarkStart w:id="50" w:name="Bookmark_I5YK381W28T51B0030000400"/>
      <w:bookmarkEnd w:id="50"/>
      <w:bookmarkStart w:id="51" w:name="Bookmark_I5YK381W28T51B0050000400"/>
      <w:bookmarkEnd w:id="51"/>
      <w:r>
        <w:rPr>
          <w:rFonts w:ascii="times" w:eastAsia="times" w:hAnsi="times" w:cs="times"/>
          <w:b w:val="0"/>
          <w:i w:val="0"/>
          <w:strike w:val="0"/>
          <w:noProof w:val="0"/>
          <w:color w:val="000000"/>
          <w:position w:val="0"/>
          <w:sz w:val="24"/>
          <w:u w:val="none"/>
          <w:vertAlign w:val="baseline"/>
        </w:rPr>
        <w:t>A plaintiff seeking to sue a municipality for money damages must notify the municipality in an ante litem notice “stating the time, place, and extent of the injury, as nearly as practicable, and the negligence which caused the injury[ ]” within six months of the event upon which the claim is predicated.</w:t>
      </w:r>
      <w:r>
        <w:rPr>
          <w:rFonts w:ascii="times" w:eastAsia="times" w:hAnsi="times" w:cs="times"/>
          <w:vertAlign w:val="superscript"/>
        </w:rPr>
        <w:footnoteReference w:customMarkFollows="1" w:id="4"/>
        <w:t xml:space="preserve">3</w:t>
      </w:r>
      <w:r>
        <w:rPr>
          <w:rFonts w:ascii="times" w:eastAsia="times" w:hAnsi="times" w:cs="times"/>
          <w:b w:val="0"/>
          <w:i w:val="0"/>
          <w:strike w:val="0"/>
          <w:noProof w:val="0"/>
          <w:color w:val="000000"/>
          <w:position w:val="0"/>
          <w:sz w:val="24"/>
          <w:u w:val="none"/>
          <w:vertAlign w:val="baseline"/>
        </w:rPr>
        <w:t xml:space="preserve"> “The giving of the ante litem notice in the manner and within the time required by the statute is a condition precedent to the </w:t>
      </w:r>
      <w:r>
        <w:rPr>
          <w:rFonts w:ascii="times" w:eastAsia="times" w:hAnsi="times" w:cs="times"/>
          <w:b/>
          <w:i w:val="0"/>
          <w:strike w:val="0"/>
          <w:noProof w:val="0"/>
          <w:color w:val="000000"/>
          <w:position w:val="0"/>
          <w:sz w:val="24"/>
          <w:u w:val="none"/>
          <w:vertAlign w:val="baseline"/>
        </w:rPr>
        <w:t> [**640] </w:t>
      </w:r>
      <w:r>
        <w:rPr>
          <w:rFonts w:ascii="times" w:eastAsia="times" w:hAnsi="times" w:cs="times"/>
          <w:b w:val="0"/>
          <w:i w:val="0"/>
          <w:strike w:val="0"/>
          <w:noProof w:val="0"/>
          <w:color w:val="000000"/>
          <w:position w:val="0"/>
          <w:sz w:val="24"/>
          <w:u w:val="none"/>
          <w:vertAlign w:val="baseline"/>
        </w:rPr>
        <w:t xml:space="preserve"> maintenance of a suit on the claim.”</w:t>
      </w:r>
      <w:r>
        <w:rPr>
          <w:rFonts w:ascii="times" w:eastAsia="times" w:hAnsi="times" w:cs="times"/>
          <w:vertAlign w:val="superscript"/>
        </w:rPr>
        <w:footnoteReference w:customMarkFollows="1" w:id="5"/>
        <w:t xml:space="preserve">4</w:t>
      </w:r>
      <w:r>
        <w:rPr>
          <w:rFonts w:ascii="times" w:eastAsia="times" w:hAnsi="times" w:cs="times"/>
          <w:b w:val="0"/>
          <w:i w:val="0"/>
          <w:strike w:val="0"/>
          <w:noProof w:val="0"/>
          <w:color w:val="000000"/>
          <w:position w:val="0"/>
          <w:sz w:val="24"/>
          <w:u w:val="none"/>
          <w:vertAlign w:val="baseline"/>
        </w:rPr>
        <w:t xml:space="preserve"> Because the statute is in derogation of the common law, a plaintiff only needs to demonstrate substantial compliance with the requirements of </w:t>
      </w:r>
      <w:hyperlink r:id="rId38" w:history="1">
        <w:r>
          <w:rPr>
            <w:rFonts w:ascii="times" w:eastAsia="times" w:hAnsi="times" w:cs="times"/>
            <w:b w:val="0"/>
            <w:i/>
            <w:strike w:val="0"/>
            <w:noProof w:val="0"/>
            <w:color w:val="0077CC"/>
            <w:position w:val="0"/>
            <w:sz w:val="24"/>
            <w:u w:val="single"/>
            <w:shd w:val="clear" w:color="auto" w:fill="FFFFFF"/>
            <w:vertAlign w:val="baseline"/>
          </w:rPr>
          <w:t>OCGA § 36-33-5 (b)</w:t>
        </w:r>
      </w:hyperlink>
      <w:r>
        <w:rPr>
          <w:rFonts w:ascii="times" w:eastAsia="times" w:hAnsi="times" w:cs="times"/>
          <w:b w:val="0"/>
          <w:i w:val="0"/>
          <w:strike w:val="0"/>
          <w:noProof w:val="0"/>
          <w:color w:val="000000"/>
          <w:position w:val="0"/>
          <w:sz w:val="24"/>
          <w:u w:val="none"/>
          <w:vertAlign w:val="baseline"/>
        </w:rPr>
        <w:t>.</w:t>
      </w:r>
      <w:r>
        <w:rPr>
          <w:rFonts w:ascii="times" w:eastAsia="times" w:hAnsi="times" w:cs="times"/>
          <w:vertAlign w:val="superscript"/>
        </w:rPr>
        <w:footnoteReference w:customMarkFollows="1" w:id="6"/>
        <w:t xml:space="preserve">5</w:t>
      </w:r>
    </w:p>
    <w:p>
      <w:pPr>
        <w:keepNext w:val="0"/>
        <w:widowControl w:val="0"/>
        <w:spacing w:before="240" w:after="0" w:line="300" w:lineRule="atLeast"/>
        <w:ind w:left="0" w:right="0" w:firstLine="0"/>
        <w:jc w:val="both"/>
      </w:pPr>
      <w:bookmarkStart w:id="58" w:name="Bookmark_para_10"/>
      <w:bookmarkEnd w:id="58"/>
      <w:r>
        <w:rPr>
          <w:rFonts w:ascii="times" w:eastAsia="times" w:hAnsi="times" w:cs="times"/>
          <w:b w:val="0"/>
          <w:i w:val="0"/>
          <w:strike w:val="0"/>
          <w:noProof w:val="0"/>
          <w:color w:val="000000"/>
          <w:position w:val="0"/>
          <w:sz w:val="24"/>
          <w:u w:val="none"/>
          <w:vertAlign w:val="baseline"/>
        </w:rPr>
        <w:t xml:space="preserve">In 2014, the General Assembly amended </w:t>
      </w:r>
      <w:hyperlink r:id="rId39" w:history="1">
        <w:r>
          <w:rPr>
            <w:rFonts w:ascii="times" w:eastAsia="times" w:hAnsi="times" w:cs="times"/>
            <w:b w:val="0"/>
            <w:i/>
            <w:strike w:val="0"/>
            <w:noProof w:val="0"/>
            <w:color w:val="0077CC"/>
            <w:position w:val="0"/>
            <w:sz w:val="24"/>
            <w:u w:val="single"/>
            <w:shd w:val="clear" w:color="auto" w:fill="FFFFFF"/>
            <w:vertAlign w:val="baseline"/>
          </w:rPr>
          <w:t>OCGA § 36-33-5</w:t>
        </w:r>
      </w:hyperlink>
      <w:r>
        <w:rPr>
          <w:rFonts w:ascii="times" w:eastAsia="times" w:hAnsi="times" w:cs="times"/>
          <w:b w:val="0"/>
          <w:i w:val="0"/>
          <w:strike w:val="0"/>
          <w:noProof w:val="0"/>
          <w:color w:val="000000"/>
          <w:position w:val="0"/>
          <w:sz w:val="24"/>
          <w:u w:val="none"/>
          <w:vertAlign w:val="baseline"/>
        </w:rPr>
        <w:t xml:space="preserve"> to include new </w:t>
      </w:r>
      <w:hyperlink r:id="rId40" w:history="1">
        <w:r>
          <w:rPr>
            <w:rFonts w:ascii="times" w:eastAsia="times" w:hAnsi="times" w:cs="times"/>
            <w:b w:val="0"/>
            <w:i/>
            <w:strike w:val="0"/>
            <w:noProof w:val="0"/>
            <w:color w:val="0077CC"/>
            <w:position w:val="0"/>
            <w:sz w:val="24"/>
            <w:u w:val="single"/>
            <w:shd w:val="clear" w:color="auto" w:fill="FFFFFF"/>
            <w:vertAlign w:val="baseline"/>
          </w:rPr>
          <w:t>subsections (e)</w:t>
        </w:r>
      </w:hyperlink>
      <w:r>
        <w:rPr>
          <w:rFonts w:ascii="times" w:eastAsia="times" w:hAnsi="times" w:cs="times"/>
          <w:b w:val="0"/>
          <w:i w:val="0"/>
          <w:strike w:val="0"/>
          <w:noProof w:val="0"/>
          <w:color w:val="000000"/>
          <w:position w:val="0"/>
          <w:sz w:val="24"/>
          <w:u w:val="none"/>
          <w:vertAlign w:val="baseline"/>
        </w:rPr>
        <w:t xml:space="preserve"> and </w:t>
      </w:r>
      <w:hyperlink r:id="rId41" w:history="1">
        <w:r>
          <w:rPr>
            <w:rFonts w:ascii="times" w:eastAsia="times" w:hAnsi="times" w:cs="times"/>
            <w:b w:val="0"/>
            <w:i/>
            <w:strike w:val="0"/>
            <w:noProof w:val="0"/>
            <w:color w:val="0077CC"/>
            <w:position w:val="0"/>
            <w:sz w:val="24"/>
            <w:u w:val="single"/>
            <w:shd w:val="clear" w:color="auto" w:fill="FFFFFF"/>
            <w:vertAlign w:val="baseline"/>
          </w:rPr>
          <w:t>(f)</w:t>
        </w:r>
      </w:hyperlink>
      <w:r>
        <w:rPr>
          <w:rFonts w:ascii="times" w:eastAsia="times" w:hAnsi="times" w:cs="times"/>
          <w:b w:val="0"/>
          <w:i w:val="0"/>
          <w:strike w:val="0"/>
          <w:noProof w:val="0"/>
          <w:color w:val="000000"/>
          <w:position w:val="0"/>
          <w:sz w:val="24"/>
          <w:u w:val="none"/>
          <w:vertAlign w:val="baseline"/>
        </w:rPr>
        <w:t xml:space="preserve">, with no changes to </w:t>
      </w:r>
      <w:hyperlink r:id="rId42" w:history="1">
        <w:r>
          <w:rPr>
            <w:rFonts w:ascii="times" w:eastAsia="times" w:hAnsi="times" w:cs="times"/>
            <w:b w:val="0"/>
            <w:i/>
            <w:strike w:val="0"/>
            <w:noProof w:val="0"/>
            <w:color w:val="0077CC"/>
            <w:position w:val="0"/>
            <w:sz w:val="24"/>
            <w:u w:val="single"/>
            <w:shd w:val="clear" w:color="auto" w:fill="FFFFFF"/>
            <w:vertAlign w:val="baseline"/>
          </w:rPr>
          <w:t>subsection (b)</w:t>
        </w:r>
      </w:hyperlink>
      <w:r>
        <w:rPr>
          <w:rFonts w:ascii="times" w:eastAsia="times" w:hAnsi="times" w:cs="times"/>
          <w:b w:val="0"/>
          <w:i w:val="0"/>
          <w:strike w:val="0"/>
          <w:noProof w:val="0"/>
          <w:color w:val="000000"/>
          <w:position w:val="0"/>
          <w:sz w:val="24"/>
          <w:u w:val="none"/>
          <w:vertAlign w:val="baseline"/>
        </w:rPr>
        <w:t>.</w:t>
      </w:r>
      <w:r>
        <w:rPr>
          <w:rFonts w:ascii="times" w:eastAsia="times" w:hAnsi="times" w:cs="times"/>
          <w:vertAlign w:val="superscript"/>
        </w:rPr>
        <w:footnoteReference w:customMarkFollows="1" w:id="7"/>
        <w:t xml:space="preserve">6</w:t>
      </w:r>
      <w:r>
        <w:rPr>
          <w:rFonts w:ascii="times" w:eastAsia="times" w:hAnsi="times" w:cs="times"/>
          <w:b w:val="0"/>
          <w:i w:val="0"/>
          <w:strike w:val="0"/>
          <w:noProof w:val="0"/>
          <w:color w:val="000000"/>
          <w:position w:val="0"/>
          <w:sz w:val="24"/>
          <w:u w:val="none"/>
          <w:vertAlign w:val="baseline"/>
        </w:rPr>
        <w:t xml:space="preserve"> Under </w:t>
      </w:r>
      <w:hyperlink r:id="rId43" w:history="1">
        <w:r>
          <w:rPr>
            <w:rFonts w:ascii="times" w:eastAsia="times" w:hAnsi="times" w:cs="times"/>
            <w:b w:val="0"/>
            <w:i/>
            <w:strike w:val="0"/>
            <w:noProof w:val="0"/>
            <w:color w:val="0077CC"/>
            <w:position w:val="0"/>
            <w:sz w:val="24"/>
            <w:u w:val="single"/>
            <w:shd w:val="clear" w:color="auto" w:fill="FFFFFF"/>
            <w:vertAlign w:val="baseline"/>
          </w:rPr>
          <w:t>subsection (e)</w:t>
        </w:r>
      </w:hyperlink>
      <w:r>
        <w:rPr>
          <w:rFonts w:ascii="times" w:eastAsia="times" w:hAnsi="times" w:cs="times"/>
          <w:b w:val="0"/>
          <w:i w:val="0"/>
          <w:strike w:val="0"/>
          <w:noProof w:val="0"/>
          <w:color w:val="000000"/>
          <w:position w:val="0"/>
          <w:sz w:val="24"/>
          <w:u w:val="none"/>
          <w:vertAlign w:val="baseline"/>
        </w:rPr>
        <w:t>,</w:t>
      </w:r>
    </w:p>
    <w:p>
      <w:pPr>
        <w:keepNext w:val="0"/>
        <w:widowControl w:val="0"/>
        <w:spacing w:before="200" w:after="0" w:line="300" w:lineRule="atLeast"/>
        <w:ind w:left="400" w:right="0" w:firstLine="0"/>
        <w:jc w:val="both"/>
      </w:pPr>
      <w:bookmarkStart w:id="60" w:name="Bookmark_para_11"/>
      <w:bookmarkEnd w:id="60"/>
      <w:r>
        <w:rPr>
          <w:rFonts w:ascii="times" w:eastAsia="times" w:hAnsi="times" w:cs="times"/>
          <w:b w:val="0"/>
          <w:i w:val="0"/>
          <w:strike w:val="0"/>
          <w:noProof w:val="0"/>
          <w:color w:val="000000"/>
          <w:position w:val="0"/>
          <w:sz w:val="24"/>
          <w:u w:val="none"/>
          <w:vertAlign w:val="baseline"/>
        </w:rPr>
        <w:t xml:space="preserve">[t]he description of the extent of the injury required in </w:t>
      </w:r>
      <w:hyperlink r:id="rId44" w:history="1">
        <w:r>
          <w:rPr>
            <w:rFonts w:ascii="times" w:eastAsia="times" w:hAnsi="times" w:cs="times"/>
            <w:b w:val="0"/>
            <w:i/>
            <w:strike w:val="0"/>
            <w:noProof w:val="0"/>
            <w:color w:val="0077CC"/>
            <w:position w:val="0"/>
            <w:sz w:val="24"/>
            <w:u w:val="single"/>
            <w:shd w:val="clear" w:color="auto" w:fill="FFFFFF"/>
            <w:vertAlign w:val="baseline"/>
          </w:rPr>
          <w:t>subsection (b)</w:t>
        </w:r>
      </w:hyperlink>
      <w:r>
        <w:rPr>
          <w:rFonts w:ascii="times" w:eastAsia="times" w:hAnsi="times" w:cs="times"/>
          <w:b w:val="0"/>
          <w:i w:val="0"/>
          <w:strike w:val="0"/>
          <w:noProof w:val="0"/>
          <w:color w:val="000000"/>
          <w:position w:val="0"/>
          <w:sz w:val="24"/>
          <w:u w:val="none"/>
          <w:vertAlign w:val="baseline"/>
        </w:rPr>
        <w:t xml:space="preserve"> of this Code section shall include the specific amount</w:t>
      </w:r>
      <w:r>
        <w:rPr>
          <w:rFonts w:ascii="times" w:eastAsia="times" w:hAnsi="times" w:cs="times"/>
          <w:b/>
          <w:i w:val="0"/>
          <w:strike w:val="0"/>
          <w:noProof w:val="0"/>
          <w:color w:val="000000"/>
          <w:position w:val="0"/>
          <w:sz w:val="24"/>
          <w:u w:val="none"/>
          <w:vertAlign w:val="baseline"/>
        </w:rPr>
        <w:t> [***4] </w:t>
      </w:r>
      <w:r>
        <w:rPr>
          <w:rFonts w:ascii="times" w:eastAsia="times" w:hAnsi="times" w:cs="times"/>
          <w:b w:val="0"/>
          <w:i w:val="0"/>
          <w:strike w:val="0"/>
          <w:noProof w:val="0"/>
          <w:color w:val="000000"/>
          <w:position w:val="0"/>
          <w:sz w:val="24"/>
          <w:u w:val="none"/>
          <w:vertAlign w:val="baseline"/>
        </w:rPr>
        <w:t xml:space="preserve"> of monetary damages being sought from the municipal corporation. The amount of monetary damages set forth in such claim shall constitute an offer of compromise. In the event such claim is not settled by the municipal corporation and the claimant litigates such claim, the amount of monetary damage set forth in such claim shall not be binding on the claimant.</w:t>
      </w:r>
      <w:r>
        <w:rPr>
          <w:rFonts w:ascii="times" w:eastAsia="times" w:hAnsi="times" w:cs="times"/>
          <w:vertAlign w:val="superscript"/>
        </w:rPr>
        <w:footnoteReference w:customMarkFollows="1" w:id="8"/>
        <w:t xml:space="preserve">7</w:t>
      </w:r>
    </w:p>
    <w:p>
      <w:pPr>
        <w:keepNext w:val="0"/>
        <w:widowControl w:val="0"/>
        <w:spacing w:before="240" w:after="0" w:line="300" w:lineRule="atLeast"/>
        <w:ind w:left="0" w:right="0" w:firstLine="0"/>
        <w:jc w:val="both"/>
      </w:pPr>
      <w:r>
        <w:rPr>
          <w:rFonts w:ascii="times" w:eastAsia="times" w:hAnsi="times" w:cs="times"/>
          <w:b/>
          <w:i w:val="0"/>
          <w:strike w:val="0"/>
          <w:noProof w:val="0"/>
          <w:color w:val="000000"/>
          <w:position w:val="0"/>
          <w:sz w:val="24"/>
          <w:u w:val="none"/>
          <w:vertAlign w:val="baseline"/>
        </w:rPr>
        <w:t> [*261] </w:t>
      </w:r>
      <w:r>
        <w:rPr>
          <w:rFonts w:ascii="times" w:eastAsia="times" w:hAnsi="times" w:cs="times"/>
          <w:b w:val="0"/>
          <w:i w:val="0"/>
          <w:strike w:val="0"/>
          <w:noProof w:val="0"/>
          <w:color w:val="000000"/>
          <w:position w:val="0"/>
          <w:sz w:val="24"/>
          <w:u w:val="none"/>
          <w:vertAlign w:val="baseline"/>
        </w:rPr>
        <w:t xml:space="preserve"> </w:t>
      </w:r>
      <w:hyperlink r:id="rId45" w:history="1">
        <w:r>
          <w:rPr>
            <w:rFonts w:ascii="times" w:eastAsia="times" w:hAnsi="times" w:cs="times"/>
            <w:b w:val="0"/>
            <w:i/>
            <w:strike w:val="0"/>
            <w:noProof w:val="0"/>
            <w:color w:val="0077CC"/>
            <w:position w:val="0"/>
            <w:sz w:val="24"/>
            <w:u w:val="single"/>
            <w:shd w:val="clear" w:color="auto" w:fill="FFFFFF"/>
            <w:vertAlign w:val="baseline"/>
          </w:rPr>
          <w:t>Subsection (f)</w:t>
        </w:r>
      </w:hyperlink>
      <w:r>
        <w:rPr>
          <w:rFonts w:ascii="times" w:eastAsia="times" w:hAnsi="times" w:cs="times"/>
          <w:b w:val="0"/>
          <w:i w:val="0"/>
          <w:strike w:val="0"/>
          <w:noProof w:val="0"/>
          <w:color w:val="000000"/>
          <w:position w:val="0"/>
          <w:sz w:val="24"/>
          <w:u w:val="none"/>
          <w:vertAlign w:val="baseline"/>
        </w:rPr>
        <w:t xml:space="preserve"> requires a claimant to serve the ante litem notice “upon the mayor or the chairperson of the city council or city commission[.]”</w:t>
      </w:r>
      <w:r>
        <w:rPr>
          <w:rFonts w:ascii="times" w:eastAsia="times" w:hAnsi="times" w:cs="times"/>
          <w:vertAlign w:val="superscript"/>
        </w:rPr>
        <w:footnoteReference w:customMarkFollows="1" w:id="9"/>
        <w:t xml:space="preserve">8</w:t>
      </w:r>
    </w:p>
    <w:p>
      <w:pPr>
        <w:keepNext w:val="0"/>
        <w:widowControl w:val="0"/>
        <w:spacing w:before="240" w:after="0" w:line="300" w:lineRule="atLeast"/>
        <w:ind w:left="0" w:right="0" w:firstLine="0"/>
        <w:jc w:val="both"/>
      </w:pPr>
      <w:bookmarkStart w:id="63" w:name="Bookmark_para_12"/>
      <w:bookmarkEnd w:id="63"/>
      <w:bookmarkStart w:id="64" w:name="Bookmark_I5YK381X2D6P130020000400"/>
      <w:bookmarkEnd w:id="64"/>
      <w:bookmarkStart w:id="65" w:name="Bookmark_I5YK381X2D6P130040000400"/>
      <w:bookmarkEnd w:id="65"/>
      <w:bookmarkStart w:id="66" w:name="Bookmark_I5YK381X2SF8790010000400"/>
      <w:bookmarkEnd w:id="66"/>
      <w:r>
        <w:rPr>
          <w:rFonts w:ascii="times" w:eastAsia="times" w:hAnsi="times" w:cs="times"/>
          <w:b w:val="0"/>
          <w:i w:val="0"/>
          <w:strike w:val="0"/>
          <w:noProof w:val="0"/>
          <w:color w:val="000000"/>
          <w:position w:val="0"/>
          <w:sz w:val="24"/>
          <w:u w:val="none"/>
          <w:vertAlign w:val="baseline"/>
        </w:rPr>
        <w:t xml:space="preserve">A plaintiff must strictly comply with </w:t>
      </w:r>
      <w:hyperlink r:id="rId46" w:history="1">
        <w:r>
          <w:rPr>
            <w:rFonts w:ascii="times" w:eastAsia="times" w:hAnsi="times" w:cs="times"/>
            <w:b w:val="0"/>
            <w:i/>
            <w:strike w:val="0"/>
            <w:noProof w:val="0"/>
            <w:color w:val="0077CC"/>
            <w:position w:val="0"/>
            <w:sz w:val="24"/>
            <w:u w:val="single"/>
            <w:shd w:val="clear" w:color="auto" w:fill="FFFFFF"/>
            <w:vertAlign w:val="baseline"/>
          </w:rPr>
          <w:t>subsection (f)</w:t>
        </w:r>
      </w:hyperlink>
      <w:r>
        <w:rPr>
          <w:rFonts w:ascii="times" w:eastAsia="times" w:hAnsi="times" w:cs="times"/>
          <w:b w:val="0"/>
          <w:i w:val="0"/>
          <w:strike w:val="0"/>
          <w:noProof w:val="0"/>
          <w:color w:val="000000"/>
          <w:position w:val="0"/>
          <w:sz w:val="24"/>
          <w:u w:val="none"/>
          <w:vertAlign w:val="baseline"/>
        </w:rPr>
        <w:t>.</w:t>
      </w:r>
      <w:r>
        <w:rPr>
          <w:rFonts w:ascii="times" w:eastAsia="times" w:hAnsi="times" w:cs="times"/>
          <w:vertAlign w:val="superscript"/>
        </w:rPr>
        <w:footnoteReference w:customMarkFollows="1" w:id="10"/>
        <w:t xml:space="preserve">9</w:t>
      </w:r>
      <w:r>
        <w:rPr>
          <w:rFonts w:ascii="times" w:eastAsia="times" w:hAnsi="times" w:cs="times"/>
          <w:b w:val="0"/>
          <w:i w:val="0"/>
          <w:strike w:val="0"/>
          <w:noProof w:val="0"/>
          <w:color w:val="000000"/>
          <w:position w:val="0"/>
          <w:sz w:val="24"/>
          <w:u w:val="none"/>
          <w:vertAlign w:val="baseline"/>
        </w:rPr>
        <w:t xml:space="preserve"> However, neither this Court nor the Supreme Court of Georgia has expressly addressed whether strict or substantial compliance is necessary for </w:t>
      </w:r>
      <w:hyperlink r:id="rId47" w:history="1">
        <w:r>
          <w:rPr>
            <w:rFonts w:ascii="times" w:eastAsia="times" w:hAnsi="times" w:cs="times"/>
            <w:b w:val="0"/>
            <w:i/>
            <w:strike w:val="0"/>
            <w:noProof w:val="0"/>
            <w:color w:val="0077CC"/>
            <w:position w:val="0"/>
            <w:sz w:val="24"/>
            <w:u w:val="single"/>
            <w:shd w:val="clear" w:color="auto" w:fill="FFFFFF"/>
            <w:vertAlign w:val="baseline"/>
          </w:rPr>
          <w:t>subsection (e)</w:t>
        </w:r>
      </w:hyperlink>
      <w:r>
        <w:rPr>
          <w:rFonts w:ascii="times" w:eastAsia="times" w:hAnsi="times" w:cs="times"/>
          <w:b w:val="0"/>
          <w:i w:val="0"/>
          <w:strike w:val="0"/>
          <w:noProof w:val="0"/>
          <w:color w:val="000000"/>
          <w:position w:val="0"/>
          <w:sz w:val="24"/>
          <w:u w:val="none"/>
          <w:vertAlign w:val="baseline"/>
        </w:rPr>
        <w:t>.</w:t>
      </w:r>
      <w:r>
        <w:rPr>
          <w:rFonts w:ascii="times" w:eastAsia="times" w:hAnsi="times" w:cs="times"/>
          <w:vertAlign w:val="superscript"/>
        </w:rPr>
        <w:footnoteReference w:customMarkFollows="1" w:id="11"/>
        <w:t xml:space="preserve">10</w:t>
      </w:r>
      <w:r>
        <w:rPr>
          <w:rFonts w:ascii="times" w:eastAsia="times" w:hAnsi="times" w:cs="times"/>
          <w:b w:val="0"/>
          <w:i w:val="0"/>
          <w:strike w:val="0"/>
          <w:noProof w:val="0"/>
          <w:color w:val="000000"/>
          <w:position w:val="0"/>
          <w:sz w:val="24"/>
          <w:u w:val="none"/>
          <w:vertAlign w:val="baseline"/>
        </w:rPr>
        <w:t xml:space="preserve"> In our recent cases interpreting </w:t>
      </w:r>
      <w:hyperlink r:id="rId48" w:history="1">
        <w:r>
          <w:rPr>
            <w:rFonts w:ascii="times" w:eastAsia="times" w:hAnsi="times" w:cs="times"/>
            <w:b w:val="0"/>
            <w:i/>
            <w:strike w:val="0"/>
            <w:noProof w:val="0"/>
            <w:color w:val="0077CC"/>
            <w:position w:val="0"/>
            <w:sz w:val="24"/>
            <w:u w:val="single"/>
            <w:shd w:val="clear" w:color="auto" w:fill="FFFFFF"/>
            <w:vertAlign w:val="baseline"/>
          </w:rPr>
          <w:t>OCGA § 36-33-5 (e)</w:t>
        </w:r>
      </w:hyperlink>
      <w:r>
        <w:rPr>
          <w:rFonts w:ascii="times" w:eastAsia="times" w:hAnsi="times" w:cs="times"/>
          <w:b w:val="0"/>
          <w:i w:val="0"/>
          <w:strike w:val="0"/>
          <w:noProof w:val="0"/>
          <w:color w:val="000000"/>
          <w:position w:val="0"/>
          <w:sz w:val="24"/>
          <w:u w:val="none"/>
          <w:vertAlign w:val="baseline"/>
        </w:rPr>
        <w:t>, we have examined a variety of ante litem notices and determined that, even under a substantial compliance standard, those notices did not comply with that subsection.</w:t>
      </w:r>
      <w:r>
        <w:rPr>
          <w:rFonts w:ascii="times" w:eastAsia="times" w:hAnsi="times" w:cs="times"/>
          <w:vertAlign w:val="superscript"/>
        </w:rPr>
        <w:footnoteReference w:customMarkFollows="1" w:id="12"/>
        <w:t xml:space="preserve">11</w:t>
      </w:r>
    </w:p>
    <w:p>
      <w:pPr>
        <w:keepNext w:val="0"/>
        <w:widowControl w:val="0"/>
        <w:spacing w:before="240" w:after="0" w:line="300" w:lineRule="atLeast"/>
        <w:ind w:left="0" w:right="0" w:firstLine="0"/>
        <w:jc w:val="both"/>
      </w:pPr>
      <w:bookmarkStart w:id="76" w:name="Bookmark_para_13"/>
      <w:bookmarkEnd w:id="76"/>
      <w:bookmarkStart w:id="77" w:name="Bookmark_I565G9F8MTW00005MFY00001"/>
      <w:bookmarkEnd w:id="77"/>
      <w:bookmarkStart w:id="78" w:name="Bookmark_I5YK381Y2HM5PD0040000400"/>
      <w:bookmarkEnd w:id="78"/>
      <w:bookmarkStart w:id="79" w:name="Bookmark_I5YK381Y2N1R960010000400"/>
      <w:bookmarkEnd w:id="79"/>
      <w:bookmarkStart w:id="80" w:name="Bookmark_I5YK381Y2N1R960030000400"/>
      <w:bookmarkEnd w:id="80"/>
      <w:bookmarkStart w:id="81" w:name="Bookmark_I5YK381Y2N1R960050000400"/>
      <w:bookmarkEnd w:id="81"/>
      <w:r>
        <w:rPr>
          <w:rFonts w:ascii="times" w:eastAsia="times" w:hAnsi="times" w:cs="times"/>
          <w:b w:val="0"/>
          <w:i w:val="0"/>
          <w:strike w:val="0"/>
          <w:noProof w:val="0"/>
          <w:color w:val="000000"/>
          <w:position w:val="0"/>
          <w:sz w:val="24"/>
          <w:u w:val="none"/>
          <w:vertAlign w:val="baseline"/>
        </w:rPr>
        <w:t xml:space="preserve">For example, in </w:t>
      </w:r>
      <w:r>
        <w:rPr>
          <w:rFonts w:ascii="times" w:eastAsia="times" w:hAnsi="times" w:cs="times"/>
          <w:b w:val="0"/>
          <w:i/>
          <w:strike w:val="0"/>
          <w:noProof w:val="0"/>
          <w:color w:val="000000"/>
          <w:position w:val="0"/>
          <w:sz w:val="24"/>
          <w:u w:val="none"/>
          <w:vertAlign w:val="baseline"/>
        </w:rPr>
        <w:t>Harrell</w:t>
      </w:r>
      <w:r>
        <w:rPr>
          <w:rFonts w:ascii="times" w:eastAsia="times" w:hAnsi="times" w:cs="times"/>
          <w:b w:val="0"/>
          <w:i w:val="0"/>
          <w:strike w:val="0"/>
          <w:noProof w:val="0"/>
          <w:color w:val="000000"/>
          <w:position w:val="0"/>
          <w:sz w:val="24"/>
          <w:u w:val="none"/>
          <w:vertAlign w:val="baseline"/>
        </w:rPr>
        <w:t xml:space="preserve">, our first decision interpreting </w:t>
      </w:r>
      <w:hyperlink r:id="rId49" w:history="1">
        <w:r>
          <w:rPr>
            <w:rFonts w:ascii="times" w:eastAsia="times" w:hAnsi="times" w:cs="times"/>
            <w:b w:val="0"/>
            <w:i/>
            <w:strike w:val="0"/>
            <w:noProof w:val="0"/>
            <w:color w:val="0077CC"/>
            <w:position w:val="0"/>
            <w:sz w:val="24"/>
            <w:u w:val="single"/>
            <w:shd w:val="clear" w:color="auto" w:fill="FFFFFF"/>
            <w:vertAlign w:val="baseline"/>
          </w:rPr>
          <w:t>OCGA § 36-33-5 (e)</w:t>
        </w:r>
      </w:hyperlink>
      <w:r>
        <w:rPr>
          <w:rFonts w:ascii="times" w:eastAsia="times" w:hAnsi="times" w:cs="times"/>
          <w:b w:val="0"/>
          <w:i w:val="0"/>
          <w:strike w:val="0"/>
          <w:noProof w:val="0"/>
          <w:color w:val="000000"/>
          <w:position w:val="0"/>
          <w:sz w:val="24"/>
          <w:u w:val="none"/>
          <w:vertAlign w:val="baseline"/>
        </w:rPr>
        <w:t xml:space="preserve">, we held that an ante litem notice that sought “full recovery allowed by Georgia law” did not comply with </w:t>
      </w:r>
      <w:hyperlink r:id="rId50" w:history="1">
        <w:r>
          <w:rPr>
            <w:rFonts w:ascii="times" w:eastAsia="times" w:hAnsi="times" w:cs="times"/>
            <w:b w:val="0"/>
            <w:i/>
            <w:strike w:val="0"/>
            <w:noProof w:val="0"/>
            <w:color w:val="0077CC"/>
            <w:position w:val="0"/>
            <w:sz w:val="24"/>
            <w:u w:val="single"/>
            <w:shd w:val="clear" w:color="auto" w:fill="FFFFFF"/>
            <w:vertAlign w:val="baseline"/>
          </w:rPr>
          <w:t>subsection (e)</w:t>
        </w:r>
      </w:hyperlink>
      <w:r>
        <w:rPr>
          <w:rFonts w:ascii="times" w:eastAsia="times" w:hAnsi="times" w:cs="times"/>
          <w:b w:val="0"/>
          <w:i w:val="0"/>
          <w:strike w:val="0"/>
          <w:noProof w:val="0"/>
          <w:color w:val="000000"/>
          <w:position w:val="0"/>
          <w:sz w:val="24"/>
          <w:u w:val="none"/>
          <w:vertAlign w:val="baseline"/>
        </w:rPr>
        <w:t>.</w:t>
      </w:r>
      <w:r>
        <w:rPr>
          <w:rFonts w:ascii="times" w:eastAsia="times" w:hAnsi="times" w:cs="times"/>
          <w:vertAlign w:val="superscript"/>
        </w:rPr>
        <w:footnoteReference w:customMarkFollows="1" w:id="13"/>
        <w:t xml:space="preserve">12</w:t>
      </w:r>
      <w:r>
        <w:rPr>
          <w:rFonts w:ascii="times" w:eastAsia="times" w:hAnsi="times" w:cs="times"/>
          <w:b w:val="0"/>
          <w:i w:val="0"/>
          <w:strike w:val="0"/>
          <w:noProof w:val="0"/>
          <w:color w:val="000000"/>
          <w:position w:val="0"/>
          <w:sz w:val="24"/>
          <w:u w:val="none"/>
          <w:vertAlign w:val="baseline"/>
        </w:rPr>
        <w:t xml:space="preserve"> The determining factor was that the notice “did not include any specific amount of monetary damages</w:t>
      </w:r>
      <w:r>
        <w:rPr>
          <w:rFonts w:ascii="times" w:eastAsia="times" w:hAnsi="times" w:cs="times"/>
          <w:b/>
          <w:i w:val="0"/>
          <w:strike w:val="0"/>
          <w:noProof w:val="0"/>
          <w:color w:val="000000"/>
          <w:position w:val="0"/>
          <w:sz w:val="24"/>
          <w:u w:val="none"/>
          <w:vertAlign w:val="baseline"/>
        </w:rPr>
        <w:t> [***5] </w:t>
      </w:r>
      <w:r>
        <w:rPr>
          <w:rFonts w:ascii="times" w:eastAsia="times" w:hAnsi="times" w:cs="times"/>
          <w:b w:val="0"/>
          <w:i w:val="0"/>
          <w:strike w:val="0"/>
          <w:noProof w:val="0"/>
          <w:color w:val="000000"/>
          <w:position w:val="0"/>
          <w:sz w:val="24"/>
          <w:u w:val="none"/>
          <w:vertAlign w:val="baseline"/>
        </w:rPr>
        <w:t xml:space="preserve"> being sought from [the city] that could constitute an offer of compromise.”</w:t>
      </w:r>
      <w:r>
        <w:rPr>
          <w:rFonts w:ascii="times" w:eastAsia="times" w:hAnsi="times" w:cs="times"/>
          <w:vertAlign w:val="superscript"/>
        </w:rPr>
        <w:footnoteReference w:customMarkFollows="1" w:id="14"/>
        <w:t xml:space="preserve">13</w:t>
      </w:r>
      <w:r>
        <w:rPr>
          <w:rFonts w:ascii="times" w:eastAsia="times" w:hAnsi="times" w:cs="times"/>
          <w:b w:val="0"/>
          <w:i w:val="0"/>
          <w:strike w:val="0"/>
          <w:noProof w:val="0"/>
          <w:color w:val="000000"/>
          <w:position w:val="0"/>
          <w:sz w:val="24"/>
          <w:u w:val="none"/>
          <w:vertAlign w:val="baseline"/>
        </w:rPr>
        <w:t xml:space="preserve"> In this vein, we have held that ante litem notices seeking damages that “may exceed $250,000.00”</w:t>
      </w:r>
      <w:r>
        <w:rPr>
          <w:rFonts w:ascii="times" w:eastAsia="times" w:hAnsi="times" w:cs="times"/>
          <w:vertAlign w:val="superscript"/>
        </w:rPr>
        <w:footnoteReference w:customMarkFollows="1" w:id="15"/>
        <w:t xml:space="preserve">14</w:t>
      </w:r>
      <w:r>
        <w:rPr>
          <w:rFonts w:ascii="times" w:eastAsia="times" w:hAnsi="times" w:cs="times"/>
          <w:b w:val="0"/>
          <w:i w:val="0"/>
          <w:strike w:val="0"/>
          <w:noProof w:val="0"/>
          <w:color w:val="000000"/>
          <w:position w:val="0"/>
          <w:sz w:val="24"/>
          <w:u w:val="none"/>
          <w:vertAlign w:val="baseline"/>
        </w:rPr>
        <w:t xml:space="preserve"> or “may exceed $300,000.00”</w:t>
      </w:r>
      <w:r>
        <w:rPr>
          <w:rFonts w:ascii="times" w:eastAsia="times" w:hAnsi="times" w:cs="times"/>
          <w:vertAlign w:val="superscript"/>
        </w:rPr>
        <w:footnoteReference w:customMarkFollows="1" w:id="16"/>
        <w:t xml:space="preserve">15</w:t>
      </w:r>
      <w:r>
        <w:rPr>
          <w:rFonts w:ascii="times" w:eastAsia="times" w:hAnsi="times" w:cs="times"/>
          <w:b w:val="0"/>
          <w:i w:val="0"/>
          <w:strike w:val="0"/>
          <w:noProof w:val="0"/>
          <w:color w:val="000000"/>
          <w:position w:val="0"/>
          <w:sz w:val="24"/>
          <w:u w:val="none"/>
          <w:vertAlign w:val="baseline"/>
        </w:rPr>
        <w:t xml:space="preserve"> were insufficient under </w:t>
      </w:r>
      <w:hyperlink r:id="rId51" w:history="1">
        <w:r>
          <w:rPr>
            <w:rFonts w:ascii="times" w:eastAsia="times" w:hAnsi="times" w:cs="times"/>
            <w:b w:val="0"/>
            <w:i/>
            <w:strike w:val="0"/>
            <w:noProof w:val="0"/>
            <w:color w:val="0077CC"/>
            <w:position w:val="0"/>
            <w:sz w:val="24"/>
            <w:u w:val="single"/>
            <w:shd w:val="clear" w:color="auto" w:fill="FFFFFF"/>
            <w:vertAlign w:val="baseline"/>
          </w:rPr>
          <w:t>OCGA § 36-33-5 (e)</w:t>
        </w:r>
      </w:hyperlink>
      <w:r>
        <w:rPr>
          <w:rFonts w:ascii="times" w:eastAsia="times" w:hAnsi="times" w:cs="times"/>
          <w:b w:val="0"/>
          <w:i w:val="0"/>
          <w:strike w:val="0"/>
          <w:noProof w:val="0"/>
          <w:color w:val="000000"/>
          <w:position w:val="0"/>
          <w:sz w:val="24"/>
          <w:u w:val="none"/>
          <w:vertAlign w:val="baseline"/>
        </w:rPr>
        <w:t>, because those amounts were too indefinite to constitute a binding offer of settlement.</w:t>
      </w:r>
    </w:p>
    <w:p>
      <w:pPr>
        <w:keepNext w:val="0"/>
        <w:widowControl w:val="0"/>
        <w:spacing w:before="240" w:after="0" w:line="300" w:lineRule="atLeast"/>
        <w:ind w:left="0" w:right="0" w:firstLine="0"/>
        <w:jc w:val="both"/>
      </w:pPr>
      <w:bookmarkStart w:id="90" w:name="Bookmark_para_14"/>
      <w:bookmarkEnd w:id="90"/>
      <w:bookmarkStart w:id="91" w:name="Bookmark_I5YK381Y2HM5PH0020000400"/>
      <w:bookmarkEnd w:id="91"/>
      <w:bookmarkStart w:id="92" w:name="Bookmark_I5YK381Y2HM5PH0040000400"/>
      <w:bookmarkEnd w:id="92"/>
      <w:bookmarkStart w:id="93" w:name="Bookmark_I5YK381Y2D6P170010000400"/>
      <w:bookmarkEnd w:id="93"/>
      <w:r>
        <w:rPr>
          <w:rFonts w:ascii="times" w:eastAsia="times" w:hAnsi="times" w:cs="times"/>
          <w:b w:val="0"/>
          <w:i w:val="0"/>
          <w:strike w:val="0"/>
          <w:noProof w:val="0"/>
          <w:color w:val="000000"/>
          <w:position w:val="0"/>
          <w:sz w:val="24"/>
          <w:u w:val="none"/>
          <w:vertAlign w:val="baseline"/>
        </w:rPr>
        <w:t xml:space="preserve">In this case, however, </w:t>
      </w:r>
      <w:hyperlink r:id="rId52" w:history="1">
        <w:r>
          <w:rPr>
            <w:rFonts w:ascii="times" w:eastAsia="times" w:hAnsi="times" w:cs="times"/>
            <w:b/>
            <w:i/>
            <w:strike w:val="0"/>
            <w:noProof w:val="0"/>
            <w:color w:val="0077CC"/>
            <w:position w:val="0"/>
            <w:sz w:val="24"/>
            <w:u w:val="single"/>
            <w:shd w:val="clear" w:color="auto" w:fill="FFFFFF"/>
            <w:vertAlign w:val="baseline"/>
          </w:rPr>
          <w:t>GA(1)</w:t>
        </w:r>
      </w:hyperlink>
      <w:r>
        <w:rPr>
          <w:rFonts w:ascii="times" w:eastAsia="times" w:hAnsi="times" w:cs="times"/>
          <w:b w:val="0"/>
          <w:i w:val="0"/>
          <w:strike w:val="0"/>
          <w:noProof w:val="0"/>
          <w:color w:val="000000"/>
          <w:position w:val="0"/>
          <w:sz w:val="24"/>
          <w:u w:val="none"/>
          <w:vertAlign w:val="baseline"/>
        </w:rPr>
        <w:t xml:space="preserve"> </w:t>
      </w:r>
      <w:bookmarkStart w:id="94" w:name="Bookmark__1"/>
      <w:bookmarkEnd w:id="94"/>
      <w:r>
        <w:rPr>
          <w:rFonts w:ascii="times" w:eastAsia="times" w:hAnsi="times" w:cs="times"/>
          <w:b w:val="0"/>
          <w:i w:val="0"/>
          <w:strike w:val="0"/>
          <w:noProof w:val="0"/>
          <w:color w:val="000000"/>
          <w:position w:val="0"/>
          <w:sz w:val="24"/>
          <w:u w:val="none"/>
          <w:vertAlign w:val="baseline"/>
        </w:rPr>
        <w:t xml:space="preserve">(1) </w:t>
      </w:r>
      <w:bookmarkStart w:id="95" w:name="Bookmark_I5YK381Y2D6P170010000400_2"/>
      <w:bookmarkEnd w:id="95"/>
      <w:bookmarkStart w:id="96" w:name="Bookmark_I5YK381Y2HM5PH0040000400_2"/>
      <w:bookmarkEnd w:id="96"/>
      <w:bookmarkStart w:id="97" w:name="Bookmark_I5YK381Y2HM5PH0020000400_2"/>
      <w:bookmarkEnd w:id="97"/>
      <w:r>
        <w:rPr>
          <w:rFonts w:ascii="times" w:eastAsia="times" w:hAnsi="times" w:cs="times"/>
          <w:b w:val="0"/>
          <w:i w:val="0"/>
          <w:strike w:val="0"/>
          <w:noProof w:val="0"/>
          <w:color w:val="000000"/>
          <w:position w:val="0"/>
          <w:sz w:val="24"/>
          <w:u w:val="none"/>
          <w:vertAlign w:val="baseline"/>
        </w:rPr>
        <w:t>Chandler's ante litem notice stated that he would “seek to recover $1,000,000.00 (one million dollars) in monetary damages.” That is a “specific amount of monetary damages” that could “constitute an offer of compromise.”</w:t>
      </w:r>
      <w:r>
        <w:rPr>
          <w:rFonts w:ascii="times" w:eastAsia="times" w:hAnsi="times" w:cs="times"/>
          <w:vertAlign w:val="superscript"/>
        </w:rPr>
        <w:footnoteReference w:customMarkFollows="1" w:id="17"/>
        <w:t xml:space="preserve">16</w:t>
      </w:r>
      <w:r>
        <w:rPr>
          <w:rFonts w:ascii="times" w:eastAsia="times" w:hAnsi="times" w:cs="times"/>
          <w:b w:val="0"/>
          <w:i w:val="0"/>
          <w:strike w:val="0"/>
          <w:noProof w:val="0"/>
          <w:color w:val="000000"/>
          <w:position w:val="0"/>
          <w:sz w:val="24"/>
          <w:u w:val="none"/>
          <w:vertAlign w:val="baseline"/>
        </w:rPr>
        <w:t xml:space="preserve"> It satisfied the plain language</w:t>
      </w:r>
      <w:r>
        <w:rPr>
          <w:rFonts w:ascii="times" w:eastAsia="times" w:hAnsi="times" w:cs="times"/>
          <w:vertAlign w:val="superscript"/>
        </w:rPr>
        <w:footnoteReference w:customMarkFollows="1" w:id="18"/>
        <w:t xml:space="preserve">17</w:t>
      </w:r>
      <w:r>
        <w:rPr>
          <w:rFonts w:ascii="times" w:eastAsia="times" w:hAnsi="times" w:cs="times"/>
          <w:b w:val="0"/>
          <w:i w:val="0"/>
          <w:strike w:val="0"/>
          <w:noProof w:val="0"/>
          <w:color w:val="000000"/>
          <w:position w:val="0"/>
          <w:sz w:val="24"/>
          <w:u w:val="none"/>
          <w:vertAlign w:val="baseline"/>
        </w:rPr>
        <w:t xml:space="preserve"> and purposes</w:t>
      </w:r>
      <w:r>
        <w:rPr>
          <w:rFonts w:ascii="times" w:eastAsia="times" w:hAnsi="times" w:cs="times"/>
          <w:vertAlign w:val="superscript"/>
        </w:rPr>
        <w:footnoteReference w:customMarkFollows="1" w:id="19"/>
        <w:t xml:space="preserve">18</w:t>
      </w:r>
      <w:r>
        <w:rPr>
          <w:rFonts w:ascii="times" w:eastAsia="times" w:hAnsi="times" w:cs="times"/>
          <w:b w:val="0"/>
          <w:i w:val="0"/>
          <w:strike w:val="0"/>
          <w:noProof w:val="0"/>
          <w:color w:val="000000"/>
          <w:position w:val="0"/>
          <w:sz w:val="24"/>
          <w:u w:val="none"/>
          <w:vertAlign w:val="baseline"/>
        </w:rPr>
        <w:t xml:space="preserve"> of </w:t>
      </w:r>
      <w:hyperlink r:id="rId53" w:history="1">
        <w:r>
          <w:rPr>
            <w:rFonts w:ascii="times" w:eastAsia="times" w:hAnsi="times" w:cs="times"/>
            <w:b w:val="0"/>
            <w:i/>
            <w:strike w:val="0"/>
            <w:noProof w:val="0"/>
            <w:color w:val="0077CC"/>
            <w:position w:val="0"/>
            <w:sz w:val="24"/>
            <w:u w:val="single"/>
            <w:shd w:val="clear" w:color="auto" w:fill="FFFFFF"/>
            <w:vertAlign w:val="baseline"/>
          </w:rPr>
          <w:t>OCGA § 36-33-5 (e)</w:t>
        </w:r>
      </w:hyperlink>
      <w:r>
        <w:rPr>
          <w:rFonts w:ascii="times" w:eastAsia="times" w:hAnsi="times" w:cs="times"/>
          <w:b w:val="0"/>
          <w:i w:val="0"/>
          <w:strike w:val="0"/>
          <w:noProof w:val="0"/>
          <w:color w:val="000000"/>
          <w:position w:val="0"/>
          <w:sz w:val="24"/>
          <w:u w:val="none"/>
          <w:vertAlign w:val="baseline"/>
        </w:rPr>
        <w:t xml:space="preserve">. </w:t>
      </w:r>
      <w:r>
        <w:rPr>
          <w:rFonts w:ascii="times" w:eastAsia="times" w:hAnsi="times" w:cs="times"/>
          <w:b/>
          <w:i w:val="0"/>
          <w:strike w:val="0"/>
          <w:noProof w:val="0"/>
          <w:color w:val="000000"/>
          <w:position w:val="0"/>
          <w:sz w:val="24"/>
          <w:u w:val="none"/>
          <w:vertAlign w:val="baseline"/>
        </w:rPr>
        <w:t> [**641] </w:t>
      </w:r>
      <w:r>
        <w:rPr>
          <w:rFonts w:ascii="times" w:eastAsia="times" w:hAnsi="times" w:cs="times"/>
          <w:b w:val="0"/>
          <w:i w:val="0"/>
          <w:strike w:val="0"/>
          <w:noProof w:val="0"/>
          <w:color w:val="000000"/>
          <w:position w:val="0"/>
          <w:sz w:val="24"/>
          <w:u w:val="none"/>
          <w:vertAlign w:val="baseline"/>
        </w:rPr>
        <w:t xml:space="preserve"> Strict compliance does not “take precedence over the plain language or meaning of the</w:t>
      </w:r>
      <w:r>
        <w:rPr>
          <w:rFonts w:ascii="times" w:eastAsia="times" w:hAnsi="times" w:cs="times"/>
          <w:b/>
          <w:i w:val="0"/>
          <w:strike w:val="0"/>
          <w:noProof w:val="0"/>
          <w:color w:val="000000"/>
          <w:position w:val="0"/>
          <w:sz w:val="24"/>
          <w:u w:val="none"/>
          <w:vertAlign w:val="baseline"/>
        </w:rPr>
        <w:t> [*262] </w:t>
      </w:r>
      <w:r>
        <w:rPr>
          <w:rFonts w:ascii="times" w:eastAsia="times" w:hAnsi="times" w:cs="times"/>
          <w:b w:val="0"/>
          <w:i w:val="0"/>
          <w:strike w:val="0"/>
          <w:noProof w:val="0"/>
          <w:color w:val="000000"/>
          <w:position w:val="0"/>
          <w:sz w:val="24"/>
          <w:u w:val="none"/>
          <w:vertAlign w:val="baseline"/>
        </w:rPr>
        <w:t xml:space="preserve"> statute,” nor does it require a “hyper-technical construction.”</w:t>
      </w:r>
      <w:r>
        <w:rPr>
          <w:rFonts w:ascii="times" w:eastAsia="times" w:hAnsi="times" w:cs="times"/>
          <w:vertAlign w:val="superscript"/>
        </w:rPr>
        <w:footnoteReference w:customMarkFollows="1" w:id="20"/>
        <w:t xml:space="preserve">19</w:t>
      </w:r>
      <w:r>
        <w:rPr>
          <w:rFonts w:ascii="times" w:eastAsia="times" w:hAnsi="times" w:cs="times"/>
          <w:b w:val="0"/>
          <w:i w:val="0"/>
          <w:strike w:val="0"/>
          <w:noProof w:val="0"/>
          <w:color w:val="000000"/>
          <w:position w:val="0"/>
          <w:sz w:val="24"/>
          <w:u w:val="none"/>
          <w:vertAlign w:val="baseline"/>
        </w:rPr>
        <w:t xml:space="preserve"> Thus, Chandler's ante litem notice here strictly complied with </w:t>
      </w:r>
      <w:hyperlink r:id="rId54" w:history="1">
        <w:r>
          <w:rPr>
            <w:rFonts w:ascii="times" w:eastAsia="times" w:hAnsi="times" w:cs="times"/>
            <w:b w:val="0"/>
            <w:i/>
            <w:strike w:val="0"/>
            <w:noProof w:val="0"/>
            <w:color w:val="0077CC"/>
            <w:position w:val="0"/>
            <w:sz w:val="24"/>
            <w:u w:val="single"/>
            <w:shd w:val="clear" w:color="auto" w:fill="FFFFFF"/>
            <w:vertAlign w:val="baseline"/>
          </w:rPr>
          <w:t>OCGA § 36-33-5 (e)</w:t>
        </w:r>
      </w:hyperlink>
      <w:r>
        <w:rPr>
          <w:rFonts w:ascii="times" w:eastAsia="times" w:hAnsi="times" w:cs="times"/>
          <w:b w:val="0"/>
          <w:i w:val="0"/>
          <w:strike w:val="0"/>
          <w:noProof w:val="0"/>
          <w:color w:val="000000"/>
          <w:position w:val="0"/>
          <w:sz w:val="24"/>
          <w:u w:val="none"/>
          <w:vertAlign w:val="baseline"/>
        </w:rPr>
        <w:t>.</w:t>
      </w:r>
    </w:p>
    <w:p>
      <w:pPr>
        <w:keepNext w:val="0"/>
        <w:widowControl w:val="0"/>
        <w:spacing w:before="240" w:after="0" w:line="300" w:lineRule="atLeast"/>
        <w:ind w:left="0" w:right="0" w:firstLine="0"/>
        <w:jc w:val="both"/>
      </w:pPr>
      <w:bookmarkStart w:id="105" w:name="Bookmark_para_15"/>
      <w:bookmarkEnd w:id="105"/>
      <w:bookmarkStart w:id="106" w:name="Bookmark_I5YK381Y2D6P170030000400"/>
      <w:bookmarkEnd w:id="106"/>
      <w:bookmarkStart w:id="107" w:name="Bookmark_I5YK381Y2D6P170050000400"/>
      <w:bookmarkEnd w:id="107"/>
      <w:bookmarkStart w:id="108" w:name="Bookmark_I5YK381Y28T51M0020000400"/>
      <w:bookmarkEnd w:id="108"/>
      <w:bookmarkStart w:id="109" w:name="Bookmark_I5YK381Y28T51M0040000400"/>
      <w:bookmarkEnd w:id="109"/>
      <w:r>
        <w:rPr>
          <w:rFonts w:ascii="times" w:eastAsia="times" w:hAnsi="times" w:cs="times"/>
          <w:b w:val="0"/>
          <w:i w:val="0"/>
          <w:strike w:val="0"/>
          <w:noProof w:val="0"/>
          <w:color w:val="000000"/>
          <w:position w:val="0"/>
          <w:sz w:val="24"/>
          <w:u w:val="none"/>
          <w:vertAlign w:val="baseline"/>
        </w:rPr>
        <w:t xml:space="preserve">The City argues that the $1,000,000 figure was only a “generalized stab” at the presumptive limits of its insurance policy, and that it did not detail any ongoing or future losses. But </w:t>
      </w:r>
      <w:hyperlink r:id="rId55" w:history="1">
        <w:r>
          <w:rPr>
            <w:rFonts w:ascii="times" w:eastAsia="times" w:hAnsi="times" w:cs="times"/>
            <w:b w:val="0"/>
            <w:i/>
            <w:strike w:val="0"/>
            <w:noProof w:val="0"/>
            <w:color w:val="0077CC"/>
            <w:position w:val="0"/>
            <w:sz w:val="24"/>
            <w:u w:val="single"/>
            <w:shd w:val="clear" w:color="auto" w:fill="FFFFFF"/>
            <w:vertAlign w:val="baseline"/>
          </w:rPr>
          <w:t>subsection (e)</w:t>
        </w:r>
      </w:hyperlink>
      <w:r>
        <w:rPr>
          <w:rFonts w:ascii="times" w:eastAsia="times" w:hAnsi="times" w:cs="times"/>
          <w:b w:val="0"/>
          <w:i w:val="0"/>
          <w:strike w:val="0"/>
          <w:noProof w:val="0"/>
          <w:color w:val="000000"/>
          <w:position w:val="0"/>
          <w:sz w:val="24"/>
          <w:u w:val="none"/>
          <w:vertAlign w:val="baseline"/>
        </w:rPr>
        <w:t xml:space="preserve"> “does not require a potential plaintiff to provide the actual dollar amount of the damages allegedly incurred, which might be difficult to quantify.”</w:t>
      </w:r>
      <w:r>
        <w:rPr>
          <w:rFonts w:ascii="times" w:eastAsia="times" w:hAnsi="times" w:cs="times"/>
          <w:vertAlign w:val="superscript"/>
        </w:rPr>
        <w:footnoteReference w:customMarkFollows="1" w:id="21"/>
        <w:t xml:space="preserve">20</w:t>
      </w:r>
      <w:r>
        <w:rPr>
          <w:rFonts w:ascii="times" w:eastAsia="times" w:hAnsi="times" w:cs="times"/>
          <w:b w:val="0"/>
          <w:i w:val="0"/>
          <w:strike w:val="0"/>
          <w:noProof w:val="0"/>
          <w:color w:val="000000"/>
          <w:position w:val="0"/>
          <w:sz w:val="24"/>
          <w:u w:val="none"/>
          <w:vertAlign w:val="baseline"/>
        </w:rPr>
        <w:t xml:space="preserve"> “Instead, the provision</w:t>
      </w:r>
      <w:r>
        <w:rPr>
          <w:rFonts w:ascii="times" w:eastAsia="times" w:hAnsi="times" w:cs="times"/>
          <w:b/>
          <w:i w:val="0"/>
          <w:strike w:val="0"/>
          <w:noProof w:val="0"/>
          <w:color w:val="000000"/>
          <w:position w:val="0"/>
          <w:sz w:val="24"/>
          <w:u w:val="none"/>
          <w:vertAlign w:val="baseline"/>
        </w:rPr>
        <w:t> [***6] </w:t>
      </w:r>
      <w:r>
        <w:rPr>
          <w:rFonts w:ascii="times" w:eastAsia="times" w:hAnsi="times" w:cs="times"/>
          <w:b w:val="0"/>
          <w:i w:val="0"/>
          <w:strike w:val="0"/>
          <w:noProof w:val="0"/>
          <w:color w:val="000000"/>
          <w:position w:val="0"/>
          <w:sz w:val="24"/>
          <w:u w:val="none"/>
          <w:vertAlign w:val="baseline"/>
        </w:rPr>
        <w:t xml:space="preserve"> requires the ante litem notice to provide ‘the specific amount of monetary damages being sought’ from the city, i.e., a settlement offer.”</w:t>
      </w:r>
      <w:r>
        <w:rPr>
          <w:rFonts w:ascii="times" w:eastAsia="times" w:hAnsi="times" w:cs="times"/>
          <w:vertAlign w:val="superscript"/>
        </w:rPr>
        <w:footnoteReference w:customMarkFollows="1" w:id="22"/>
        <w:t xml:space="preserve">21</w:t>
      </w:r>
      <w:r>
        <w:rPr>
          <w:rFonts w:ascii="times" w:eastAsia="times" w:hAnsi="times" w:cs="times"/>
          <w:b w:val="0"/>
          <w:i w:val="0"/>
          <w:strike w:val="0"/>
          <w:noProof w:val="0"/>
          <w:color w:val="000000"/>
          <w:position w:val="0"/>
          <w:sz w:val="24"/>
          <w:u w:val="none"/>
          <w:vertAlign w:val="baseline"/>
        </w:rPr>
        <w:t xml:space="preserve"> Additionally, given the six-month period to present the ante litem notice,</w:t>
      </w:r>
      <w:r>
        <w:rPr>
          <w:rFonts w:ascii="times" w:eastAsia="times" w:hAnsi="times" w:cs="times"/>
          <w:vertAlign w:val="superscript"/>
        </w:rPr>
        <w:footnoteReference w:customMarkFollows="1" w:id="23"/>
        <w:t xml:space="preserve">22</w:t>
      </w:r>
      <w:r>
        <w:rPr>
          <w:rFonts w:ascii="times" w:eastAsia="times" w:hAnsi="times" w:cs="times"/>
          <w:b w:val="0"/>
          <w:i w:val="0"/>
          <w:strike w:val="0"/>
          <w:noProof w:val="0"/>
          <w:color w:val="000000"/>
          <w:position w:val="0"/>
          <w:sz w:val="24"/>
          <w:u w:val="none"/>
          <w:vertAlign w:val="baseline"/>
        </w:rPr>
        <w:t xml:space="preserve"> and the implication in </w:t>
      </w:r>
      <w:hyperlink r:id="rId56" w:history="1">
        <w:r>
          <w:rPr>
            <w:rFonts w:ascii="times" w:eastAsia="times" w:hAnsi="times" w:cs="times"/>
            <w:b w:val="0"/>
            <w:i/>
            <w:strike w:val="0"/>
            <w:noProof w:val="0"/>
            <w:color w:val="0077CC"/>
            <w:position w:val="0"/>
            <w:sz w:val="24"/>
            <w:u w:val="single"/>
            <w:shd w:val="clear" w:color="auto" w:fill="FFFFFF"/>
            <w:vertAlign w:val="baseline"/>
          </w:rPr>
          <w:t>OCGA § 36-33-5 (e)</w:t>
        </w:r>
      </w:hyperlink>
      <w:r>
        <w:rPr>
          <w:rFonts w:ascii="times" w:eastAsia="times" w:hAnsi="times" w:cs="times"/>
          <w:b w:val="0"/>
          <w:i w:val="0"/>
          <w:strike w:val="0"/>
          <w:noProof w:val="0"/>
          <w:color w:val="000000"/>
          <w:position w:val="0"/>
          <w:sz w:val="24"/>
          <w:u w:val="none"/>
          <w:vertAlign w:val="baseline"/>
        </w:rPr>
        <w:t xml:space="preserve"> that a municipality may accept the amount stated in the ante litem notice as a binding settlement,</w:t>
      </w:r>
      <w:r>
        <w:rPr>
          <w:rFonts w:ascii="times" w:eastAsia="times" w:hAnsi="times" w:cs="times"/>
          <w:vertAlign w:val="superscript"/>
        </w:rPr>
        <w:footnoteReference w:customMarkFollows="1" w:id="24"/>
        <w:t xml:space="preserve">23</w:t>
      </w:r>
      <w:r>
        <w:rPr>
          <w:rFonts w:ascii="times" w:eastAsia="times" w:hAnsi="times" w:cs="times"/>
          <w:b w:val="0"/>
          <w:i w:val="0"/>
          <w:strike w:val="0"/>
          <w:noProof w:val="0"/>
          <w:color w:val="000000"/>
          <w:position w:val="0"/>
          <w:sz w:val="24"/>
          <w:u w:val="none"/>
          <w:vertAlign w:val="baseline"/>
        </w:rPr>
        <w:t xml:space="preserve"> a claimant necessarily estimates any ongoing, future, and special damages in providing a specific monetary figure in the ante litem notice.</w:t>
      </w:r>
      <w:r>
        <w:rPr>
          <w:rFonts w:ascii="times" w:eastAsia="times" w:hAnsi="times" w:cs="times"/>
          <w:vertAlign w:val="superscript"/>
        </w:rPr>
        <w:footnoteReference w:customMarkFollows="1" w:id="25"/>
        <w:t xml:space="preserve">24</w:t>
      </w:r>
    </w:p>
    <w:p>
      <w:pPr>
        <w:keepNext w:val="0"/>
        <w:widowControl w:val="0"/>
        <w:spacing w:before="240" w:after="0" w:line="300" w:lineRule="atLeast"/>
        <w:ind w:left="0" w:right="0" w:firstLine="0"/>
        <w:jc w:val="both"/>
      </w:pPr>
      <w:bookmarkStart w:id="119" w:name="Bookmark_para_16"/>
      <w:bookmarkEnd w:id="119"/>
      <w:r>
        <w:rPr>
          <w:rFonts w:ascii="times" w:eastAsia="times" w:hAnsi="times" w:cs="times"/>
          <w:b w:val="0"/>
          <w:i w:val="0"/>
          <w:strike w:val="0"/>
          <w:noProof w:val="0"/>
          <w:color w:val="000000"/>
          <w:position w:val="0"/>
          <w:sz w:val="24"/>
          <w:u w:val="none"/>
          <w:vertAlign w:val="baseline"/>
        </w:rPr>
        <w:t xml:space="preserve">Accordingly, the trial court did not err in finding that Chandler's ante litem notice satisfied the requirements of </w:t>
      </w:r>
      <w:hyperlink r:id="rId57" w:history="1">
        <w:r>
          <w:rPr>
            <w:rFonts w:ascii="times" w:eastAsia="times" w:hAnsi="times" w:cs="times"/>
            <w:b w:val="0"/>
            <w:i/>
            <w:strike w:val="0"/>
            <w:noProof w:val="0"/>
            <w:color w:val="0077CC"/>
            <w:position w:val="0"/>
            <w:sz w:val="24"/>
            <w:u w:val="single"/>
            <w:shd w:val="clear" w:color="auto" w:fill="FFFFFF"/>
            <w:vertAlign w:val="baseline"/>
          </w:rPr>
          <w:t>OCGA § 36-33-5 (e)</w:t>
        </w:r>
      </w:hyperlink>
      <w:r>
        <w:rPr>
          <w:rFonts w:ascii="times" w:eastAsia="times" w:hAnsi="times" w:cs="times"/>
          <w:b w:val="0"/>
          <w:i w:val="0"/>
          <w:strike w:val="0"/>
          <w:noProof w:val="0"/>
          <w:color w:val="000000"/>
          <w:position w:val="0"/>
          <w:sz w:val="24"/>
          <w:u w:val="none"/>
          <w:vertAlign w:val="baseline"/>
        </w:rPr>
        <w:t>, and we affirm.</w:t>
      </w:r>
    </w:p>
    <w:p>
      <w:pPr>
        <w:keepNext w:val="0"/>
        <w:widowControl w:val="0"/>
        <w:spacing w:before="200" w:after="0" w:line="300" w:lineRule="atLeast"/>
        <w:ind w:left="0" w:right="0" w:firstLine="0"/>
        <w:jc w:val="both"/>
      </w:pPr>
      <w:bookmarkStart w:id="120" w:name="Bookmark_para_17"/>
      <w:bookmarkEnd w:id="120"/>
      <w:r>
        <w:rPr>
          <w:rFonts w:ascii="times" w:eastAsia="times" w:hAnsi="times" w:cs="times"/>
          <w:b w:val="0"/>
          <w:i/>
          <w:strike w:val="0"/>
          <w:noProof w:val="0"/>
          <w:color w:val="000000"/>
          <w:position w:val="0"/>
          <w:sz w:val="24"/>
          <w:u w:val="none"/>
          <w:vertAlign w:val="baseline"/>
        </w:rPr>
        <w:t>Judgment affirmed. Miller, P. J., and Rickman, J., concur</w:t>
      </w:r>
      <w:r>
        <w:rPr>
          <w:rFonts w:ascii="times" w:eastAsia="times" w:hAnsi="times" w:cs="times"/>
          <w:b w:val="0"/>
          <w:i w:val="0"/>
          <w:strike w:val="0"/>
          <w:noProof w:val="0"/>
          <w:color w:val="000000"/>
          <w:position w:val="0"/>
          <w:sz w:val="24"/>
          <w:u w:val="none"/>
          <w:vertAlign w:val="baseline"/>
        </w:rPr>
        <w:t>.</w:t>
      </w:r>
    </w:p>
    <w:p/>
    <w:p>
      <w:pPr>
        <w:ind w:left="200"/>
      </w:pPr>
      <w:r>
        <w:br/>
      </w:r>
      <w:r>
        <w:pict>
          <v:line id="_x0000_s1030" style="position:absolute;z-index:251662336" from="0,10pt" to="512pt,10pt" strokecolor="black" strokeweight="1pt">
            <v:stroke linestyle="single"/>
          </v:line>
        </w:pict>
      </w:r>
      <w:r>
        <w:rPr>
          <w:rFonts w:ascii="times" w:eastAsia="times" w:hAnsi="times" w:cs="times"/>
          <w:b/>
          <w:color w:val="767676"/>
          <w:sz w:val="16"/>
        </w:rPr>
        <w:t>End of Document</w:t>
      </w:r>
    </w:p>
    <w:sectPr>
      <w:type w:val="continuous"/>
      <w:pgMar w:top="840" w:right="1000" w:bottom="840" w:left="1000" w:header="400" w:footer="400"/>
      <w:pgNumType w:fmt="decimal"/>
      <w:cols w:num="2" w:space="24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widowControl w:val="0"/>
        <w:spacing w:before="240" w:after="0" w:line="240" w:lineRule="atLeast"/>
        <w:ind w:left="0" w:right="0" w:firstLine="0"/>
        <w:jc w:val="both"/>
      </w:pPr>
      <w:r>
        <w:rPr>
          <w:rFonts w:ascii="times" w:eastAsia="times" w:hAnsi="times" w:cs="times"/>
          <w:b w:val="0"/>
          <w:i w:val="0"/>
          <w:strike w:val="0"/>
          <w:noProof w:val="0"/>
          <w:color w:val="000000"/>
          <w:position w:val="0"/>
          <w:sz w:val="18"/>
          <w:u w:val="none"/>
          <w:vertAlign w:val="superscript"/>
        </w:rPr>
        <w:t>1 </w:t>
      </w:r>
      <w:bookmarkStart w:id="39" w:name="Bookmark_fnpara_1"/>
      <w:bookmarkEnd w:id="39"/>
      <w:r>
        <w:rPr>
          <w:rFonts w:ascii="times" w:eastAsia="times" w:hAnsi="times" w:cs="times"/>
          <w:b w:val="0"/>
          <w:i w:val="0"/>
          <w:strike w:val="0"/>
          <w:noProof w:val="0"/>
          <w:color w:val="000000"/>
          <w:position w:val="0"/>
          <w:sz w:val="18"/>
          <w:u w:val="none"/>
          <w:vertAlign w:val="baseline"/>
        </w:rPr>
        <w:t xml:space="preserve">See </w:t>
      </w:r>
      <w:bookmarkStart w:id="40" w:name="Bookmark_I5YK381V2HM6YS0010000400"/>
      <w:bookmarkEnd w:id="40"/>
      <w:hyperlink r:id="rId1" w:history="1">
        <w:r>
          <w:rPr>
            <w:rFonts w:ascii="times" w:eastAsia="times" w:hAnsi="times" w:cs="times"/>
            <w:b w:val="0"/>
            <w:i/>
            <w:strike w:val="0"/>
            <w:noProof w:val="0"/>
            <w:color w:val="0077CC"/>
            <w:position w:val="0"/>
            <w:sz w:val="18"/>
            <w:u w:val="single"/>
            <w:shd w:val="clear" w:color="auto" w:fill="FFFFFF"/>
            <w:vertAlign w:val="baseline"/>
          </w:rPr>
          <w:t>Bd. of Regents of the Univ. System of Ga. v. Brooks</w:t>
        </w:r>
      </w:hyperlink>
      <w:hyperlink r:id="rId2" w:history="1">
        <w:r>
          <w:rPr>
            <w:rFonts w:ascii="times" w:eastAsia="times" w:hAnsi="times" w:cs="times"/>
            <w:b w:val="0"/>
            <w:i/>
            <w:strike w:val="0"/>
            <w:noProof w:val="0"/>
            <w:color w:val="0077CC"/>
            <w:position w:val="0"/>
            <w:sz w:val="18"/>
            <w:u w:val="single"/>
            <w:shd w:val="clear" w:color="auto" w:fill="FFFFFF"/>
            <w:vertAlign w:val="baseline"/>
          </w:rPr>
          <w:t>, 324 Ga. App. 15, 15-16 (749 SE2d 23) (2013)</w:t>
        </w:r>
      </w:hyperlink>
      <w:r>
        <w:rPr>
          <w:rFonts w:ascii="times" w:eastAsia="times" w:hAnsi="times" w:cs="times"/>
          <w:b w:val="0"/>
          <w:i w:val="0"/>
          <w:strike w:val="0"/>
          <w:noProof w:val="0"/>
          <w:color w:val="000000"/>
          <w:position w:val="0"/>
          <w:sz w:val="18"/>
          <w:u w:val="none"/>
          <w:vertAlign w:val="baseline"/>
        </w:rPr>
        <w:t>.</w:t>
      </w:r>
    </w:p>
  </w:footnote>
  <w:footnote w:id="3">
    <w:p>
      <w:pPr>
        <w:keepNext w:val="0"/>
        <w:widowControl w:val="0"/>
        <w:spacing w:before="240" w:after="0" w:line="240" w:lineRule="atLeast"/>
        <w:ind w:left="0" w:right="0" w:firstLine="0"/>
        <w:jc w:val="both"/>
      </w:pPr>
      <w:r>
        <w:rPr>
          <w:rFonts w:ascii="times" w:eastAsia="times" w:hAnsi="times" w:cs="times"/>
          <w:b w:val="0"/>
          <w:i w:val="0"/>
          <w:strike w:val="0"/>
          <w:noProof w:val="0"/>
          <w:color w:val="000000"/>
          <w:position w:val="0"/>
          <w:sz w:val="18"/>
          <w:u w:val="none"/>
          <w:vertAlign w:val="superscript"/>
        </w:rPr>
        <w:t>2 </w:t>
      </w:r>
      <w:bookmarkStart w:id="45" w:name="Bookmark_fnpara_2"/>
      <w:bookmarkEnd w:id="45"/>
      <w:r>
        <w:rPr>
          <w:rFonts w:ascii="times" w:eastAsia="times" w:hAnsi="times" w:cs="times"/>
          <w:b w:val="0"/>
          <w:i w:val="0"/>
          <w:strike w:val="0"/>
          <w:noProof w:val="0"/>
          <w:color w:val="000000"/>
          <w:position w:val="0"/>
          <w:sz w:val="18"/>
          <w:u w:val="none"/>
          <w:vertAlign w:val="baseline"/>
        </w:rPr>
        <w:t xml:space="preserve">See </w:t>
      </w:r>
      <w:bookmarkStart w:id="46" w:name="Bookmark_I5YK381V2HM6YS0030000400"/>
      <w:bookmarkEnd w:id="46"/>
      <w:hyperlink r:id="rId3" w:history="1">
        <w:r>
          <w:rPr>
            <w:rFonts w:ascii="times" w:eastAsia="times" w:hAnsi="times" w:cs="times"/>
            <w:b w:val="0"/>
            <w:i/>
            <w:strike w:val="0"/>
            <w:noProof w:val="0"/>
            <w:color w:val="0077CC"/>
            <w:position w:val="0"/>
            <w:sz w:val="18"/>
            <w:u w:val="single"/>
            <w:shd w:val="clear" w:color="auto" w:fill="FFFFFF"/>
            <w:vertAlign w:val="baseline"/>
          </w:rPr>
          <w:t>Brooks</w:t>
        </w:r>
      </w:hyperlink>
      <w:hyperlink r:id="rId4" w:history="1">
        <w:r>
          <w:rPr>
            <w:rFonts w:ascii="times" w:eastAsia="times" w:hAnsi="times" w:cs="times"/>
            <w:b w:val="0"/>
            <w:i/>
            <w:strike w:val="0"/>
            <w:noProof w:val="0"/>
            <w:color w:val="0077CC"/>
            <w:position w:val="0"/>
            <w:sz w:val="18"/>
            <w:u w:val="single"/>
            <w:shd w:val="clear" w:color="auto" w:fill="FFFFFF"/>
            <w:vertAlign w:val="baseline"/>
          </w:rPr>
          <w:t>, 324 Ga. App. at 15-16</w:t>
        </w:r>
      </w:hyperlink>
      <w:r>
        <w:rPr>
          <w:rFonts w:ascii="times" w:eastAsia="times" w:hAnsi="times" w:cs="times"/>
          <w:b w:val="0"/>
          <w:i w:val="0"/>
          <w:strike w:val="0"/>
          <w:noProof w:val="0"/>
          <w:color w:val="000000"/>
          <w:position w:val="0"/>
          <w:sz w:val="18"/>
          <w:u w:val="none"/>
          <w:vertAlign w:val="baseline"/>
        </w:rPr>
        <w:t>.</w:t>
      </w:r>
    </w:p>
  </w:footnote>
  <w:footnote w:id="4">
    <w:p>
      <w:pPr>
        <w:keepNext w:val="0"/>
        <w:widowControl w:val="0"/>
        <w:spacing w:before="240" w:after="0" w:line="240" w:lineRule="atLeast"/>
        <w:ind w:left="0" w:right="0" w:firstLine="0"/>
        <w:jc w:val="both"/>
      </w:pPr>
      <w:r>
        <w:rPr>
          <w:rFonts w:ascii="times" w:eastAsia="times" w:hAnsi="times" w:cs="times"/>
          <w:b w:val="0"/>
          <w:i w:val="0"/>
          <w:strike w:val="0"/>
          <w:noProof w:val="0"/>
          <w:color w:val="000000"/>
          <w:position w:val="0"/>
          <w:sz w:val="18"/>
          <w:u w:val="none"/>
          <w:vertAlign w:val="superscript"/>
        </w:rPr>
        <w:t>3 </w:t>
      </w:r>
      <w:bookmarkStart w:id="52" w:name="Bookmark_fnpara_3"/>
      <w:bookmarkEnd w:id="52"/>
      <w:hyperlink r:id="rId5" w:history="1">
        <w:r>
          <w:rPr>
            <w:rFonts w:ascii="times" w:eastAsia="times" w:hAnsi="times" w:cs="times"/>
            <w:b w:val="0"/>
            <w:i/>
            <w:strike w:val="0"/>
            <w:noProof w:val="0"/>
            <w:color w:val="0077CC"/>
            <w:position w:val="0"/>
            <w:sz w:val="18"/>
            <w:u w:val="single"/>
            <w:shd w:val="clear" w:color="auto" w:fill="FFFFFF"/>
            <w:vertAlign w:val="baseline"/>
          </w:rPr>
          <w:t>OCGA § 36-33-5 (b)</w:t>
        </w:r>
      </w:hyperlink>
      <w:r>
        <w:rPr>
          <w:rFonts w:ascii="times" w:eastAsia="times" w:hAnsi="times" w:cs="times"/>
          <w:b w:val="0"/>
          <w:i w:val="0"/>
          <w:strike w:val="0"/>
          <w:noProof w:val="0"/>
          <w:color w:val="000000"/>
          <w:position w:val="0"/>
          <w:sz w:val="18"/>
          <w:u w:val="none"/>
          <w:vertAlign w:val="baseline"/>
        </w:rPr>
        <w:t>.</w:t>
      </w:r>
    </w:p>
  </w:footnote>
  <w:footnote w:id="5">
    <w:p>
      <w:pPr>
        <w:keepNext w:val="0"/>
        <w:widowControl w:val="0"/>
        <w:spacing w:before="240" w:after="0" w:line="240" w:lineRule="atLeast"/>
        <w:ind w:left="0" w:right="0" w:firstLine="0"/>
        <w:jc w:val="both"/>
      </w:pPr>
      <w:r>
        <w:rPr>
          <w:rFonts w:ascii="times" w:eastAsia="times" w:hAnsi="times" w:cs="times"/>
          <w:b w:val="0"/>
          <w:i w:val="0"/>
          <w:strike w:val="0"/>
          <w:noProof w:val="0"/>
          <w:color w:val="000000"/>
          <w:position w:val="0"/>
          <w:sz w:val="18"/>
          <w:u w:val="none"/>
          <w:vertAlign w:val="superscript"/>
        </w:rPr>
        <w:t>4 </w:t>
      </w:r>
      <w:bookmarkStart w:id="53" w:name="Bookmark_fnpara_4"/>
      <w:bookmarkEnd w:id="53"/>
      <w:bookmarkStart w:id="54" w:name="Bookmark_I5YK381V2HM6YS0050000400"/>
      <w:bookmarkEnd w:id="54"/>
      <w:hyperlink r:id="rId6" w:history="1">
        <w:r>
          <w:rPr>
            <w:rFonts w:ascii="times" w:eastAsia="times" w:hAnsi="times" w:cs="times"/>
            <w:b w:val="0"/>
            <w:i/>
            <w:strike w:val="0"/>
            <w:noProof w:val="0"/>
            <w:color w:val="0077CC"/>
            <w:position w:val="0"/>
            <w:sz w:val="18"/>
            <w:u w:val="single"/>
            <w:shd w:val="clear" w:color="auto" w:fill="FFFFFF"/>
            <w:vertAlign w:val="baseline"/>
          </w:rPr>
          <w:t>City of Albany v. GA HY Imports</w:t>
        </w:r>
      </w:hyperlink>
      <w:hyperlink r:id="rId7" w:history="1">
        <w:r>
          <w:rPr>
            <w:rFonts w:ascii="times" w:eastAsia="times" w:hAnsi="times" w:cs="times"/>
            <w:b w:val="0"/>
            <w:i/>
            <w:strike w:val="0"/>
            <w:noProof w:val="0"/>
            <w:color w:val="0077CC"/>
            <w:position w:val="0"/>
            <w:sz w:val="18"/>
            <w:u w:val="single"/>
            <w:shd w:val="clear" w:color="auto" w:fill="FFFFFF"/>
            <w:vertAlign w:val="baseline"/>
          </w:rPr>
          <w:t>, 348 Ga. App. 885, 888 (825 SE2d 385) (2019)</w:t>
        </w:r>
      </w:hyperlink>
      <w:r>
        <w:rPr>
          <w:rFonts w:ascii="times" w:eastAsia="times" w:hAnsi="times" w:cs="times"/>
          <w:b w:val="0"/>
          <w:i w:val="0"/>
          <w:strike w:val="0"/>
          <w:noProof w:val="0"/>
          <w:color w:val="000000"/>
          <w:position w:val="0"/>
          <w:sz w:val="18"/>
          <w:u w:val="none"/>
          <w:vertAlign w:val="baseline"/>
        </w:rPr>
        <w:t xml:space="preserve"> (citation and punctuation omitted).</w:t>
      </w:r>
    </w:p>
  </w:footnote>
  <w:footnote w:id="6">
    <w:p>
      <w:pPr>
        <w:keepNext w:val="0"/>
        <w:widowControl w:val="0"/>
        <w:spacing w:before="240" w:after="0" w:line="240" w:lineRule="atLeast"/>
        <w:ind w:left="0" w:right="0" w:firstLine="0"/>
        <w:jc w:val="both"/>
      </w:pPr>
      <w:r>
        <w:rPr>
          <w:rFonts w:ascii="times" w:eastAsia="times" w:hAnsi="times" w:cs="times"/>
          <w:b w:val="0"/>
          <w:i w:val="0"/>
          <w:strike w:val="0"/>
          <w:noProof w:val="0"/>
          <w:color w:val="000000"/>
          <w:position w:val="0"/>
          <w:sz w:val="18"/>
          <w:u w:val="none"/>
          <w:vertAlign w:val="superscript"/>
        </w:rPr>
        <w:t>5 </w:t>
      </w:r>
      <w:bookmarkStart w:id="55" w:name="Bookmark_fnpara_5"/>
      <w:bookmarkEnd w:id="55"/>
      <w:bookmarkStart w:id="56" w:name="Bookmark_I5YK381W28T51B0020000400"/>
      <w:bookmarkEnd w:id="56"/>
      <w:hyperlink r:id="rId8" w:history="1">
        <w:r>
          <w:rPr>
            <w:rFonts w:ascii="times" w:eastAsia="times" w:hAnsi="times" w:cs="times"/>
            <w:b w:val="0"/>
            <w:i/>
            <w:strike w:val="0"/>
            <w:noProof w:val="0"/>
            <w:color w:val="0077CC"/>
            <w:position w:val="0"/>
            <w:sz w:val="18"/>
            <w:u w:val="single"/>
            <w:shd w:val="clear" w:color="auto" w:fill="FFFFFF"/>
            <w:vertAlign w:val="baseline"/>
          </w:rPr>
          <w:t>City of Greensboro v. Rowland</w:t>
        </w:r>
      </w:hyperlink>
      <w:hyperlink r:id="rId9" w:history="1">
        <w:r>
          <w:rPr>
            <w:rFonts w:ascii="times" w:eastAsia="times" w:hAnsi="times" w:cs="times"/>
            <w:b w:val="0"/>
            <w:i/>
            <w:strike w:val="0"/>
            <w:noProof w:val="0"/>
            <w:color w:val="0077CC"/>
            <w:position w:val="0"/>
            <w:sz w:val="18"/>
            <w:u w:val="single"/>
            <w:shd w:val="clear" w:color="auto" w:fill="FFFFFF"/>
            <w:vertAlign w:val="baseline"/>
          </w:rPr>
          <w:t>, 334 Ga. App. 148, 151 (2) (778 SE2d 409) (2015)</w:t>
        </w:r>
      </w:hyperlink>
      <w:r>
        <w:rPr>
          <w:rFonts w:ascii="times" w:eastAsia="times" w:hAnsi="times" w:cs="times"/>
          <w:b w:val="0"/>
          <w:i w:val="0"/>
          <w:strike w:val="0"/>
          <w:noProof w:val="0"/>
          <w:color w:val="000000"/>
          <w:position w:val="0"/>
          <w:sz w:val="18"/>
          <w:u w:val="none"/>
          <w:vertAlign w:val="baseline"/>
        </w:rPr>
        <w:t xml:space="preserve">. But see </w:t>
      </w:r>
      <w:bookmarkStart w:id="57" w:name="Bookmark_I5YK381W28T51B0040000400"/>
      <w:bookmarkEnd w:id="57"/>
      <w:hyperlink r:id="rId10" w:history="1">
        <w:r>
          <w:rPr>
            <w:rFonts w:ascii="times" w:eastAsia="times" w:hAnsi="times" w:cs="times"/>
            <w:b w:val="0"/>
            <w:i/>
            <w:strike w:val="0"/>
            <w:noProof w:val="0"/>
            <w:color w:val="0077CC"/>
            <w:position w:val="0"/>
            <w:sz w:val="18"/>
            <w:u w:val="single"/>
            <w:shd w:val="clear" w:color="auto" w:fill="FFFFFF"/>
            <w:vertAlign w:val="baseline"/>
          </w:rPr>
          <w:t>Ga. Dept. of Transp. v. King</w:t>
        </w:r>
      </w:hyperlink>
      <w:hyperlink r:id="rId11" w:history="1">
        <w:r>
          <w:rPr>
            <w:rFonts w:ascii="times" w:eastAsia="times" w:hAnsi="times" w:cs="times"/>
            <w:b w:val="0"/>
            <w:i/>
            <w:strike w:val="0"/>
            <w:noProof w:val="0"/>
            <w:color w:val="0077CC"/>
            <w:position w:val="0"/>
            <w:sz w:val="18"/>
            <w:u w:val="single"/>
            <w:shd w:val="clear" w:color="auto" w:fill="FFFFFF"/>
            <w:vertAlign w:val="baseline"/>
          </w:rPr>
          <w:t>, 341 Ga. App. 102, 104 (798 SE2d 492) (2017)</w:t>
        </w:r>
      </w:hyperlink>
      <w:r>
        <w:rPr>
          <w:rFonts w:ascii="times" w:eastAsia="times" w:hAnsi="times" w:cs="times"/>
          <w:b w:val="0"/>
          <w:i w:val="0"/>
          <w:strike w:val="0"/>
          <w:noProof w:val="0"/>
          <w:color w:val="000000"/>
          <w:position w:val="0"/>
          <w:sz w:val="18"/>
          <w:u w:val="none"/>
          <w:vertAlign w:val="baseline"/>
        </w:rPr>
        <w:t xml:space="preserve"> (a claimant against the State must strictly comply with the ante litem provisions of </w:t>
      </w:r>
      <w:hyperlink r:id="rId12" w:history="1">
        <w:r>
          <w:rPr>
            <w:rFonts w:ascii="times" w:eastAsia="times" w:hAnsi="times" w:cs="times"/>
            <w:b w:val="0"/>
            <w:i/>
            <w:strike w:val="0"/>
            <w:noProof w:val="0"/>
            <w:color w:val="0077CC"/>
            <w:position w:val="0"/>
            <w:sz w:val="18"/>
            <w:u w:val="single"/>
            <w:shd w:val="clear" w:color="auto" w:fill="FFFFFF"/>
            <w:vertAlign w:val="baseline"/>
          </w:rPr>
          <w:t>OCGA § 50-21-26 (a)</w:t>
        </w:r>
      </w:hyperlink>
      <w:r>
        <w:rPr>
          <w:rFonts w:ascii="times" w:eastAsia="times" w:hAnsi="times" w:cs="times"/>
          <w:b w:val="0"/>
          <w:i w:val="0"/>
          <w:strike w:val="0"/>
          <w:noProof w:val="0"/>
          <w:color w:val="000000"/>
          <w:position w:val="0"/>
          <w:sz w:val="18"/>
          <w:u w:val="none"/>
          <w:vertAlign w:val="baseline"/>
        </w:rPr>
        <w:t>, because the statute represents a waiver of the State's sovereign immunity).</w:t>
      </w:r>
    </w:p>
  </w:footnote>
  <w:footnote w:id="7">
    <w:p>
      <w:pPr>
        <w:spacing w:before="120" w:line="240" w:lineRule="atLeast"/>
        <w:jc w:val="both"/>
      </w:pPr>
      <w:r>
        <w:rPr>
          <w:rFonts w:ascii="times" w:eastAsia="times" w:hAnsi="times" w:cs="times"/>
          <w:b w:val="0"/>
          <w:i w:val="0"/>
          <w:strike w:val="0"/>
          <w:noProof w:val="0"/>
          <w:color w:val="000000"/>
          <w:position w:val="0"/>
          <w:sz w:val="18"/>
          <w:u w:val="none"/>
          <w:vertAlign w:val="superscript"/>
        </w:rPr>
        <w:t>6 </w:t>
      </w:r>
      <w:bookmarkStart w:id="59" w:name="Bookmark_fnpara_6"/>
      <w:bookmarkEnd w:id="59"/>
      <w:r>
        <w:rPr>
          <w:rFonts w:ascii="times" w:eastAsia="times" w:hAnsi="times" w:cs="times"/>
          <w:b w:val="0"/>
          <w:i w:val="0"/>
          <w:strike w:val="0"/>
          <w:noProof w:val="0"/>
          <w:color w:val="000000"/>
          <w:position w:val="0"/>
          <w:sz w:val="18"/>
          <w:u w:val="none"/>
          <w:vertAlign w:val="baseline"/>
        </w:rPr>
        <w:t>See Ga. L. 2014, p. 125, § 1.</w:t>
      </w:r>
    </w:p>
  </w:footnote>
  <w:footnote w:id="8">
    <w:p>
      <w:pPr>
        <w:keepNext w:val="0"/>
        <w:widowControl w:val="0"/>
        <w:spacing w:before="240" w:after="0" w:line="240" w:lineRule="atLeast"/>
        <w:ind w:left="0" w:right="0" w:firstLine="0"/>
        <w:jc w:val="both"/>
      </w:pPr>
      <w:r>
        <w:rPr>
          <w:rFonts w:ascii="times" w:eastAsia="times" w:hAnsi="times" w:cs="times"/>
          <w:b w:val="0"/>
          <w:i w:val="0"/>
          <w:strike w:val="0"/>
          <w:noProof w:val="0"/>
          <w:color w:val="000000"/>
          <w:position w:val="0"/>
          <w:sz w:val="18"/>
          <w:u w:val="none"/>
          <w:vertAlign w:val="superscript"/>
        </w:rPr>
        <w:t>7 </w:t>
      </w:r>
      <w:bookmarkStart w:id="61" w:name="Bookmark_fnpara_7"/>
      <w:bookmarkEnd w:id="61"/>
      <w:hyperlink r:id="rId13" w:history="1">
        <w:r>
          <w:rPr>
            <w:rFonts w:ascii="times" w:eastAsia="times" w:hAnsi="times" w:cs="times"/>
            <w:b w:val="0"/>
            <w:i/>
            <w:strike w:val="0"/>
            <w:noProof w:val="0"/>
            <w:color w:val="0077CC"/>
            <w:position w:val="0"/>
            <w:sz w:val="18"/>
            <w:u w:val="single"/>
            <w:shd w:val="clear" w:color="auto" w:fill="FFFFFF"/>
            <w:vertAlign w:val="baseline"/>
          </w:rPr>
          <w:t>OCGA § 36-33-5 (e)</w:t>
        </w:r>
      </w:hyperlink>
      <w:r>
        <w:rPr>
          <w:rFonts w:ascii="times" w:eastAsia="times" w:hAnsi="times" w:cs="times"/>
          <w:b w:val="0"/>
          <w:i w:val="0"/>
          <w:strike w:val="0"/>
          <w:noProof w:val="0"/>
          <w:color w:val="000000"/>
          <w:position w:val="0"/>
          <w:sz w:val="18"/>
          <w:u w:val="none"/>
          <w:vertAlign w:val="baseline"/>
        </w:rPr>
        <w:t>.</w:t>
      </w:r>
    </w:p>
  </w:footnote>
  <w:footnote w:id="9">
    <w:p>
      <w:pPr>
        <w:keepNext w:val="0"/>
        <w:widowControl w:val="0"/>
        <w:spacing w:before="240" w:after="0" w:line="240" w:lineRule="atLeast"/>
        <w:ind w:left="0" w:right="0" w:firstLine="0"/>
        <w:jc w:val="both"/>
      </w:pPr>
      <w:r>
        <w:rPr>
          <w:rFonts w:ascii="times" w:eastAsia="times" w:hAnsi="times" w:cs="times"/>
          <w:b w:val="0"/>
          <w:i w:val="0"/>
          <w:strike w:val="0"/>
          <w:noProof w:val="0"/>
          <w:color w:val="000000"/>
          <w:position w:val="0"/>
          <w:sz w:val="18"/>
          <w:u w:val="none"/>
          <w:vertAlign w:val="superscript"/>
        </w:rPr>
        <w:t>8 </w:t>
      </w:r>
      <w:bookmarkStart w:id="62" w:name="Bookmark_fnpara_8"/>
      <w:bookmarkEnd w:id="62"/>
      <w:hyperlink r:id="rId14" w:history="1">
        <w:r>
          <w:rPr>
            <w:rFonts w:ascii="times" w:eastAsia="times" w:hAnsi="times" w:cs="times"/>
            <w:b w:val="0"/>
            <w:i/>
            <w:strike w:val="0"/>
            <w:noProof w:val="0"/>
            <w:color w:val="0077CC"/>
            <w:position w:val="0"/>
            <w:sz w:val="18"/>
            <w:u w:val="single"/>
            <w:shd w:val="clear" w:color="auto" w:fill="FFFFFF"/>
            <w:vertAlign w:val="baseline"/>
          </w:rPr>
          <w:t>OCGA § 36-33-5 (f)</w:t>
        </w:r>
      </w:hyperlink>
      <w:r>
        <w:rPr>
          <w:rFonts w:ascii="times" w:eastAsia="times" w:hAnsi="times" w:cs="times"/>
          <w:b w:val="0"/>
          <w:i w:val="0"/>
          <w:strike w:val="0"/>
          <w:noProof w:val="0"/>
          <w:color w:val="000000"/>
          <w:position w:val="0"/>
          <w:sz w:val="18"/>
          <w:u w:val="none"/>
          <w:vertAlign w:val="baseline"/>
        </w:rPr>
        <w:t>.</w:t>
      </w:r>
    </w:p>
  </w:footnote>
  <w:footnote w:id="10">
    <w:p>
      <w:pPr>
        <w:keepNext w:val="0"/>
        <w:widowControl w:val="0"/>
        <w:spacing w:before="240" w:after="0" w:line="240" w:lineRule="atLeast"/>
        <w:ind w:left="0" w:right="0" w:firstLine="0"/>
        <w:jc w:val="both"/>
      </w:pPr>
      <w:r>
        <w:rPr>
          <w:rFonts w:ascii="times" w:eastAsia="times" w:hAnsi="times" w:cs="times"/>
          <w:b w:val="0"/>
          <w:i w:val="0"/>
          <w:strike w:val="0"/>
          <w:noProof w:val="0"/>
          <w:color w:val="000000"/>
          <w:position w:val="0"/>
          <w:sz w:val="18"/>
          <w:u w:val="none"/>
          <w:vertAlign w:val="superscript"/>
        </w:rPr>
        <w:t>9 </w:t>
      </w:r>
      <w:bookmarkStart w:id="67" w:name="Bookmark_fnpara_9"/>
      <w:bookmarkEnd w:id="67"/>
      <w:bookmarkStart w:id="68" w:name="Bookmark_I5YK381X2D6P130010000400"/>
      <w:bookmarkEnd w:id="68"/>
      <w:hyperlink r:id="rId15" w:history="1">
        <w:r>
          <w:rPr>
            <w:rFonts w:ascii="times" w:eastAsia="times" w:hAnsi="times" w:cs="times"/>
            <w:b w:val="0"/>
            <w:i/>
            <w:strike w:val="0"/>
            <w:noProof w:val="0"/>
            <w:color w:val="0077CC"/>
            <w:position w:val="0"/>
            <w:sz w:val="18"/>
            <w:u w:val="single"/>
            <w:shd w:val="clear" w:color="auto" w:fill="FFFFFF"/>
            <w:vertAlign w:val="baseline"/>
          </w:rPr>
          <w:t>Albany</w:t>
        </w:r>
      </w:hyperlink>
      <w:hyperlink r:id="rId16" w:history="1">
        <w:r>
          <w:rPr>
            <w:rFonts w:ascii="times" w:eastAsia="times" w:hAnsi="times" w:cs="times"/>
            <w:b w:val="0"/>
            <w:i/>
            <w:strike w:val="0"/>
            <w:noProof w:val="0"/>
            <w:color w:val="0077CC"/>
            <w:position w:val="0"/>
            <w:sz w:val="18"/>
            <w:u w:val="single"/>
            <w:shd w:val="clear" w:color="auto" w:fill="FFFFFF"/>
            <w:vertAlign w:val="baseline"/>
          </w:rPr>
          <w:t>, 348 Ga. App. at 891 (1)</w:t>
        </w:r>
      </w:hyperlink>
      <w:r>
        <w:rPr>
          <w:rFonts w:ascii="times" w:eastAsia="times" w:hAnsi="times" w:cs="times"/>
          <w:b w:val="0"/>
          <w:i w:val="0"/>
          <w:strike w:val="0"/>
          <w:noProof w:val="0"/>
          <w:color w:val="000000"/>
          <w:position w:val="0"/>
          <w:sz w:val="18"/>
          <w:u w:val="none"/>
          <w:vertAlign w:val="baseline"/>
        </w:rPr>
        <w:t>.</w:t>
      </w:r>
    </w:p>
  </w:footnote>
  <w:footnote w:id="11">
    <w:p>
      <w:pPr>
        <w:keepNext w:val="0"/>
        <w:widowControl w:val="0"/>
        <w:spacing w:before="240" w:after="0" w:line="240" w:lineRule="atLeast"/>
        <w:ind w:left="0" w:right="0" w:firstLine="0"/>
        <w:jc w:val="both"/>
      </w:pPr>
      <w:r>
        <w:rPr>
          <w:rFonts w:ascii="times" w:eastAsia="times" w:hAnsi="times" w:cs="times"/>
          <w:b w:val="0"/>
          <w:i w:val="0"/>
          <w:strike w:val="0"/>
          <w:noProof w:val="0"/>
          <w:color w:val="000000"/>
          <w:position w:val="0"/>
          <w:sz w:val="18"/>
          <w:u w:val="none"/>
          <w:vertAlign w:val="superscript"/>
        </w:rPr>
        <w:t>10 </w:t>
      </w:r>
      <w:bookmarkStart w:id="69" w:name="Bookmark_fnpara_10"/>
      <w:bookmarkEnd w:id="69"/>
      <w:r>
        <w:rPr>
          <w:rFonts w:ascii="times" w:eastAsia="times" w:hAnsi="times" w:cs="times"/>
          <w:b w:val="0"/>
          <w:i w:val="0"/>
          <w:strike w:val="0"/>
          <w:noProof w:val="0"/>
          <w:color w:val="000000"/>
          <w:position w:val="0"/>
          <w:sz w:val="18"/>
          <w:u w:val="none"/>
          <w:vertAlign w:val="baseline"/>
        </w:rPr>
        <w:t xml:space="preserve">See </w:t>
      </w:r>
      <w:bookmarkStart w:id="70" w:name="Bookmark_I5YK381X2D6P130030000400"/>
      <w:bookmarkEnd w:id="70"/>
      <w:hyperlink r:id="rId17" w:history="1">
        <w:r>
          <w:rPr>
            <w:rFonts w:ascii="times" w:eastAsia="times" w:hAnsi="times" w:cs="times"/>
            <w:b w:val="0"/>
            <w:i/>
            <w:strike w:val="0"/>
            <w:noProof w:val="0"/>
            <w:color w:val="0077CC"/>
            <w:position w:val="0"/>
            <w:sz w:val="18"/>
            <w:u w:val="single"/>
            <w:shd w:val="clear" w:color="auto" w:fill="FFFFFF"/>
            <w:vertAlign w:val="baseline"/>
          </w:rPr>
          <w:t>Pickens v. City of Waco</w:t>
        </w:r>
      </w:hyperlink>
      <w:hyperlink r:id="rId18" w:history="1">
        <w:r>
          <w:rPr>
            <w:rFonts w:ascii="times" w:eastAsia="times" w:hAnsi="times" w:cs="times"/>
            <w:b w:val="0"/>
            <w:i/>
            <w:strike w:val="0"/>
            <w:noProof w:val="0"/>
            <w:color w:val="0077CC"/>
            <w:position w:val="0"/>
            <w:sz w:val="18"/>
            <w:u w:val="single"/>
            <w:shd w:val="clear" w:color="auto" w:fill="FFFFFF"/>
            <w:vertAlign w:val="baseline"/>
          </w:rPr>
          <w:t>, 352 Ga. App. 37, 41 (1) (833 SE2d 713) (2019)</w:t>
        </w:r>
      </w:hyperlink>
      <w:r>
        <w:rPr>
          <w:rFonts w:ascii="times" w:eastAsia="times" w:hAnsi="times" w:cs="times"/>
          <w:b w:val="0"/>
          <w:i w:val="0"/>
          <w:strike w:val="0"/>
          <w:noProof w:val="0"/>
          <w:color w:val="000000"/>
          <w:position w:val="0"/>
          <w:sz w:val="18"/>
          <w:u w:val="none"/>
          <w:vertAlign w:val="baseline"/>
        </w:rPr>
        <w:t>.</w:t>
      </w:r>
    </w:p>
  </w:footnote>
  <w:footnote w:id="12">
    <w:p>
      <w:pPr>
        <w:keepNext w:val="0"/>
        <w:widowControl w:val="0"/>
        <w:spacing w:before="240" w:after="0" w:line="240" w:lineRule="atLeast"/>
        <w:ind w:left="0" w:right="0" w:firstLine="0"/>
        <w:jc w:val="both"/>
      </w:pPr>
      <w:r>
        <w:rPr>
          <w:rFonts w:ascii="times" w:eastAsia="times" w:hAnsi="times" w:cs="times"/>
          <w:b w:val="0"/>
          <w:i w:val="0"/>
          <w:strike w:val="0"/>
          <w:noProof w:val="0"/>
          <w:color w:val="000000"/>
          <w:position w:val="0"/>
          <w:sz w:val="18"/>
          <w:u w:val="none"/>
          <w:vertAlign w:val="superscript"/>
        </w:rPr>
        <w:t>11 </w:t>
      </w:r>
      <w:bookmarkStart w:id="71" w:name="Bookmark_fnpara_11"/>
      <w:bookmarkEnd w:id="71"/>
      <w:r>
        <w:rPr>
          <w:rFonts w:ascii="times" w:eastAsia="times" w:hAnsi="times" w:cs="times"/>
          <w:b w:val="0"/>
          <w:i w:val="0"/>
          <w:strike w:val="0"/>
          <w:noProof w:val="0"/>
          <w:color w:val="000000"/>
          <w:position w:val="0"/>
          <w:sz w:val="18"/>
          <w:u w:val="none"/>
          <w:vertAlign w:val="baseline"/>
        </w:rPr>
        <w:t xml:space="preserve">See </w:t>
      </w:r>
      <w:bookmarkStart w:id="72" w:name="Bookmark_I5YK381X2D6P130050000400"/>
      <w:bookmarkEnd w:id="72"/>
      <w:hyperlink r:id="rId19" w:history="1">
        <w:r>
          <w:rPr>
            <w:rFonts w:ascii="times" w:eastAsia="times" w:hAnsi="times" w:cs="times"/>
            <w:b w:val="0"/>
            <w:i/>
            <w:strike w:val="0"/>
            <w:noProof w:val="0"/>
            <w:color w:val="0077CC"/>
            <w:position w:val="0"/>
            <w:sz w:val="18"/>
            <w:u w:val="single"/>
            <w:shd w:val="clear" w:color="auto" w:fill="FFFFFF"/>
            <w:vertAlign w:val="baseline"/>
          </w:rPr>
          <w:t>Manzanares v. City of Brookhaven</w:t>
        </w:r>
      </w:hyperlink>
      <w:hyperlink r:id="rId20" w:history="1">
        <w:r>
          <w:rPr>
            <w:rFonts w:ascii="times" w:eastAsia="times" w:hAnsi="times" w:cs="times"/>
            <w:b w:val="0"/>
            <w:i/>
            <w:strike w:val="0"/>
            <w:noProof w:val="0"/>
            <w:color w:val="0077CC"/>
            <w:position w:val="0"/>
            <w:sz w:val="18"/>
            <w:u w:val="single"/>
            <w:shd w:val="clear" w:color="auto" w:fill="FFFFFF"/>
            <w:vertAlign w:val="baseline"/>
          </w:rPr>
          <w:t>, 352 Ga. App. 293, 294-297 (1) (834 SE2d 358) (2019)</w:t>
        </w:r>
      </w:hyperlink>
      <w:r>
        <w:rPr>
          <w:rFonts w:ascii="times" w:eastAsia="times" w:hAnsi="times" w:cs="times"/>
          <w:b w:val="0"/>
          <w:i w:val="0"/>
          <w:strike w:val="0"/>
          <w:noProof w:val="0"/>
          <w:color w:val="000000"/>
          <w:position w:val="0"/>
          <w:sz w:val="18"/>
          <w:u w:val="none"/>
          <w:vertAlign w:val="baseline"/>
        </w:rPr>
        <w:t xml:space="preserve">; </w:t>
      </w:r>
      <w:bookmarkStart w:id="73" w:name="Bookmark_I5YK381X2SF8790020000400"/>
      <w:bookmarkEnd w:id="73"/>
      <w:hyperlink r:id="rId21" w:history="1">
        <w:r>
          <w:rPr>
            <w:rFonts w:ascii="times" w:eastAsia="times" w:hAnsi="times" w:cs="times"/>
            <w:b w:val="0"/>
            <w:i/>
            <w:strike w:val="0"/>
            <w:noProof w:val="0"/>
            <w:color w:val="0077CC"/>
            <w:position w:val="0"/>
            <w:sz w:val="18"/>
            <w:u w:val="single"/>
            <w:shd w:val="clear" w:color="auto" w:fill="FFFFFF"/>
            <w:vertAlign w:val="baseline"/>
          </w:rPr>
          <w:t>Pickens</w:t>
        </w:r>
      </w:hyperlink>
      <w:hyperlink r:id="rId22" w:history="1">
        <w:r>
          <w:rPr>
            <w:rFonts w:ascii="times" w:eastAsia="times" w:hAnsi="times" w:cs="times"/>
            <w:b w:val="0"/>
            <w:i/>
            <w:strike w:val="0"/>
            <w:noProof w:val="0"/>
            <w:color w:val="0077CC"/>
            <w:position w:val="0"/>
            <w:sz w:val="18"/>
            <w:u w:val="single"/>
            <w:shd w:val="clear" w:color="auto" w:fill="FFFFFF"/>
            <w:vertAlign w:val="baseline"/>
          </w:rPr>
          <w:t>, 352 Ga. App. at 41-42 (1)</w:t>
        </w:r>
      </w:hyperlink>
      <w:r>
        <w:rPr>
          <w:rFonts w:ascii="times" w:eastAsia="times" w:hAnsi="times" w:cs="times"/>
          <w:b w:val="0"/>
          <w:i w:val="0"/>
          <w:strike w:val="0"/>
          <w:noProof w:val="0"/>
          <w:color w:val="000000"/>
          <w:position w:val="0"/>
          <w:sz w:val="18"/>
          <w:u w:val="none"/>
          <w:vertAlign w:val="baseline"/>
        </w:rPr>
        <w:t xml:space="preserve">; </w:t>
      </w:r>
      <w:bookmarkStart w:id="74" w:name="Bookmark_I5YK381X2SF8790040000400"/>
      <w:bookmarkEnd w:id="74"/>
      <w:hyperlink r:id="rId23" w:history="1">
        <w:r>
          <w:rPr>
            <w:rFonts w:ascii="times" w:eastAsia="times" w:hAnsi="times" w:cs="times"/>
            <w:b w:val="0"/>
            <w:i/>
            <w:strike w:val="0"/>
            <w:noProof w:val="0"/>
            <w:color w:val="0077CC"/>
            <w:position w:val="0"/>
            <w:sz w:val="18"/>
            <w:u w:val="single"/>
            <w:shd w:val="clear" w:color="auto" w:fill="FFFFFF"/>
            <w:vertAlign w:val="baseline"/>
          </w:rPr>
          <w:t>Wright v. City of Greensboro</w:t>
        </w:r>
      </w:hyperlink>
      <w:hyperlink r:id="rId24" w:history="1">
        <w:r>
          <w:rPr>
            <w:rFonts w:ascii="times" w:eastAsia="times" w:hAnsi="times" w:cs="times"/>
            <w:b w:val="0"/>
            <w:i/>
            <w:strike w:val="0"/>
            <w:noProof w:val="0"/>
            <w:color w:val="0077CC"/>
            <w:position w:val="0"/>
            <w:sz w:val="18"/>
            <w:u w:val="single"/>
            <w:shd w:val="clear" w:color="auto" w:fill="FFFFFF"/>
            <w:vertAlign w:val="baseline"/>
          </w:rPr>
          <w:t>, 350 Ga. App. 685, 692-694 (1) (c)-(d) (830 SE2d 228) (2019)</w:t>
        </w:r>
      </w:hyperlink>
      <w:r>
        <w:rPr>
          <w:rFonts w:ascii="times" w:eastAsia="times" w:hAnsi="times" w:cs="times"/>
          <w:b w:val="0"/>
          <w:i w:val="0"/>
          <w:strike w:val="0"/>
          <w:noProof w:val="0"/>
          <w:color w:val="000000"/>
          <w:position w:val="0"/>
          <w:sz w:val="18"/>
          <w:u w:val="none"/>
          <w:vertAlign w:val="baseline"/>
        </w:rPr>
        <w:t xml:space="preserve">; </w:t>
      </w:r>
      <w:bookmarkStart w:id="75" w:name="Bookmark_I5YK381Y2HM5PD0010000400"/>
      <w:bookmarkEnd w:id="75"/>
      <w:hyperlink r:id="rId25" w:history="1">
        <w:r>
          <w:rPr>
            <w:rFonts w:ascii="times" w:eastAsia="times" w:hAnsi="times" w:cs="times"/>
            <w:b w:val="0"/>
            <w:i/>
            <w:strike w:val="0"/>
            <w:noProof w:val="0"/>
            <w:color w:val="0077CC"/>
            <w:position w:val="0"/>
            <w:sz w:val="18"/>
            <w:u w:val="single"/>
            <w:shd w:val="clear" w:color="auto" w:fill="FFFFFF"/>
            <w:vertAlign w:val="baseline"/>
          </w:rPr>
          <w:t>Harrell v. City of Griffin</w:t>
        </w:r>
      </w:hyperlink>
      <w:hyperlink r:id="rId26" w:history="1">
        <w:r>
          <w:rPr>
            <w:rFonts w:ascii="times" w:eastAsia="times" w:hAnsi="times" w:cs="times"/>
            <w:b w:val="0"/>
            <w:i/>
            <w:strike w:val="0"/>
            <w:noProof w:val="0"/>
            <w:color w:val="0077CC"/>
            <w:position w:val="0"/>
            <w:sz w:val="18"/>
            <w:u w:val="single"/>
            <w:shd w:val="clear" w:color="auto" w:fill="FFFFFF"/>
            <w:vertAlign w:val="baseline"/>
          </w:rPr>
          <w:t>, 346 Ga. App. 635, 637-638 (1) (816 SE2d 738) (2018)</w:t>
        </w:r>
      </w:hyperlink>
      <w:r>
        <w:rPr>
          <w:rFonts w:ascii="times" w:eastAsia="times" w:hAnsi="times" w:cs="times"/>
          <w:b w:val="0"/>
          <w:i w:val="0"/>
          <w:strike w:val="0"/>
          <w:noProof w:val="0"/>
          <w:color w:val="000000"/>
          <w:position w:val="0"/>
          <w:sz w:val="18"/>
          <w:u w:val="none"/>
          <w:vertAlign w:val="baseline"/>
        </w:rPr>
        <w:t>.</w:t>
      </w:r>
    </w:p>
  </w:footnote>
  <w:footnote w:id="13">
    <w:p>
      <w:pPr>
        <w:keepNext w:val="0"/>
        <w:widowControl w:val="0"/>
        <w:spacing w:before="240" w:after="0" w:line="240" w:lineRule="atLeast"/>
        <w:ind w:left="0" w:right="0" w:firstLine="0"/>
        <w:jc w:val="both"/>
      </w:pPr>
      <w:r>
        <w:rPr>
          <w:rFonts w:ascii="times" w:eastAsia="times" w:hAnsi="times" w:cs="times"/>
          <w:b w:val="0"/>
          <w:i w:val="0"/>
          <w:strike w:val="0"/>
          <w:noProof w:val="0"/>
          <w:color w:val="000000"/>
          <w:position w:val="0"/>
          <w:sz w:val="18"/>
          <w:u w:val="none"/>
          <w:vertAlign w:val="superscript"/>
        </w:rPr>
        <w:t>12 </w:t>
      </w:r>
      <w:bookmarkStart w:id="82" w:name="Bookmark_fnpara_12"/>
      <w:bookmarkEnd w:id="82"/>
      <w:r>
        <w:rPr>
          <w:rFonts w:ascii="times" w:eastAsia="times" w:hAnsi="times" w:cs="times"/>
          <w:b w:val="0"/>
          <w:i w:val="0"/>
          <w:strike w:val="0"/>
          <w:noProof w:val="0"/>
          <w:color w:val="000000"/>
          <w:position w:val="0"/>
          <w:sz w:val="18"/>
          <w:u w:val="none"/>
          <w:vertAlign w:val="baseline"/>
        </w:rPr>
        <w:t xml:space="preserve">See </w:t>
      </w:r>
      <w:bookmarkStart w:id="83" w:name="Bookmark_I5YK381Y2HM5PD0030000400"/>
      <w:bookmarkEnd w:id="83"/>
      <w:hyperlink r:id="rId27" w:history="1">
        <w:r>
          <w:rPr>
            <w:rFonts w:ascii="times" w:eastAsia="times" w:hAnsi="times" w:cs="times"/>
            <w:b w:val="0"/>
            <w:i/>
            <w:strike w:val="0"/>
            <w:noProof w:val="0"/>
            <w:color w:val="0077CC"/>
            <w:position w:val="0"/>
            <w:sz w:val="18"/>
            <w:u w:val="single"/>
            <w:shd w:val="clear" w:color="auto" w:fill="FFFFFF"/>
            <w:vertAlign w:val="baseline"/>
          </w:rPr>
          <w:t>346 Ga. App. at 636, 638 (1)</w:t>
        </w:r>
      </w:hyperlink>
      <w:r>
        <w:rPr>
          <w:rFonts w:ascii="times" w:eastAsia="times" w:hAnsi="times" w:cs="times"/>
          <w:b w:val="0"/>
          <w:i w:val="0"/>
          <w:strike w:val="0"/>
          <w:noProof w:val="0"/>
          <w:color w:val="000000"/>
          <w:position w:val="0"/>
          <w:sz w:val="18"/>
          <w:u w:val="none"/>
          <w:vertAlign w:val="baseline"/>
        </w:rPr>
        <w:t xml:space="preserve"> (punctuation omitted).</w:t>
      </w:r>
    </w:p>
  </w:footnote>
  <w:footnote w:id="14">
    <w:p>
      <w:pPr>
        <w:keepNext w:val="0"/>
        <w:widowControl w:val="0"/>
        <w:spacing w:before="240" w:after="0" w:line="240" w:lineRule="atLeast"/>
        <w:ind w:left="0" w:right="0" w:firstLine="0"/>
        <w:jc w:val="both"/>
      </w:pPr>
      <w:r>
        <w:rPr>
          <w:rFonts w:ascii="times" w:eastAsia="times" w:hAnsi="times" w:cs="times"/>
          <w:b w:val="0"/>
          <w:i w:val="0"/>
          <w:strike w:val="0"/>
          <w:noProof w:val="0"/>
          <w:color w:val="000000"/>
          <w:position w:val="0"/>
          <w:sz w:val="18"/>
          <w:u w:val="none"/>
          <w:vertAlign w:val="superscript"/>
        </w:rPr>
        <w:t>13 </w:t>
      </w:r>
      <w:bookmarkStart w:id="84" w:name="Bookmark_fnpara_13"/>
      <w:bookmarkEnd w:id="84"/>
      <w:bookmarkStart w:id="85" w:name="Bookmark_I5YK381Y2HM5PD0050000400"/>
      <w:bookmarkEnd w:id="85"/>
      <w:hyperlink r:id="rId28" w:history="1">
        <w:r>
          <w:rPr>
            <w:rFonts w:ascii="times" w:eastAsia="times" w:hAnsi="times" w:cs="times"/>
            <w:b w:val="0"/>
            <w:i/>
            <w:strike w:val="0"/>
            <w:noProof w:val="0"/>
            <w:color w:val="0077CC"/>
            <w:position w:val="0"/>
            <w:sz w:val="18"/>
            <w:u w:val="single"/>
            <w:shd w:val="clear" w:color="auto" w:fill="FFFFFF"/>
            <w:vertAlign w:val="baseline"/>
          </w:rPr>
          <w:t>Id. at 638 (1)</w:t>
        </w:r>
      </w:hyperlink>
      <w:r>
        <w:rPr>
          <w:rFonts w:ascii="times" w:eastAsia="times" w:hAnsi="times" w:cs="times"/>
          <w:b w:val="0"/>
          <w:i w:val="0"/>
          <w:strike w:val="0"/>
          <w:noProof w:val="0"/>
          <w:color w:val="000000"/>
          <w:position w:val="0"/>
          <w:sz w:val="18"/>
          <w:u w:val="none"/>
          <w:vertAlign w:val="baseline"/>
        </w:rPr>
        <w:t>.</w:t>
      </w:r>
    </w:p>
  </w:footnote>
  <w:footnote w:id="15">
    <w:p>
      <w:pPr>
        <w:keepNext w:val="0"/>
        <w:widowControl w:val="0"/>
        <w:spacing w:before="240" w:after="0" w:line="240" w:lineRule="atLeast"/>
        <w:ind w:left="0" w:right="0" w:firstLine="0"/>
        <w:jc w:val="both"/>
      </w:pPr>
      <w:r>
        <w:rPr>
          <w:rFonts w:ascii="times" w:eastAsia="times" w:hAnsi="times" w:cs="times"/>
          <w:b w:val="0"/>
          <w:i w:val="0"/>
          <w:strike w:val="0"/>
          <w:noProof w:val="0"/>
          <w:color w:val="000000"/>
          <w:position w:val="0"/>
          <w:sz w:val="18"/>
          <w:u w:val="none"/>
          <w:vertAlign w:val="superscript"/>
        </w:rPr>
        <w:t>14 </w:t>
      </w:r>
      <w:bookmarkStart w:id="86" w:name="Bookmark_fnpara_14"/>
      <w:bookmarkEnd w:id="86"/>
      <w:r>
        <w:rPr>
          <w:rFonts w:ascii="times" w:eastAsia="times" w:hAnsi="times" w:cs="times"/>
          <w:b w:val="0"/>
          <w:i w:val="0"/>
          <w:strike w:val="0"/>
          <w:noProof w:val="0"/>
          <w:color w:val="000000"/>
          <w:position w:val="0"/>
          <w:sz w:val="18"/>
          <w:u w:val="none"/>
          <w:vertAlign w:val="baseline"/>
        </w:rPr>
        <w:t xml:space="preserve">See </w:t>
      </w:r>
      <w:bookmarkStart w:id="87" w:name="Bookmark_I5YK381Y2N1R960020000400"/>
      <w:bookmarkEnd w:id="87"/>
      <w:hyperlink r:id="rId29" w:history="1">
        <w:r>
          <w:rPr>
            <w:rFonts w:ascii="times" w:eastAsia="times" w:hAnsi="times" w:cs="times"/>
            <w:b w:val="0"/>
            <w:i/>
            <w:strike w:val="0"/>
            <w:noProof w:val="0"/>
            <w:color w:val="0077CC"/>
            <w:position w:val="0"/>
            <w:sz w:val="18"/>
            <w:u w:val="single"/>
            <w:shd w:val="clear" w:color="auto" w:fill="FFFFFF"/>
            <w:vertAlign w:val="baseline"/>
          </w:rPr>
          <w:t>Manzanares</w:t>
        </w:r>
      </w:hyperlink>
      <w:hyperlink r:id="rId30" w:history="1">
        <w:r>
          <w:rPr>
            <w:rFonts w:ascii="times" w:eastAsia="times" w:hAnsi="times" w:cs="times"/>
            <w:b w:val="0"/>
            <w:i/>
            <w:strike w:val="0"/>
            <w:noProof w:val="0"/>
            <w:color w:val="0077CC"/>
            <w:position w:val="0"/>
            <w:sz w:val="18"/>
            <w:u w:val="single"/>
            <w:shd w:val="clear" w:color="auto" w:fill="FFFFFF"/>
            <w:vertAlign w:val="baseline"/>
          </w:rPr>
          <w:t>, 352 Ga. App. at 294, 297 (1)</w:t>
        </w:r>
      </w:hyperlink>
      <w:r>
        <w:rPr>
          <w:rFonts w:ascii="times" w:eastAsia="times" w:hAnsi="times" w:cs="times"/>
          <w:b w:val="0"/>
          <w:i w:val="0"/>
          <w:strike w:val="0"/>
          <w:noProof w:val="0"/>
          <w:color w:val="000000"/>
          <w:position w:val="0"/>
          <w:sz w:val="18"/>
          <w:u w:val="none"/>
          <w:vertAlign w:val="baseline"/>
        </w:rPr>
        <w:t xml:space="preserve"> (punctuation omitted).</w:t>
      </w:r>
    </w:p>
  </w:footnote>
  <w:footnote w:id="16">
    <w:p>
      <w:pPr>
        <w:keepNext w:val="0"/>
        <w:widowControl w:val="0"/>
        <w:spacing w:before="240" w:after="0" w:line="240" w:lineRule="atLeast"/>
        <w:ind w:left="0" w:right="0" w:firstLine="0"/>
        <w:jc w:val="both"/>
      </w:pPr>
      <w:r>
        <w:rPr>
          <w:rFonts w:ascii="times" w:eastAsia="times" w:hAnsi="times" w:cs="times"/>
          <w:b w:val="0"/>
          <w:i w:val="0"/>
          <w:strike w:val="0"/>
          <w:noProof w:val="0"/>
          <w:color w:val="000000"/>
          <w:position w:val="0"/>
          <w:sz w:val="18"/>
          <w:u w:val="none"/>
          <w:vertAlign w:val="superscript"/>
        </w:rPr>
        <w:t>15 </w:t>
      </w:r>
      <w:bookmarkStart w:id="88" w:name="Bookmark_fnpara_15"/>
      <w:bookmarkEnd w:id="88"/>
      <w:r>
        <w:rPr>
          <w:rFonts w:ascii="times" w:eastAsia="times" w:hAnsi="times" w:cs="times"/>
          <w:b w:val="0"/>
          <w:i w:val="0"/>
          <w:strike w:val="0"/>
          <w:noProof w:val="0"/>
          <w:color w:val="000000"/>
          <w:position w:val="0"/>
          <w:sz w:val="18"/>
          <w:u w:val="none"/>
          <w:vertAlign w:val="baseline"/>
        </w:rPr>
        <w:t xml:space="preserve">See </w:t>
      </w:r>
      <w:bookmarkStart w:id="89" w:name="Bookmark_I5YK381Y2N1R960040000400"/>
      <w:bookmarkEnd w:id="89"/>
      <w:hyperlink r:id="rId31" w:history="1">
        <w:r>
          <w:rPr>
            <w:rFonts w:ascii="times" w:eastAsia="times" w:hAnsi="times" w:cs="times"/>
            <w:b w:val="0"/>
            <w:i/>
            <w:strike w:val="0"/>
            <w:noProof w:val="0"/>
            <w:color w:val="0077CC"/>
            <w:position w:val="0"/>
            <w:sz w:val="18"/>
            <w:u w:val="single"/>
            <w:shd w:val="clear" w:color="auto" w:fill="FFFFFF"/>
            <w:vertAlign w:val="baseline"/>
          </w:rPr>
          <w:t>Pickens</w:t>
        </w:r>
      </w:hyperlink>
      <w:hyperlink r:id="rId32" w:history="1">
        <w:r>
          <w:rPr>
            <w:rFonts w:ascii="times" w:eastAsia="times" w:hAnsi="times" w:cs="times"/>
            <w:b w:val="0"/>
            <w:i/>
            <w:strike w:val="0"/>
            <w:noProof w:val="0"/>
            <w:color w:val="0077CC"/>
            <w:position w:val="0"/>
            <w:sz w:val="18"/>
            <w:u w:val="single"/>
            <w:shd w:val="clear" w:color="auto" w:fill="FFFFFF"/>
            <w:vertAlign w:val="baseline"/>
          </w:rPr>
          <w:t>, 352 Ga. App. at 38, 44 (1)</w:t>
        </w:r>
      </w:hyperlink>
      <w:r>
        <w:rPr>
          <w:rFonts w:ascii="times" w:eastAsia="times" w:hAnsi="times" w:cs="times"/>
          <w:b w:val="0"/>
          <w:i w:val="0"/>
          <w:strike w:val="0"/>
          <w:noProof w:val="0"/>
          <w:color w:val="000000"/>
          <w:position w:val="0"/>
          <w:sz w:val="18"/>
          <w:u w:val="none"/>
          <w:vertAlign w:val="baseline"/>
        </w:rPr>
        <w:t xml:space="preserve"> (punctuation omitted).</w:t>
      </w:r>
    </w:p>
  </w:footnote>
  <w:footnote w:id="17">
    <w:p>
      <w:pPr>
        <w:keepNext w:val="0"/>
        <w:widowControl w:val="0"/>
        <w:spacing w:before="240" w:after="0" w:line="240" w:lineRule="atLeast"/>
        <w:ind w:left="0" w:right="0" w:firstLine="0"/>
        <w:jc w:val="both"/>
      </w:pPr>
      <w:r>
        <w:rPr>
          <w:rFonts w:ascii="times" w:eastAsia="times" w:hAnsi="times" w:cs="times"/>
          <w:b w:val="0"/>
          <w:i w:val="0"/>
          <w:strike w:val="0"/>
          <w:noProof w:val="0"/>
          <w:color w:val="000000"/>
          <w:position w:val="0"/>
          <w:sz w:val="18"/>
          <w:u w:val="none"/>
          <w:vertAlign w:val="superscript"/>
        </w:rPr>
        <w:t>16 </w:t>
      </w:r>
      <w:bookmarkStart w:id="98" w:name="Bookmark_fnpara_16"/>
      <w:bookmarkEnd w:id="98"/>
      <w:r>
        <w:rPr>
          <w:rFonts w:ascii="times" w:eastAsia="times" w:hAnsi="times" w:cs="times"/>
          <w:b w:val="0"/>
          <w:i w:val="0"/>
          <w:strike w:val="0"/>
          <w:noProof w:val="0"/>
          <w:color w:val="000000"/>
          <w:position w:val="0"/>
          <w:sz w:val="18"/>
          <w:u w:val="none"/>
          <w:vertAlign w:val="baseline"/>
        </w:rPr>
        <w:t xml:space="preserve">See </w:t>
      </w:r>
      <w:hyperlink r:id="rId33" w:history="1">
        <w:r>
          <w:rPr>
            <w:rFonts w:ascii="times" w:eastAsia="times" w:hAnsi="times" w:cs="times"/>
            <w:b w:val="0"/>
            <w:i/>
            <w:strike w:val="0"/>
            <w:noProof w:val="0"/>
            <w:color w:val="0077CC"/>
            <w:position w:val="0"/>
            <w:sz w:val="18"/>
            <w:u w:val="single"/>
            <w:shd w:val="clear" w:color="auto" w:fill="FFFFFF"/>
            <w:vertAlign w:val="baseline"/>
          </w:rPr>
          <w:t>OCGA § 36-33-5 (e)</w:t>
        </w:r>
      </w:hyperlink>
      <w:r>
        <w:rPr>
          <w:rFonts w:ascii="times" w:eastAsia="times" w:hAnsi="times" w:cs="times"/>
          <w:b w:val="0"/>
          <w:i w:val="0"/>
          <w:strike w:val="0"/>
          <w:noProof w:val="0"/>
          <w:color w:val="000000"/>
          <w:position w:val="0"/>
          <w:sz w:val="18"/>
          <w:u w:val="none"/>
          <w:vertAlign w:val="baseline"/>
        </w:rPr>
        <w:t>.</w:t>
      </w:r>
    </w:p>
  </w:footnote>
  <w:footnote w:id="18">
    <w:p>
      <w:pPr>
        <w:keepNext w:val="0"/>
        <w:widowControl w:val="0"/>
        <w:spacing w:before="240" w:after="0" w:line="240" w:lineRule="atLeast"/>
        <w:ind w:left="0" w:right="0" w:firstLine="0"/>
        <w:jc w:val="both"/>
      </w:pPr>
      <w:r>
        <w:rPr>
          <w:rFonts w:ascii="times" w:eastAsia="times" w:hAnsi="times" w:cs="times"/>
          <w:b w:val="0"/>
          <w:i w:val="0"/>
          <w:strike w:val="0"/>
          <w:noProof w:val="0"/>
          <w:color w:val="000000"/>
          <w:position w:val="0"/>
          <w:sz w:val="18"/>
          <w:u w:val="none"/>
          <w:vertAlign w:val="superscript"/>
        </w:rPr>
        <w:t>17 </w:t>
      </w:r>
      <w:bookmarkStart w:id="99" w:name="Bookmark_fnpara_17"/>
      <w:bookmarkEnd w:id="99"/>
      <w:r>
        <w:rPr>
          <w:rFonts w:ascii="times" w:eastAsia="times" w:hAnsi="times" w:cs="times"/>
          <w:b w:val="0"/>
          <w:i w:val="0"/>
          <w:strike w:val="0"/>
          <w:noProof w:val="0"/>
          <w:color w:val="000000"/>
          <w:position w:val="0"/>
          <w:sz w:val="18"/>
          <w:u w:val="none"/>
          <w:vertAlign w:val="baseline"/>
        </w:rPr>
        <w:t xml:space="preserve">See </w:t>
      </w:r>
      <w:bookmarkStart w:id="100" w:name="Bookmark_I5YK381Y2HM5PH0010000400"/>
      <w:bookmarkEnd w:id="100"/>
      <w:hyperlink r:id="rId34" w:history="1">
        <w:r>
          <w:rPr>
            <w:rFonts w:ascii="times" w:eastAsia="times" w:hAnsi="times" w:cs="times"/>
            <w:b w:val="0"/>
            <w:i/>
            <w:strike w:val="0"/>
            <w:noProof w:val="0"/>
            <w:color w:val="0077CC"/>
            <w:position w:val="0"/>
            <w:sz w:val="18"/>
            <w:u w:val="single"/>
            <w:shd w:val="clear" w:color="auto" w:fill="FFFFFF"/>
            <w:vertAlign w:val="baseline"/>
          </w:rPr>
          <w:t>Pickens</w:t>
        </w:r>
      </w:hyperlink>
      <w:hyperlink r:id="rId35" w:history="1">
        <w:r>
          <w:rPr>
            <w:rFonts w:ascii="times" w:eastAsia="times" w:hAnsi="times" w:cs="times"/>
            <w:b w:val="0"/>
            <w:i/>
            <w:strike w:val="0"/>
            <w:noProof w:val="0"/>
            <w:color w:val="0077CC"/>
            <w:position w:val="0"/>
            <w:sz w:val="18"/>
            <w:u w:val="single"/>
            <w:shd w:val="clear" w:color="auto" w:fill="FFFFFF"/>
            <w:vertAlign w:val="baseline"/>
          </w:rPr>
          <w:t>, 352 Ga. App. at 40</w:t>
        </w:r>
      </w:hyperlink>
      <w:r>
        <w:rPr>
          <w:rFonts w:ascii="times" w:eastAsia="times" w:hAnsi="times" w:cs="times"/>
          <w:b w:val="0"/>
          <w:i w:val="0"/>
          <w:strike w:val="0"/>
          <w:noProof w:val="0"/>
          <w:color w:val="000000"/>
          <w:position w:val="0"/>
          <w:sz w:val="18"/>
          <w:u w:val="none"/>
          <w:vertAlign w:val="baseline"/>
        </w:rPr>
        <w:t xml:space="preserve"> (“[W]e must presume that the General Assembly meant what it said and said what it meant.”) (citation and punctuation omitted).</w:t>
      </w:r>
    </w:p>
  </w:footnote>
  <w:footnote w:id="19">
    <w:p>
      <w:pPr>
        <w:keepNext w:val="0"/>
        <w:widowControl w:val="0"/>
        <w:spacing w:before="240" w:after="0" w:line="240" w:lineRule="atLeast"/>
        <w:ind w:left="0" w:right="0" w:firstLine="0"/>
        <w:jc w:val="both"/>
      </w:pPr>
      <w:r>
        <w:rPr>
          <w:rFonts w:ascii="times" w:eastAsia="times" w:hAnsi="times" w:cs="times"/>
          <w:b w:val="0"/>
          <w:i w:val="0"/>
          <w:strike w:val="0"/>
          <w:noProof w:val="0"/>
          <w:color w:val="000000"/>
          <w:position w:val="0"/>
          <w:sz w:val="18"/>
          <w:u w:val="none"/>
          <w:vertAlign w:val="superscript"/>
        </w:rPr>
        <w:t>18 </w:t>
      </w:r>
      <w:bookmarkStart w:id="101" w:name="Bookmark_fnpara_18"/>
      <w:bookmarkEnd w:id="101"/>
      <w:r>
        <w:rPr>
          <w:rFonts w:ascii="times" w:eastAsia="times" w:hAnsi="times" w:cs="times"/>
          <w:b w:val="0"/>
          <w:i w:val="0"/>
          <w:strike w:val="0"/>
          <w:noProof w:val="0"/>
          <w:color w:val="000000"/>
          <w:position w:val="0"/>
          <w:sz w:val="18"/>
          <w:u w:val="none"/>
          <w:vertAlign w:val="baseline"/>
        </w:rPr>
        <w:t xml:space="preserve">See id. “The purpose of the ante litem notice requirement is to give the municipality the opportunity to investigate potential claims, ascertain the evidence, and avoid unnecessary litigation.”) (citation and punctuation omitted); </w:t>
      </w:r>
      <w:bookmarkStart w:id="102" w:name="Bookmark_I5YK381Y2HM5PH0030000400"/>
      <w:bookmarkEnd w:id="102"/>
      <w:hyperlink r:id="rId36" w:history="1">
        <w:r>
          <w:rPr>
            <w:rFonts w:ascii="times" w:eastAsia="times" w:hAnsi="times" w:cs="times"/>
            <w:b w:val="0"/>
            <w:i/>
            <w:strike w:val="0"/>
            <w:noProof w:val="0"/>
            <w:color w:val="0077CC"/>
            <w:position w:val="0"/>
            <w:sz w:val="18"/>
            <w:u w:val="single"/>
            <w:shd w:val="clear" w:color="auto" w:fill="FFFFFF"/>
            <w:vertAlign w:val="baseline"/>
          </w:rPr>
          <w:t>King</w:t>
        </w:r>
      </w:hyperlink>
      <w:hyperlink r:id="rId37" w:history="1">
        <w:r>
          <w:rPr>
            <w:rFonts w:ascii="times" w:eastAsia="times" w:hAnsi="times" w:cs="times"/>
            <w:b w:val="0"/>
            <w:i/>
            <w:strike w:val="0"/>
            <w:noProof w:val="0"/>
            <w:color w:val="0077CC"/>
            <w:position w:val="0"/>
            <w:sz w:val="18"/>
            <w:u w:val="single"/>
            <w:shd w:val="clear" w:color="auto" w:fill="FFFFFF"/>
            <w:vertAlign w:val="baseline"/>
          </w:rPr>
          <w:t>, 341 Ga. App. at 105</w:t>
        </w:r>
      </w:hyperlink>
      <w:r>
        <w:rPr>
          <w:rFonts w:ascii="times" w:eastAsia="times" w:hAnsi="times" w:cs="times"/>
          <w:b w:val="0"/>
          <w:i w:val="0"/>
          <w:strike w:val="0"/>
          <w:noProof w:val="0"/>
          <w:color w:val="000000"/>
          <w:position w:val="0"/>
          <w:sz w:val="18"/>
          <w:u w:val="none"/>
          <w:vertAlign w:val="baseline"/>
        </w:rPr>
        <w:t xml:space="preserve"> (ante litem notice provides notice to the governmental entity of the “magnitude of the claim”) (citation, punctuation and emphasis omitted).</w:t>
      </w:r>
    </w:p>
  </w:footnote>
  <w:footnote w:id="20">
    <w:p>
      <w:pPr>
        <w:keepNext w:val="0"/>
        <w:widowControl w:val="0"/>
        <w:spacing w:before="240" w:after="0" w:line="240" w:lineRule="atLeast"/>
        <w:ind w:left="0" w:right="0" w:firstLine="0"/>
        <w:jc w:val="both"/>
      </w:pPr>
      <w:r>
        <w:rPr>
          <w:rFonts w:ascii="times" w:eastAsia="times" w:hAnsi="times" w:cs="times"/>
          <w:b w:val="0"/>
          <w:i w:val="0"/>
          <w:strike w:val="0"/>
          <w:noProof w:val="0"/>
          <w:color w:val="000000"/>
          <w:position w:val="0"/>
          <w:sz w:val="18"/>
          <w:u w:val="none"/>
          <w:vertAlign w:val="superscript"/>
        </w:rPr>
        <w:t>19 </w:t>
      </w:r>
      <w:bookmarkStart w:id="103" w:name="Bookmark_fnpara_19"/>
      <w:bookmarkEnd w:id="103"/>
      <w:bookmarkStart w:id="104" w:name="Bookmark_I5YK381Y2HM5PH0050000400"/>
      <w:bookmarkEnd w:id="104"/>
      <w:hyperlink r:id="rId38" w:history="1">
        <w:r>
          <w:rPr>
            <w:rFonts w:ascii="times" w:eastAsia="times" w:hAnsi="times" w:cs="times"/>
            <w:b w:val="0"/>
            <w:i/>
            <w:strike w:val="0"/>
            <w:noProof w:val="0"/>
            <w:color w:val="0077CC"/>
            <w:position w:val="0"/>
            <w:sz w:val="18"/>
            <w:u w:val="single"/>
            <w:shd w:val="clear" w:color="auto" w:fill="FFFFFF"/>
            <w:vertAlign w:val="baseline"/>
          </w:rPr>
          <w:t>Bd. of Regents of the Univ. System of Ga. v. Myers</w:t>
        </w:r>
      </w:hyperlink>
      <w:hyperlink r:id="rId39" w:history="1">
        <w:r>
          <w:rPr>
            <w:rFonts w:ascii="times" w:eastAsia="times" w:hAnsi="times" w:cs="times"/>
            <w:b w:val="0"/>
            <w:i/>
            <w:strike w:val="0"/>
            <w:noProof w:val="0"/>
            <w:color w:val="0077CC"/>
            <w:position w:val="0"/>
            <w:sz w:val="18"/>
            <w:u w:val="single"/>
            <w:shd w:val="clear" w:color="auto" w:fill="FFFFFF"/>
            <w:vertAlign w:val="baseline"/>
          </w:rPr>
          <w:t>, 295 Ga. 843, 846 (764 SE2d 543) (2014)</w:t>
        </w:r>
      </w:hyperlink>
      <w:r>
        <w:rPr>
          <w:rFonts w:ascii="times" w:eastAsia="times" w:hAnsi="times" w:cs="times"/>
          <w:b w:val="0"/>
          <w:i w:val="0"/>
          <w:strike w:val="0"/>
          <w:noProof w:val="0"/>
          <w:color w:val="000000"/>
          <w:position w:val="0"/>
          <w:sz w:val="18"/>
          <w:u w:val="none"/>
          <w:vertAlign w:val="baseline"/>
        </w:rPr>
        <w:t xml:space="preserve"> (citations and punctuation omitted).</w:t>
      </w:r>
    </w:p>
  </w:footnote>
  <w:footnote w:id="21">
    <w:p>
      <w:pPr>
        <w:keepNext w:val="0"/>
        <w:widowControl w:val="0"/>
        <w:spacing w:before="240" w:after="0" w:line="240" w:lineRule="atLeast"/>
        <w:ind w:left="0" w:right="0" w:firstLine="0"/>
        <w:jc w:val="both"/>
      </w:pPr>
      <w:r>
        <w:rPr>
          <w:rFonts w:ascii="times" w:eastAsia="times" w:hAnsi="times" w:cs="times"/>
          <w:b w:val="0"/>
          <w:i w:val="0"/>
          <w:strike w:val="0"/>
          <w:noProof w:val="0"/>
          <w:color w:val="000000"/>
          <w:position w:val="0"/>
          <w:sz w:val="18"/>
          <w:u w:val="none"/>
          <w:vertAlign w:val="superscript"/>
        </w:rPr>
        <w:t>20 </w:t>
      </w:r>
      <w:bookmarkStart w:id="110" w:name="Bookmark_fnpara_20"/>
      <w:bookmarkEnd w:id="110"/>
      <w:bookmarkStart w:id="111" w:name="Bookmark_I5YK381Y2D6P170020000400"/>
      <w:bookmarkEnd w:id="111"/>
      <w:hyperlink r:id="rId40" w:history="1">
        <w:r>
          <w:rPr>
            <w:rFonts w:ascii="times" w:eastAsia="times" w:hAnsi="times" w:cs="times"/>
            <w:b w:val="0"/>
            <w:i/>
            <w:strike w:val="0"/>
            <w:noProof w:val="0"/>
            <w:color w:val="0077CC"/>
            <w:position w:val="0"/>
            <w:sz w:val="18"/>
            <w:u w:val="single"/>
            <w:shd w:val="clear" w:color="auto" w:fill="FFFFFF"/>
            <w:vertAlign w:val="baseline"/>
          </w:rPr>
          <w:t>Wright</w:t>
        </w:r>
      </w:hyperlink>
      <w:hyperlink r:id="rId41" w:history="1">
        <w:r>
          <w:rPr>
            <w:rFonts w:ascii="times" w:eastAsia="times" w:hAnsi="times" w:cs="times"/>
            <w:b w:val="0"/>
            <w:i/>
            <w:strike w:val="0"/>
            <w:noProof w:val="0"/>
            <w:color w:val="0077CC"/>
            <w:position w:val="0"/>
            <w:sz w:val="18"/>
            <w:u w:val="single"/>
            <w:shd w:val="clear" w:color="auto" w:fill="FFFFFF"/>
            <w:vertAlign w:val="baseline"/>
          </w:rPr>
          <w:t>, 350 Ga. App. at 689-690 (1)</w:t>
        </w:r>
      </w:hyperlink>
      <w:r>
        <w:rPr>
          <w:rFonts w:ascii="times" w:eastAsia="times" w:hAnsi="times" w:cs="times"/>
          <w:b w:val="0"/>
          <w:i w:val="0"/>
          <w:strike w:val="0"/>
          <w:noProof w:val="0"/>
          <w:color w:val="000000"/>
          <w:position w:val="0"/>
          <w:sz w:val="18"/>
          <w:u w:val="none"/>
          <w:vertAlign w:val="baseline"/>
        </w:rPr>
        <w:t>.</w:t>
      </w:r>
    </w:p>
  </w:footnote>
  <w:footnote w:id="22">
    <w:p>
      <w:pPr>
        <w:keepNext w:val="0"/>
        <w:widowControl w:val="0"/>
        <w:spacing w:before="240" w:after="0" w:line="240" w:lineRule="atLeast"/>
        <w:ind w:left="0" w:right="0" w:firstLine="0"/>
        <w:jc w:val="both"/>
      </w:pPr>
      <w:r>
        <w:rPr>
          <w:rFonts w:ascii="times" w:eastAsia="times" w:hAnsi="times" w:cs="times"/>
          <w:b w:val="0"/>
          <w:i w:val="0"/>
          <w:strike w:val="0"/>
          <w:noProof w:val="0"/>
          <w:color w:val="000000"/>
          <w:position w:val="0"/>
          <w:sz w:val="18"/>
          <w:u w:val="none"/>
          <w:vertAlign w:val="superscript"/>
        </w:rPr>
        <w:t>21 </w:t>
      </w:r>
      <w:bookmarkStart w:id="112" w:name="Bookmark_fnpara_21"/>
      <w:bookmarkEnd w:id="112"/>
      <w:bookmarkStart w:id="113" w:name="Bookmark_I5YK381Y2D6P170040000400"/>
      <w:bookmarkEnd w:id="113"/>
      <w:hyperlink r:id="rId42" w:history="1">
        <w:r>
          <w:rPr>
            <w:rFonts w:ascii="times" w:eastAsia="times" w:hAnsi="times" w:cs="times"/>
            <w:b w:val="0"/>
            <w:i/>
            <w:strike w:val="0"/>
            <w:noProof w:val="0"/>
            <w:color w:val="0077CC"/>
            <w:position w:val="0"/>
            <w:sz w:val="18"/>
            <w:u w:val="single"/>
            <w:shd w:val="clear" w:color="auto" w:fill="FFFFFF"/>
            <w:vertAlign w:val="baseline"/>
          </w:rPr>
          <w:t>Id. at 690 (1)</w:t>
        </w:r>
      </w:hyperlink>
      <w:r>
        <w:rPr>
          <w:rFonts w:ascii="times" w:eastAsia="times" w:hAnsi="times" w:cs="times"/>
          <w:b w:val="0"/>
          <w:i w:val="0"/>
          <w:strike w:val="0"/>
          <w:noProof w:val="0"/>
          <w:color w:val="000000"/>
          <w:position w:val="0"/>
          <w:sz w:val="18"/>
          <w:u w:val="none"/>
          <w:vertAlign w:val="baseline"/>
        </w:rPr>
        <w:t xml:space="preserve"> (footnote omitted).</w:t>
      </w:r>
    </w:p>
  </w:footnote>
  <w:footnote w:id="23">
    <w:p>
      <w:pPr>
        <w:keepNext w:val="0"/>
        <w:widowControl w:val="0"/>
        <w:spacing w:before="240" w:after="0" w:line="240" w:lineRule="atLeast"/>
        <w:ind w:left="0" w:right="0" w:firstLine="0"/>
        <w:jc w:val="both"/>
      </w:pPr>
      <w:r>
        <w:rPr>
          <w:rFonts w:ascii="times" w:eastAsia="times" w:hAnsi="times" w:cs="times"/>
          <w:b w:val="0"/>
          <w:i w:val="0"/>
          <w:strike w:val="0"/>
          <w:noProof w:val="0"/>
          <w:color w:val="000000"/>
          <w:position w:val="0"/>
          <w:sz w:val="18"/>
          <w:u w:val="none"/>
          <w:vertAlign w:val="superscript"/>
        </w:rPr>
        <w:t>22 </w:t>
      </w:r>
      <w:bookmarkStart w:id="114" w:name="Bookmark_fnpara_22"/>
      <w:bookmarkEnd w:id="114"/>
      <w:r>
        <w:rPr>
          <w:rFonts w:ascii="times" w:eastAsia="times" w:hAnsi="times" w:cs="times"/>
          <w:b w:val="0"/>
          <w:i w:val="0"/>
          <w:strike w:val="0"/>
          <w:noProof w:val="0"/>
          <w:color w:val="000000"/>
          <w:position w:val="0"/>
          <w:sz w:val="18"/>
          <w:u w:val="none"/>
          <w:vertAlign w:val="baseline"/>
        </w:rPr>
        <w:t xml:space="preserve">See </w:t>
      </w:r>
      <w:hyperlink r:id="rId43" w:history="1">
        <w:r>
          <w:rPr>
            <w:rFonts w:ascii="times" w:eastAsia="times" w:hAnsi="times" w:cs="times"/>
            <w:b w:val="0"/>
            <w:i/>
            <w:strike w:val="0"/>
            <w:noProof w:val="0"/>
            <w:color w:val="0077CC"/>
            <w:position w:val="0"/>
            <w:sz w:val="18"/>
            <w:u w:val="single"/>
            <w:shd w:val="clear" w:color="auto" w:fill="FFFFFF"/>
            <w:vertAlign w:val="baseline"/>
          </w:rPr>
          <w:t>OCGA § 36-33-5 (b)</w:t>
        </w:r>
      </w:hyperlink>
      <w:r>
        <w:rPr>
          <w:rFonts w:ascii="times" w:eastAsia="times" w:hAnsi="times" w:cs="times"/>
          <w:b w:val="0"/>
          <w:i w:val="0"/>
          <w:strike w:val="0"/>
          <w:noProof w:val="0"/>
          <w:color w:val="000000"/>
          <w:position w:val="0"/>
          <w:sz w:val="18"/>
          <w:u w:val="none"/>
          <w:vertAlign w:val="baseline"/>
        </w:rPr>
        <w:t>.</w:t>
      </w:r>
    </w:p>
  </w:footnote>
  <w:footnote w:id="24">
    <w:p>
      <w:pPr>
        <w:keepNext w:val="0"/>
        <w:widowControl w:val="0"/>
        <w:spacing w:before="240" w:after="0" w:line="240" w:lineRule="atLeast"/>
        <w:ind w:left="0" w:right="0" w:firstLine="0"/>
        <w:jc w:val="both"/>
      </w:pPr>
      <w:r>
        <w:rPr>
          <w:rFonts w:ascii="times" w:eastAsia="times" w:hAnsi="times" w:cs="times"/>
          <w:b w:val="0"/>
          <w:i w:val="0"/>
          <w:strike w:val="0"/>
          <w:noProof w:val="0"/>
          <w:color w:val="000000"/>
          <w:position w:val="0"/>
          <w:sz w:val="18"/>
          <w:u w:val="none"/>
          <w:vertAlign w:val="superscript"/>
        </w:rPr>
        <w:t>23 </w:t>
      </w:r>
      <w:bookmarkStart w:id="115" w:name="Bookmark_fnpara_23"/>
      <w:bookmarkEnd w:id="115"/>
      <w:r>
        <w:rPr>
          <w:rFonts w:ascii="times" w:eastAsia="times" w:hAnsi="times" w:cs="times"/>
          <w:b w:val="0"/>
          <w:i w:val="0"/>
          <w:strike w:val="0"/>
          <w:noProof w:val="0"/>
          <w:color w:val="000000"/>
          <w:position w:val="0"/>
          <w:sz w:val="18"/>
          <w:u w:val="none"/>
          <w:vertAlign w:val="baseline"/>
        </w:rPr>
        <w:t xml:space="preserve">See </w:t>
      </w:r>
      <w:bookmarkStart w:id="116" w:name="Bookmark_I5YK381Y28T51M0010000400"/>
      <w:bookmarkEnd w:id="116"/>
      <w:hyperlink r:id="rId44" w:history="1">
        <w:r>
          <w:rPr>
            <w:rFonts w:ascii="times" w:eastAsia="times" w:hAnsi="times" w:cs="times"/>
            <w:b w:val="0"/>
            <w:i/>
            <w:strike w:val="0"/>
            <w:noProof w:val="0"/>
            <w:color w:val="0077CC"/>
            <w:position w:val="0"/>
            <w:sz w:val="18"/>
            <w:u w:val="single"/>
            <w:shd w:val="clear" w:color="auto" w:fill="FFFFFF"/>
            <w:vertAlign w:val="baseline"/>
          </w:rPr>
          <w:t>Harrell</w:t>
        </w:r>
      </w:hyperlink>
      <w:hyperlink r:id="rId45" w:history="1">
        <w:r>
          <w:rPr>
            <w:rFonts w:ascii="times" w:eastAsia="times" w:hAnsi="times" w:cs="times"/>
            <w:b w:val="0"/>
            <w:i/>
            <w:strike w:val="0"/>
            <w:noProof w:val="0"/>
            <w:color w:val="0077CC"/>
            <w:position w:val="0"/>
            <w:sz w:val="18"/>
            <w:u w:val="single"/>
            <w:shd w:val="clear" w:color="auto" w:fill="FFFFFF"/>
            <w:vertAlign w:val="baseline"/>
          </w:rPr>
          <w:t>, 346 Ga. App. at 638 (1)</w:t>
        </w:r>
      </w:hyperlink>
      <w:r>
        <w:rPr>
          <w:rFonts w:ascii="times" w:eastAsia="times" w:hAnsi="times" w:cs="times"/>
          <w:b w:val="0"/>
          <w:i w:val="0"/>
          <w:strike w:val="0"/>
          <w:noProof w:val="0"/>
          <w:color w:val="000000"/>
          <w:position w:val="0"/>
          <w:sz w:val="18"/>
          <w:u w:val="none"/>
          <w:vertAlign w:val="baseline"/>
        </w:rPr>
        <w:t xml:space="preserve"> (“</w:t>
      </w:r>
      <w:hyperlink r:id="rId46" w:history="1">
        <w:r>
          <w:rPr>
            <w:rFonts w:ascii="times" w:eastAsia="times" w:hAnsi="times" w:cs="times"/>
            <w:b w:val="0"/>
            <w:i/>
            <w:strike w:val="0"/>
            <w:noProof w:val="0"/>
            <w:color w:val="0077CC"/>
            <w:position w:val="0"/>
            <w:sz w:val="18"/>
            <w:u w:val="single"/>
            <w:shd w:val="clear" w:color="auto" w:fill="FFFFFF"/>
            <w:vertAlign w:val="baseline"/>
          </w:rPr>
          <w:t>[S]ubsection (e)</w:t>
        </w:r>
      </w:hyperlink>
      <w:r>
        <w:rPr>
          <w:rFonts w:ascii="times" w:eastAsia="times" w:hAnsi="times" w:cs="times"/>
          <w:b w:val="0"/>
          <w:i w:val="0"/>
          <w:strike w:val="0"/>
          <w:noProof w:val="0"/>
          <w:color w:val="000000"/>
          <w:position w:val="0"/>
          <w:sz w:val="18"/>
          <w:u w:val="none"/>
          <w:vertAlign w:val="baseline"/>
        </w:rPr>
        <w:t xml:space="preserve"> directly implies that the defendant may accept such an offer, thereby creating a binding settlement.”).</w:t>
      </w:r>
    </w:p>
  </w:footnote>
  <w:footnote w:id="25">
    <w:p>
      <w:pPr>
        <w:keepNext w:val="0"/>
        <w:widowControl w:val="0"/>
        <w:spacing w:before="240" w:after="0" w:line="240" w:lineRule="atLeast"/>
        <w:ind w:left="0" w:right="0" w:firstLine="0"/>
        <w:jc w:val="both"/>
      </w:pPr>
      <w:r>
        <w:rPr>
          <w:rFonts w:ascii="times" w:eastAsia="times" w:hAnsi="times" w:cs="times"/>
          <w:b w:val="0"/>
          <w:i w:val="0"/>
          <w:strike w:val="0"/>
          <w:noProof w:val="0"/>
          <w:color w:val="000000"/>
          <w:position w:val="0"/>
          <w:sz w:val="18"/>
          <w:u w:val="none"/>
          <w:vertAlign w:val="superscript"/>
        </w:rPr>
        <w:t>24 </w:t>
      </w:r>
      <w:bookmarkStart w:id="117" w:name="Bookmark_fnpara_24"/>
      <w:bookmarkEnd w:id="117"/>
      <w:r>
        <w:rPr>
          <w:rFonts w:ascii="times" w:eastAsia="times" w:hAnsi="times" w:cs="times"/>
          <w:b w:val="0"/>
          <w:i w:val="0"/>
          <w:strike w:val="0"/>
          <w:noProof w:val="0"/>
          <w:color w:val="000000"/>
          <w:position w:val="0"/>
          <w:sz w:val="18"/>
          <w:u w:val="none"/>
          <w:vertAlign w:val="baseline"/>
        </w:rPr>
        <w:t xml:space="preserve">See </w:t>
      </w:r>
      <w:bookmarkStart w:id="118" w:name="Bookmark_I5YK381Y28T51M0030000400"/>
      <w:bookmarkEnd w:id="118"/>
      <w:hyperlink r:id="rId47" w:history="1">
        <w:r>
          <w:rPr>
            <w:rFonts w:ascii="times" w:eastAsia="times" w:hAnsi="times" w:cs="times"/>
            <w:b w:val="0"/>
            <w:i/>
            <w:strike w:val="0"/>
            <w:noProof w:val="0"/>
            <w:color w:val="0077CC"/>
            <w:position w:val="0"/>
            <w:sz w:val="18"/>
            <w:u w:val="single"/>
            <w:shd w:val="clear" w:color="auto" w:fill="FFFFFF"/>
            <w:vertAlign w:val="baseline"/>
          </w:rPr>
          <w:t>Pickens</w:t>
        </w:r>
      </w:hyperlink>
      <w:hyperlink r:id="rId48" w:history="1">
        <w:r>
          <w:rPr>
            <w:rFonts w:ascii="times" w:eastAsia="times" w:hAnsi="times" w:cs="times"/>
            <w:b w:val="0"/>
            <w:i/>
            <w:strike w:val="0"/>
            <w:noProof w:val="0"/>
            <w:color w:val="0077CC"/>
            <w:position w:val="0"/>
            <w:sz w:val="18"/>
            <w:u w:val="single"/>
            <w:shd w:val="clear" w:color="auto" w:fill="FFFFFF"/>
            <w:vertAlign w:val="baseline"/>
          </w:rPr>
          <w:t>, 352 Ga. App. at 44 (1)</w:t>
        </w:r>
      </w:hyperlink>
      <w:r>
        <w:rPr>
          <w:rFonts w:ascii="times" w:eastAsia="times" w:hAnsi="times" w:cs="times"/>
          <w:b w:val="0"/>
          <w:i w:val="0"/>
          <w:strike w:val="0"/>
          <w:noProof w:val="0"/>
          <w:color w:val="000000"/>
          <w:position w:val="0"/>
          <w:sz w:val="18"/>
          <w:u w:val="none"/>
          <w:vertAlign w:val="baseline"/>
        </w:rPr>
        <w:t xml:space="preserve"> (A plaintiff can “include any prospective future costs related to the injuries into the specified monetary amount” of the ante litem notice, as a plaintiff would do if the case went to trial before he completed medical treatment.).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tblLayout w:type="fixed"/>
      </w:tblPrEx>
      <w:tc>
        <w:tcPr>
          <w:tcW w:w="10080" w:type="dxa"/>
        </w:tcPr>
        <w:p>
          <w:pPr>
            <w:spacing w:before="60" w:after="200"/>
            <w:jc w:val="center"/>
          </w:pPr>
          <w:r>
            <w:rPr>
              <w:rFonts w:ascii="times" w:eastAsia="times" w:hAnsi="times" w:cs="times"/>
              <w:sz w:val="20"/>
            </w:rPr>
            <w:t>City of Lafayette v. Chandler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plus.lexis.com/api/document?collection=cases&amp;id=urn:contentItem:5YCY-N9J1-F2TK-21X4-00000-00&amp;context=1530671" TargetMode="External" /><Relationship Id="rId11" Type="http://schemas.openxmlformats.org/officeDocument/2006/relationships/hyperlink" Target="https://plus.lexis.com/api/document?collection=cases&amp;id=urn:contentItem:69DW-ST41-JF75-M33X-00000-00&amp;context=1530671" TargetMode="External" /><Relationship Id="rId12" Type="http://schemas.openxmlformats.org/officeDocument/2006/relationships/hyperlink" Target="https://plus.lexis.com/api/document?collection=cases&amp;id=urn:contentItem:5YCY-N9J1-F2TK-21X4-00000-00&amp;context=1530671&amp;link=LNHNREFclscc1" TargetMode="External" /><Relationship Id="rId13" Type="http://schemas.openxmlformats.org/officeDocument/2006/relationships/hyperlink" Target="https://plus.lexis.com/api/document?collection=cases&amp;id=urn:contentItem:5YCY-N9J1-F2TK-21X4-00000-00&amp;context=1530671&amp;link=LNHNREFclscc2" TargetMode="External" /><Relationship Id="rId14" Type="http://schemas.openxmlformats.org/officeDocument/2006/relationships/hyperlink" Target="https://plus.lexis.com/api/document?collection=statutes-legislation&amp;id=urn:contentItem:6348-FXW1-DYB7-W24P-00000-00&amp;context=1530671" TargetMode="External" /><Relationship Id="rId15" Type="http://schemas.openxmlformats.org/officeDocument/2006/relationships/hyperlink" Target="https://plus.lexis.com/api/document?collection=statutes-legislation&amp;id=urn:contentItem:6348-FXW1-DYB7-W24P-00000-00&amp;context=1530671" TargetMode="External" /><Relationship Id="rId16" Type="http://schemas.openxmlformats.org/officeDocument/2006/relationships/hyperlink" Target="https://plus.lexis.com/api/document?collection=cases&amp;id=urn:contentItem:5YCY-N9J1-F2TK-21X4-00000-00&amp;context=1530671&amp;link=LNHNREFclscc3" TargetMode="External" /><Relationship Id="rId17" Type="http://schemas.openxmlformats.org/officeDocument/2006/relationships/hyperlink" Target="https://plus.lexis.com/api/document?collection=statutes-legislation&amp;id=urn:contentItem:6348-FXW1-DYB7-W24P-00000-00&amp;context=1530671" TargetMode="External" /><Relationship Id="rId18" Type="http://schemas.openxmlformats.org/officeDocument/2006/relationships/hyperlink" Target="https://plus.lexis.com/api/document?collection=cases&amp;id=urn:contentItem:5YCY-N9J1-F2TK-21X4-00000-00&amp;context=1530671&amp;link=LNHNREFclscc4" TargetMode="External" /><Relationship Id="rId19" Type="http://schemas.openxmlformats.org/officeDocument/2006/relationships/hyperlink" Target="https://plus.lexis.com/api/document?collection=statutes-legislation&amp;id=urn:contentItem:6348-FXW1-DYB7-W24P-00000-00&amp;context=1530671" TargetMode="External" /><Relationship Id="rId2" Type="http://schemas.openxmlformats.org/officeDocument/2006/relationships/settings" Target="settings.xml" /><Relationship Id="rId20" Type="http://schemas.openxmlformats.org/officeDocument/2006/relationships/hyperlink" Target="https://plus.lexis.com/api/document?collection=cases&amp;id=urn:contentItem:5YCY-N9J1-F2TK-21X4-00000-00&amp;context=1530671&amp;link=LNHNREFclscc5" TargetMode="External" /><Relationship Id="rId21" Type="http://schemas.openxmlformats.org/officeDocument/2006/relationships/hyperlink" Target="https://plus.lexis.com/api/document?collection=statutes-legislation&amp;id=urn:contentItem:6348-FXW1-DYB7-W24P-00000-00&amp;context=1530671" TargetMode="External" /><Relationship Id="rId22" Type="http://schemas.openxmlformats.org/officeDocument/2006/relationships/hyperlink" Target="https://plus.lexis.com/api/document?collection=cases&amp;id=urn:contentItem:5YCY-N9J1-F2TK-21X4-00000-00&amp;context=1530671&amp;link=LNHNREFclscc6" TargetMode="External" /><Relationship Id="rId23" Type="http://schemas.openxmlformats.org/officeDocument/2006/relationships/hyperlink" Target="https://plus.lexis.com/api/document?collection=cases&amp;id=urn:contentItem:5YCY-N9J1-F2TK-21X4-00000-00&amp;context=1530671&amp;link=LNHNREFclscc7" TargetMode="External" /><Relationship Id="rId24" Type="http://schemas.openxmlformats.org/officeDocument/2006/relationships/hyperlink" Target="https://plus.lexis.com/api/document?collection=statutes-legislation&amp;id=urn:contentItem:6348-FXW1-DYB7-W24P-00000-00&amp;context=1530671" TargetMode="External" /><Relationship Id="rId25" Type="http://schemas.openxmlformats.org/officeDocument/2006/relationships/hyperlink" Target="https://plus.lexis.com/api/document?collection=cases&amp;id=urn:contentItem:5YCY-N9J1-F2TK-21X4-00000-00&amp;context=1530671&amp;link=LNHNREFclscc8" TargetMode="External" /><Relationship Id="rId26" Type="http://schemas.openxmlformats.org/officeDocument/2006/relationships/hyperlink" Target="https://plus.lexis.com/api/document?collection=statutes-legislation&amp;id=urn:contentItem:6348-FXW1-DYB7-W24P-00000-00&amp;context=1530671" TargetMode="External" /><Relationship Id="rId27" Type="http://schemas.openxmlformats.org/officeDocument/2006/relationships/hyperlink" Target="https://plus.lexis.com/api/document?collection=statutes-legislation&amp;id=urn:contentItem:6348-FXW1-DYB7-W24P-00000-00&amp;context=1530671" TargetMode="External" /><Relationship Id="rId28" Type="http://schemas.openxmlformats.org/officeDocument/2006/relationships/hyperlink" Target="https://plus.lexis.com/api/document?collection=statutes-legislation&amp;id=urn:contentItem:6348-FXW1-DYB7-W24P-00000-00&amp;context=1530671" TargetMode="External" /><Relationship Id="rId29" Type="http://schemas.openxmlformats.org/officeDocument/2006/relationships/hyperlink" Target="https://plus.lexis.com/api/document?collection=cases&amp;id=urn:contentItem:5YCY-N9J1-F2TK-21X4-00000-00&amp;context=1530671&amp;link=LNHNREFclscc9" TargetMode="External" /><Relationship Id="rId3" Type="http://schemas.openxmlformats.org/officeDocument/2006/relationships/webSettings" Target="webSettings.xml" /><Relationship Id="rId30" Type="http://schemas.openxmlformats.org/officeDocument/2006/relationships/hyperlink" Target="https://plus.lexis.com/api/document?collection=statutes-legislation&amp;id=urn:contentItem:6348-FXW1-DYB7-W24P-00000-00&amp;context=1530671" TargetMode="External" /><Relationship Id="rId31" Type="http://schemas.openxmlformats.org/officeDocument/2006/relationships/hyperlink" Target="https://plus.lexis.com/api/document?collection=cases&amp;id=urn:contentItem:5YCY-N9J1-F2TK-21X4-00000-00&amp;context=1530671&amp;link=_1" TargetMode="External" /><Relationship Id="rId32" Type="http://schemas.openxmlformats.org/officeDocument/2006/relationships/hyperlink" Target="https://plus.lexis.com/api/document?collection=statutes-legislation&amp;id=urn:contentItem:6348-FXW1-DYB7-W24P-00000-00&amp;context=1530671" TargetMode="External" /><Relationship Id="rId33" Type="http://schemas.openxmlformats.org/officeDocument/2006/relationships/hyperlink" Target="https://plus.lexis.com/api/document?collection=statutes-legislation&amp;id=urn:contentItem:6348-FXW1-DYB7-W24P-00000-00&amp;context=1530671" TargetMode="External" /><Relationship Id="rId34" Type="http://schemas.openxmlformats.org/officeDocument/2006/relationships/hyperlink" Target="https://plus.lexis.com/api/document?collection=statutes-legislation&amp;id=urn:contentItem:6348-FXW1-DYB7-W24P-00000-00&amp;context=1530671" TargetMode="External" /><Relationship Id="rId35" Type="http://schemas.openxmlformats.org/officeDocument/2006/relationships/hyperlink" Target="https://plus.lexis.com/api/document?collection=statutes-legislation&amp;id=urn:contentItem:6348-FXW1-DYB7-W24P-00000-00&amp;context=1530671" TargetMode="External" /><Relationship Id="rId36" Type="http://schemas.openxmlformats.org/officeDocument/2006/relationships/hyperlink" Target="https://plus.lexis.com/api/document?collection=statutes-legislation&amp;id=urn:contentItem:6348-FXW1-DYB7-W24P-00000-00&amp;context=1530671" TargetMode="External" /><Relationship Id="rId37" Type="http://schemas.openxmlformats.org/officeDocument/2006/relationships/hyperlink" Target="https://plus.lexis.com/api/document?collection=statutes-legislation&amp;id=urn:contentItem:6348-FXW1-DYB7-W24P-00000-00&amp;context=1530671" TargetMode="External" /><Relationship Id="rId38" Type="http://schemas.openxmlformats.org/officeDocument/2006/relationships/hyperlink" Target="https://plus.lexis.com/api/document?collection=statutes-legislation&amp;id=urn:contentItem:6348-FXW1-DYB7-W24P-00000-00&amp;context=1530671" TargetMode="External" /><Relationship Id="rId39" Type="http://schemas.openxmlformats.org/officeDocument/2006/relationships/hyperlink" Target="https://plus.lexis.com/api/document?collection=statutes-legislation&amp;id=urn:contentItem:6348-FXW1-DYB7-W24P-00000-00&amp;context=1530671" TargetMode="External" /><Relationship Id="rId4" Type="http://schemas.openxmlformats.org/officeDocument/2006/relationships/fontTable" Target="fontTable.xml" /><Relationship Id="rId40" Type="http://schemas.openxmlformats.org/officeDocument/2006/relationships/hyperlink" Target="https://plus.lexis.com/api/document?collection=statutes-legislation&amp;id=urn:contentItem:6348-FXW1-DYB7-W24P-00000-00&amp;context=1530671" TargetMode="External" /><Relationship Id="rId41" Type="http://schemas.openxmlformats.org/officeDocument/2006/relationships/hyperlink" Target="https://plus.lexis.com/api/document?collection=statutes-legislation&amp;id=urn:contentItem:6348-FXW1-DYB7-W24P-00000-00&amp;context=1530671" TargetMode="External" /><Relationship Id="rId42" Type="http://schemas.openxmlformats.org/officeDocument/2006/relationships/hyperlink" Target="https://plus.lexis.com/api/document?collection=statutes-legislation&amp;id=urn:contentItem:6348-FXW1-DYB7-W24P-00000-00&amp;context=1530671" TargetMode="External" /><Relationship Id="rId43" Type="http://schemas.openxmlformats.org/officeDocument/2006/relationships/hyperlink" Target="https://plus.lexis.com/api/document?collection=statutes-legislation&amp;id=urn:contentItem:6348-FXW1-DYB7-W24P-00000-00&amp;context=1530671" TargetMode="External" /><Relationship Id="rId44" Type="http://schemas.openxmlformats.org/officeDocument/2006/relationships/hyperlink" Target="https://plus.lexis.com/api/document?collection=statutes-legislation&amp;id=urn:contentItem:6348-FXW1-DYB7-W24P-00000-00&amp;context=1530671" TargetMode="External" /><Relationship Id="rId45" Type="http://schemas.openxmlformats.org/officeDocument/2006/relationships/hyperlink" Target="https://plus.lexis.com/api/document?collection=statutes-legislation&amp;id=urn:contentItem:6348-FXW1-DYB7-W24P-00000-00&amp;context=1530671" TargetMode="External" /><Relationship Id="rId46" Type="http://schemas.openxmlformats.org/officeDocument/2006/relationships/hyperlink" Target="https://plus.lexis.com/api/document?collection=statutes-legislation&amp;id=urn:contentItem:6348-FXW1-DYB7-W24P-00000-00&amp;context=1530671" TargetMode="External" /><Relationship Id="rId47" Type="http://schemas.openxmlformats.org/officeDocument/2006/relationships/hyperlink" Target="https://plus.lexis.com/api/document?collection=statutes-legislation&amp;id=urn:contentItem:6348-FXW1-DYB7-W24P-00000-00&amp;context=1530671" TargetMode="External" /><Relationship Id="rId48" Type="http://schemas.openxmlformats.org/officeDocument/2006/relationships/hyperlink" Target="https://plus.lexis.com/api/document?collection=statutes-legislation&amp;id=urn:contentItem:6348-FXW1-DYB7-W24P-00000-00&amp;context=1530671" TargetMode="External" /><Relationship Id="rId49" Type="http://schemas.openxmlformats.org/officeDocument/2006/relationships/hyperlink" Target="https://plus.lexis.com/api/document?collection=statutes-legislation&amp;id=urn:contentItem:6348-FXW1-DYB7-W24P-00000-00&amp;context=1530671" TargetMode="External" /><Relationship Id="rId5" Type="http://schemas.openxmlformats.org/officeDocument/2006/relationships/header" Target="header1.xml" /><Relationship Id="rId50" Type="http://schemas.openxmlformats.org/officeDocument/2006/relationships/hyperlink" Target="https://plus.lexis.com/api/document?collection=statutes-legislation&amp;id=urn:contentItem:6348-FXW1-DYB7-W24P-00000-00&amp;context=1530671" TargetMode="External" /><Relationship Id="rId51" Type="http://schemas.openxmlformats.org/officeDocument/2006/relationships/hyperlink" Target="https://plus.lexis.com/api/document?collection=statutes-legislation&amp;id=urn:contentItem:6348-FXW1-DYB7-W24P-00000-00&amp;context=1530671" TargetMode="External" /><Relationship Id="rId52" Type="http://schemas.openxmlformats.org/officeDocument/2006/relationships/hyperlink" Target="https://plus.lexis.com/api/document?collection=cases&amp;id=urn:contentItem:5YCY-N9J1-F2TK-21X4-00000-00&amp;context=1530671&amp;link=GA3" TargetMode="External" /><Relationship Id="rId53" Type="http://schemas.openxmlformats.org/officeDocument/2006/relationships/hyperlink" Target="https://plus.lexis.com/api/document?collection=statutes-legislation&amp;id=urn:contentItem:6348-FXW1-DYB7-W24P-00000-00&amp;context=1530671" TargetMode="External" /><Relationship Id="rId54" Type="http://schemas.openxmlformats.org/officeDocument/2006/relationships/hyperlink" Target="https://plus.lexis.com/api/document?collection=statutes-legislation&amp;id=urn:contentItem:6348-FXW1-DYB7-W24P-00000-00&amp;context=1530671" TargetMode="External" /><Relationship Id="rId55" Type="http://schemas.openxmlformats.org/officeDocument/2006/relationships/hyperlink" Target="https://plus.lexis.com/api/document?collection=statutes-legislation&amp;id=urn:contentItem:6348-FXW1-DYB7-W24P-00000-00&amp;context=1530671" TargetMode="External" /><Relationship Id="rId56" Type="http://schemas.openxmlformats.org/officeDocument/2006/relationships/hyperlink" Target="https://plus.lexis.com/api/document?collection=statutes-legislation&amp;id=urn:contentItem:6348-FXW1-DYB7-W24P-00000-00&amp;context=1530671" TargetMode="External" /><Relationship Id="rId57" Type="http://schemas.openxmlformats.org/officeDocument/2006/relationships/hyperlink" Target="https://plus.lexis.com/api/document?collection=statutes-legislation&amp;id=urn:contentItem:6348-FXW1-DYB7-W24P-00000-00&amp;context=1530671" TargetMode="External" /><Relationship Id="rId58" Type="http://schemas.openxmlformats.org/officeDocument/2006/relationships/theme" Target="theme/theme1.xml" /><Relationship Id="rId59" Type="http://schemas.openxmlformats.org/officeDocument/2006/relationships/styles" Target="styles.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yperlink" Target="https://plus.lexis.com/api/shepards?id=urn:contentItem:5YD0-G101-J9X5-R00H-00000-00&amp;category=initial&amp;context=1530671" TargetMode="External" /><Relationship Id="rId9" Type="http://schemas.openxmlformats.org/officeDocument/2006/relationships/image" Target="media/image1.png" /></Relationships>
</file>

<file path=word/_rels/footnotes.xml.rels><?xml version="1.0" encoding="utf-8" standalone="yes"?><Relationships xmlns="http://schemas.openxmlformats.org/package/2006/relationships"><Relationship Id="rId1" Type="http://schemas.openxmlformats.org/officeDocument/2006/relationships/hyperlink" Target="https://plus.lexis.com/api/document?collection=cases&amp;id=urn:contentItem:59F7-2RW1-F04F-T05V-00000-00&amp;context=1530671" TargetMode="External" /><Relationship Id="rId10" Type="http://schemas.openxmlformats.org/officeDocument/2006/relationships/hyperlink" Target="https://plus.lexis.com/api/document?collection=cases&amp;id=urn:contentItem:5N3D-3YH1-F04F-T042-00000-00&amp;context=1530671" TargetMode="External" /><Relationship Id="rId11" Type="http://schemas.openxmlformats.org/officeDocument/2006/relationships/hyperlink" Target="https://plus.lexis.com/api/document?collection=cases&amp;id=urn:contentItem:5N3D-3YH1-F04F-T042-00000-00&amp;context=1530671" TargetMode="External" /><Relationship Id="rId12" Type="http://schemas.openxmlformats.org/officeDocument/2006/relationships/hyperlink" Target="https://plus.lexis.com/api/document?collection=statutes-legislation&amp;id=urn:contentItem:6348-G0T1-DYB7-W231-00000-00&amp;context=1530671" TargetMode="External" /><Relationship Id="rId13" Type="http://schemas.openxmlformats.org/officeDocument/2006/relationships/hyperlink" Target="https://plus.lexis.com/api/document?collection=statutes-legislation&amp;id=urn:contentItem:6348-FXW1-DYB7-W24P-00000-00&amp;context=1530671" TargetMode="External" /><Relationship Id="rId14" Type="http://schemas.openxmlformats.org/officeDocument/2006/relationships/hyperlink" Target="https://plus.lexis.com/api/document?collection=statutes-legislation&amp;id=urn:contentItem:6348-FXW1-DYB7-W24P-00000-00&amp;context=1530671" TargetMode="External" /><Relationship Id="rId15" Type="http://schemas.openxmlformats.org/officeDocument/2006/relationships/hyperlink" Target="https://plus.lexis.com/api/document?collection=cases&amp;id=urn:contentItem:5VHW-9201-JFKM-61V6-00000-00&amp;context=1530671" TargetMode="External" /><Relationship Id="rId16" Type="http://schemas.openxmlformats.org/officeDocument/2006/relationships/hyperlink" Target="https://plus.lexis.com/api/document?collection=cases&amp;id=urn:contentItem:5VHW-9201-JFKM-61V6-00000-00&amp;context=1530671" TargetMode="External" /><Relationship Id="rId17" Type="http://schemas.openxmlformats.org/officeDocument/2006/relationships/hyperlink" Target="https://plus.lexis.com/api/document?collection=cases&amp;id=urn:contentItem:5X47-4JT1-FGY5-M3GF-00000-00&amp;context=1530671" TargetMode="External" /><Relationship Id="rId18" Type="http://schemas.openxmlformats.org/officeDocument/2006/relationships/hyperlink" Target="https://plus.lexis.com/api/document?collection=cases&amp;id=urn:contentItem:5X47-4JT1-FGY5-M3GF-00000-00&amp;context=1530671" TargetMode="External" /><Relationship Id="rId19" Type="http://schemas.openxmlformats.org/officeDocument/2006/relationships/hyperlink" Target="https://plus.lexis.com/api/document?collection=cases&amp;id=urn:contentItem:5X8P-FX11-JNS1-M4CY-00000-00&amp;context=1530671" TargetMode="External" /><Relationship Id="rId2" Type="http://schemas.openxmlformats.org/officeDocument/2006/relationships/hyperlink" Target="https://plus.lexis.com/api/document?collection=cases&amp;id=urn:contentItem:59F7-2RW1-F04F-T05V-00000-00&amp;context=1530671" TargetMode="External" /><Relationship Id="rId20" Type="http://schemas.openxmlformats.org/officeDocument/2006/relationships/hyperlink" Target="https://plus.lexis.com/api/document?collection=cases&amp;id=urn:contentItem:5X8P-FX11-JNS1-M4CY-00000-00&amp;context=1530671" TargetMode="External" /><Relationship Id="rId21" Type="http://schemas.openxmlformats.org/officeDocument/2006/relationships/hyperlink" Target="https://plus.lexis.com/api/document?collection=cases&amp;id=urn:contentItem:5X47-4JT1-FGY5-M3GF-00000-00&amp;context=1530671" TargetMode="External" /><Relationship Id="rId22" Type="http://schemas.openxmlformats.org/officeDocument/2006/relationships/hyperlink" Target="https://plus.lexis.com/api/document?collection=cases&amp;id=urn:contentItem:5X47-4JT1-FGY5-M3GF-00000-00&amp;context=1530671" TargetMode="External" /><Relationship Id="rId23" Type="http://schemas.openxmlformats.org/officeDocument/2006/relationships/hyperlink" Target="https://plus.lexis.com/api/document?collection=cases&amp;id=urn:contentItem:5WCY-YNJ1-F4W2-61CP-00000-00&amp;context=1530671" TargetMode="External" /><Relationship Id="rId24" Type="http://schemas.openxmlformats.org/officeDocument/2006/relationships/hyperlink" Target="https://plus.lexis.com/api/document?collection=cases&amp;id=urn:contentItem:5WCY-YNJ1-F4W2-61CP-00000-00&amp;context=1530671" TargetMode="External" /><Relationship Id="rId25" Type="http://schemas.openxmlformats.org/officeDocument/2006/relationships/hyperlink" Target="https://plus.lexis.com/api/document?collection=cases&amp;id=urn:contentItem:5SND-JXR1-F27X-6131-00000-00&amp;context=1530671" TargetMode="External" /><Relationship Id="rId26" Type="http://schemas.openxmlformats.org/officeDocument/2006/relationships/hyperlink" Target="https://plus.lexis.com/api/document?collection=cases&amp;id=urn:contentItem:5SND-JXR1-F27X-6131-00000-00&amp;context=1530671" TargetMode="External" /><Relationship Id="rId27" Type="http://schemas.openxmlformats.org/officeDocument/2006/relationships/hyperlink" Target="https://plus.lexis.com/api/document?collection=cases&amp;id=urn:contentItem:5SND-JXR1-F27X-6131-00000-00&amp;context=1530671" TargetMode="External" /><Relationship Id="rId28" Type="http://schemas.openxmlformats.org/officeDocument/2006/relationships/hyperlink" Target="https://plus.lexis.com/api/document?collection=cases&amp;id=urn:contentItem:5SND-JXR1-F27X-6131-00000-00&amp;context=1530671" TargetMode="External" /><Relationship Id="rId29" Type="http://schemas.openxmlformats.org/officeDocument/2006/relationships/hyperlink" Target="https://plus.lexis.com/api/document?collection=cases&amp;id=urn:contentItem:5X8P-FX11-JNS1-M4CY-00000-00&amp;context=1530671" TargetMode="External" /><Relationship Id="rId3" Type="http://schemas.openxmlformats.org/officeDocument/2006/relationships/hyperlink" Target="https://plus.lexis.com/api/document?collection=cases&amp;id=urn:contentItem:59F7-2RW1-F04F-T05V-00000-00&amp;context=1530671" TargetMode="External" /><Relationship Id="rId30" Type="http://schemas.openxmlformats.org/officeDocument/2006/relationships/hyperlink" Target="https://plus.lexis.com/api/document?collection=cases&amp;id=urn:contentItem:5X8P-FX11-JNS1-M4CY-00000-00&amp;context=1530671" TargetMode="External" /><Relationship Id="rId31" Type="http://schemas.openxmlformats.org/officeDocument/2006/relationships/hyperlink" Target="https://plus.lexis.com/api/document?collection=cases&amp;id=urn:contentItem:5X47-4JT1-FGY5-M3GF-00000-00&amp;context=1530671" TargetMode="External" /><Relationship Id="rId32" Type="http://schemas.openxmlformats.org/officeDocument/2006/relationships/hyperlink" Target="https://plus.lexis.com/api/document?collection=cases&amp;id=urn:contentItem:5X47-4JT1-FGY5-M3GF-00000-00&amp;context=1530671" TargetMode="External" /><Relationship Id="rId33" Type="http://schemas.openxmlformats.org/officeDocument/2006/relationships/hyperlink" Target="https://plus.lexis.com/api/document?collection=statutes-legislation&amp;id=urn:contentItem:6348-FXW1-DYB7-W24P-00000-00&amp;context=1530671" TargetMode="External" /><Relationship Id="rId34" Type="http://schemas.openxmlformats.org/officeDocument/2006/relationships/hyperlink" Target="https://plus.lexis.com/api/document?collection=cases&amp;id=urn:contentItem:5X47-4JT1-FGY5-M3GF-00000-00&amp;context=1530671" TargetMode="External" /><Relationship Id="rId35" Type="http://schemas.openxmlformats.org/officeDocument/2006/relationships/hyperlink" Target="https://plus.lexis.com/api/document?collection=cases&amp;id=urn:contentItem:5X47-4JT1-FGY5-M3GF-00000-00&amp;context=1530671" TargetMode="External" /><Relationship Id="rId36" Type="http://schemas.openxmlformats.org/officeDocument/2006/relationships/hyperlink" Target="https://plus.lexis.com/api/document?collection=cases&amp;id=urn:contentItem:5N3D-3YH1-F04F-T042-00000-00&amp;context=1530671" TargetMode="External" /><Relationship Id="rId37" Type="http://schemas.openxmlformats.org/officeDocument/2006/relationships/hyperlink" Target="https://plus.lexis.com/api/document?collection=cases&amp;id=urn:contentItem:5N3D-3YH1-F04F-T042-00000-00&amp;context=1530671" TargetMode="External" /><Relationship Id="rId38" Type="http://schemas.openxmlformats.org/officeDocument/2006/relationships/hyperlink" Target="https://plus.lexis.com/api/document?collection=cases&amp;id=urn:contentItem:5D9D-7DS1-F04F-V04G-00000-00&amp;context=1530671" TargetMode="External" /><Relationship Id="rId39" Type="http://schemas.openxmlformats.org/officeDocument/2006/relationships/hyperlink" Target="https://plus.lexis.com/api/document?collection=cases&amp;id=urn:contentItem:5D9D-7DS1-F04F-V04G-00000-00&amp;context=1530671" TargetMode="External" /><Relationship Id="rId4" Type="http://schemas.openxmlformats.org/officeDocument/2006/relationships/hyperlink" Target="https://plus.lexis.com/api/document?collection=cases&amp;id=urn:contentItem:59F7-2RW1-F04F-T05V-00000-00&amp;context=1530671" TargetMode="External" /><Relationship Id="rId40" Type="http://schemas.openxmlformats.org/officeDocument/2006/relationships/hyperlink" Target="https://plus.lexis.com/api/document?collection=cases&amp;id=urn:contentItem:5WCY-YNJ1-F4W2-61CP-00000-00&amp;context=1530671" TargetMode="External" /><Relationship Id="rId41" Type="http://schemas.openxmlformats.org/officeDocument/2006/relationships/hyperlink" Target="https://plus.lexis.com/api/document?collection=cases&amp;id=urn:contentItem:5WCY-YNJ1-F4W2-61CP-00000-00&amp;context=1530671" TargetMode="External" /><Relationship Id="rId42" Type="http://schemas.openxmlformats.org/officeDocument/2006/relationships/hyperlink" Target="https://plus.lexis.com/api/document?collection=cases&amp;id=urn:contentItem:5WCY-YNJ1-F4W2-61CP-00000-00&amp;context=1530671" TargetMode="External" /><Relationship Id="rId43" Type="http://schemas.openxmlformats.org/officeDocument/2006/relationships/hyperlink" Target="https://plus.lexis.com/api/document?collection=statutes-legislation&amp;id=urn:contentItem:6348-FXW1-DYB7-W24P-00000-00&amp;context=1530671" TargetMode="External" /><Relationship Id="rId44" Type="http://schemas.openxmlformats.org/officeDocument/2006/relationships/hyperlink" Target="https://plus.lexis.com/api/document?collection=cases&amp;id=urn:contentItem:5SND-JXR1-F27X-6131-00000-00&amp;context=1530671" TargetMode="External" /><Relationship Id="rId45" Type="http://schemas.openxmlformats.org/officeDocument/2006/relationships/hyperlink" Target="https://plus.lexis.com/api/document?collection=cases&amp;id=urn:contentItem:5SND-JXR1-F27X-6131-00000-00&amp;context=1530671" TargetMode="External" /><Relationship Id="rId46" Type="http://schemas.openxmlformats.org/officeDocument/2006/relationships/hyperlink" Target="https://plus.lexis.com/api/document?collection=statutes-legislation&amp;id=urn:contentItem:6348-FXW1-DYB7-W24P-00000-00&amp;context=1530671" TargetMode="External" /><Relationship Id="rId47" Type="http://schemas.openxmlformats.org/officeDocument/2006/relationships/hyperlink" Target="https://plus.lexis.com/api/document?collection=cases&amp;id=urn:contentItem:5X47-4JT1-FGY5-M3GF-00000-00&amp;context=1530671" TargetMode="External" /><Relationship Id="rId48" Type="http://schemas.openxmlformats.org/officeDocument/2006/relationships/hyperlink" Target="https://plus.lexis.com/api/document?collection=cases&amp;id=urn:contentItem:5X47-4JT1-FGY5-M3GF-00000-00&amp;context=1530671" TargetMode="External" /><Relationship Id="rId5" Type="http://schemas.openxmlformats.org/officeDocument/2006/relationships/hyperlink" Target="https://plus.lexis.com/api/document?collection=statutes-legislation&amp;id=urn:contentItem:6348-FXW1-DYB7-W24P-00000-00&amp;context=1530671" TargetMode="External" /><Relationship Id="rId6" Type="http://schemas.openxmlformats.org/officeDocument/2006/relationships/hyperlink" Target="https://plus.lexis.com/api/document?collection=cases&amp;id=urn:contentItem:5VHW-9201-JFKM-61V6-00000-00&amp;context=1530671" TargetMode="External" /><Relationship Id="rId7" Type="http://schemas.openxmlformats.org/officeDocument/2006/relationships/hyperlink" Target="https://plus.lexis.com/api/document?collection=cases&amp;id=urn:contentItem:5VHW-9201-JFKM-61V6-00000-00&amp;context=1530671" TargetMode="External" /><Relationship Id="rId8" Type="http://schemas.openxmlformats.org/officeDocument/2006/relationships/hyperlink" Target="https://plus.lexis.com/api/document?collection=cases&amp;id=urn:contentItem:5H4Y-63V1-F04F-T002-00000-00&amp;context=1530671" TargetMode="External" /><Relationship Id="rId9" Type="http://schemas.openxmlformats.org/officeDocument/2006/relationships/hyperlink" Target="https://plus.lexis.com/api/document?collection=cases&amp;id=urn:contentItem:5H4Y-63V1-F04F-T002-00000-00&amp;context=15306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City of Lafayette v. Chandler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5YCY-N9J1-F2TK-21X4-00000-00">
    <vt:lpwstr>Doc::/shared/document|contextualFeaturePermID::1530671</vt:lpwstr>
  </property>
  <property fmtid="{D5CDD505-2E9C-101B-9397-08002B2CF9AE}" pid="4" name="LNDeliveryID">
    <vt:lpwstr>267368041</vt:lpwstr>
  </property>
  <property fmtid="{D5CDD505-2E9C-101B-9397-08002B2CF9AE}" pid="5" name="UserPermID">
    <vt:lpwstr>urn:user:PA195529671</vt:lpwstr>
  </property>
</Properties>
</file>